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Freeman Scott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EASTERLY GOVERNMENT PROPERTIES,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2001 K STREET NW, SUITE 775 NORTH</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Easterly Government Properties, Inc.</w:t>
              </w:r>
            </w:hyperlink>
            <w:r>
              <w:rPr/>
              <w:t xml:space="preserve"> [ </w:t>
            </w:r>
            <w:r>
              <w:rPr>
                <w:rFonts w:ascii="Times;serif" w:hAnsi="Times;serif"/>
                <w:color w:val="0000FF"/>
                <w:sz w:val="24"/>
                <w:shd w:fill="FFFFFF" w:val="clear"/>
              </w:rPr>
              <w:t>DEA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5,265</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24,110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granted under the Issuer's 2024 Equity Incentive Plan, as amended, which will vest upon the earlier of the first anniversary of the date of grant or the next annual stockholder meeting, subject to the Reporting Person's continued service as a director of the Issuer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Franklin V. Logan, Attorney-in-fact for Scott D. Freeman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11248" TargetMode="External"/><Relationship Id="rId5" Type="http://schemas.openxmlformats.org/officeDocument/2006/relationships/hyperlink" Target="http://www.sec.gov/cgi-bin/browse-edgar?action=getcompany&amp;CIK=00016221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3381</Characters>
  <CharactersWithSpaces>3946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