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media/image5.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ea-20260803.htm"/>
      <w:bookmarkStart w:id="1" w:name="ksdea20260803"/>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August 3, 2026</w:t>
      </w:r>
    </w:p>
    <w:p>
      <w:pPr>
        <w:pStyle w:val="TextBody"/>
        <w:bidi w:val="0"/>
        <w:spacing w:before="240" w:after="283"/>
        <w:jc w:val="center"/>
        <w:rPr>
          <w:rFonts w:ascii="Times New Roman" w:hAnsi="Times New Roman"/>
          <w:b/>
          <w:color w:val="000000"/>
          <w:sz w:val="40"/>
        </w:rPr>
      </w:pPr>
      <w:r>
        <w:rPr>
          <w:rFonts w:ascii="Times New Roman" w:hAnsi="Times New Roman"/>
          <w:b/>
          <w:color w:val="000000"/>
          <w:sz w:val="40"/>
        </w:rPr>
        <w:t>Easterly Government Properties,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963" w:type="dxa"/>
        <w:jc w:val="left"/>
        <w:tblInd w:w="0" w:type="dxa"/>
        <w:tblLayout w:type="fixed"/>
        <w:tblCellMar>
          <w:top w:w="28" w:type="dxa"/>
          <w:left w:w="28" w:type="dxa"/>
          <w:bottom w:w="28" w:type="dxa"/>
          <w:right w:w="28" w:type="dxa"/>
        </w:tblCellMar>
      </w:tblPr>
      <w:tblGrid>
        <w:gridCol w:w="4621"/>
        <w:gridCol w:w="1006"/>
        <w:gridCol w:w="1336"/>
      </w:tblGrid>
      <w:tr>
        <w:trPr/>
        <w:tc>
          <w:tcPr>
            <w:tcW w:w="462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4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0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001-36834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47-2047728</w:t>
            </w:r>
          </w:p>
        </w:tc>
      </w:tr>
      <w:tr>
        <w:trPr/>
        <w:tc>
          <w:tcPr>
            <w:tcW w:w="46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0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(Commission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46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2001 K Street NW, Suite 775 North, Washington, D.C.</w:t>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20006</w:t>
            </w:r>
          </w:p>
        </w:tc>
      </w:tr>
      <w:tr>
        <w:trPr/>
        <w:tc>
          <w:tcPr>
            <w:tcW w:w="4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0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(202)</w:t>
      </w:r>
      <w:r>
        <w:rPr>
          <w:rFonts w:ascii="Times New Roman" w:hAnsi="Times New Roman"/>
          <w:color w:val="000000"/>
          <w:sz w:val="20"/>
        </w:rPr>
        <w:t xml:space="preserve"> </w:t>
      </w:r>
      <w:r>
        <w:rPr>
          <w:rFonts w:ascii="Times New Roman" w:hAnsi="Times New Roman"/>
          <w:b/>
          <w:color w:val="000000"/>
          <w:sz w:val="20"/>
        </w:rPr>
        <w:t>595-9500</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p>
            <w:pPr>
              <w:pStyle w:val="TableContents"/>
              <w:bidi w:val="0"/>
              <w:spacing w:before="120" w:after="283"/>
              <w:jc w:val="left"/>
              <w:rPr/>
            </w:pPr>
            <w:r>
              <w:rPr/>
              <w:t> </w:t>
            </w:r>
          </w:p>
        </w:tc>
      </w:tr>
    </w:tbl>
    <w:p>
      <w:pPr>
        <w:pStyle w:val="TextBody"/>
        <w:bidi w:val="0"/>
        <w:jc w:val="left"/>
        <w:rPr/>
      </w:pPr>
      <w:r>
        <w:rPr/>
        <w:t> </w:t>
      </w:r>
    </w:p>
    <w:tbl>
      <w:tblPr>
        <w:tblW w:w="5538" w:type="dxa"/>
        <w:jc w:val="left"/>
        <w:tblInd w:w="0" w:type="dxa"/>
        <w:tblLayout w:type="fixed"/>
        <w:tblCellMar>
          <w:top w:w="28" w:type="dxa"/>
          <w:left w:w="28" w:type="dxa"/>
          <w:bottom w:w="28" w:type="dxa"/>
          <w:right w:w="28" w:type="dxa"/>
        </w:tblCellMar>
      </w:tblPr>
      <w:tblGrid>
        <w:gridCol w:w="1396"/>
        <w:gridCol w:w="826"/>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5538" w:type="dxa"/>
            <w:gridSpan w:val="3"/>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c>
      </w:tr>
      <w:tr>
        <w:trPr/>
        <w:tc>
          <w:tcPr>
            <w:tcW w:w="13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DEA</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 2026, we issued a press release announcing our results of operations for the second quarter ended June 30, 2026. A copy of this press release as well as a copy of our supplemental information package are available on our website and are attached hereto as Exhibits 99.1 and 99.2 and incorporated herein by reference. The information in this Item 2.02 as well as the attached Exhibits 99.1 and 99.2 are being furnished and shall not be deemed “filed” for any purpose, including for the purposes of Section 18 of the Securities and Exchange Act of 1934, as amended (the “Exchange Act”), or otherwise subject to the liabilities of that Section, and shall not be deemed incorporated by reference into any filing under the Securities Act of 1933, as amended, or the Exchange Act regardless of any general incorporation language in such filing.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will host a webcast and conference call at 11:00 a.m. Eastern Time on August 3, 2026, to review our second quarter ended 2026 performance, discuss recent events and conduct a question-and-answer session. A live webcast will be available in the Investor Relations section of our website. Please note that the full text of the press release and supplemental information package are available through our website at </w:t>
      </w:r>
      <w:r>
        <w:rPr>
          <w:rFonts w:ascii="Times New Roman" w:hAnsi="Times New Roman"/>
          <w:color w:val="000000"/>
          <w:sz w:val="20"/>
          <w:u w:val="single"/>
        </w:rPr>
        <w:t>ir.easterlyreit.com</w:t>
      </w:r>
      <w:r>
        <w:rPr>
          <w:rFonts w:ascii="Times New Roman" w:hAnsi="Times New Roman"/>
          <w:color w:val="000000"/>
          <w:sz w:val="20"/>
        </w:rPr>
        <w:t>. The information contained on our website is not incorporated by reference herein.</w:t>
      </w:r>
    </w:p>
    <w:p>
      <w:pPr>
        <w:pStyle w:val="TextBody"/>
        <w:bidi w:val="0"/>
        <w:spacing w:before="360" w:after="283"/>
        <w:jc w:val="left"/>
        <w:rPr>
          <w:rFonts w:ascii="Times New Roman" w:hAnsi="Times New Roman"/>
          <w:b/>
          <w:color w:val="000000"/>
          <w:sz w:val="20"/>
          <w:u w:val="single"/>
        </w:rPr>
      </w:pPr>
      <w:r>
        <w:rPr>
          <w:rFonts w:ascii="Times New Roman" w:hAnsi="Times New Roman"/>
          <w:b/>
          <w:color w:val="000000"/>
          <w:sz w:val="20"/>
          <w:u w:val="single"/>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tbl>
      <w:tblPr>
        <w:tblW w:w="9047" w:type="dxa"/>
        <w:jc w:val="left"/>
        <w:tblInd w:w="0" w:type="dxa"/>
        <w:tblLayout w:type="fixed"/>
        <w:tblCellMar>
          <w:top w:w="28" w:type="dxa"/>
          <w:left w:w="28" w:type="dxa"/>
          <w:bottom w:w="28" w:type="dxa"/>
          <w:right w:w="28" w:type="dxa"/>
        </w:tblCellMar>
      </w:tblPr>
      <w:tblGrid>
        <w:gridCol w:w="1246"/>
        <w:gridCol w:w="7801"/>
      </w:tblGrid>
      <w:tr>
        <w:trPr/>
        <w:tc>
          <w:tcPr>
            <w:tcW w:w="1246" w:type="dxa"/>
            <w:tcBorders/>
            <w:vAlign w:val="center"/>
          </w:tcPr>
          <w:p>
            <w:pPr>
              <w:pStyle w:val="TableContents"/>
              <w:bidi w:val="0"/>
              <w:spacing w:before="0" w:after="283"/>
              <w:jc w:val="left"/>
              <w:rPr>
                <w:sz w:val="4"/>
                <w:szCs w:val="4"/>
              </w:rPr>
            </w:pPr>
            <w:r>
              <w:rPr>
                <w:sz w:val="4"/>
                <w:szCs w:val="4"/>
              </w:rPr>
            </w:r>
          </w:p>
        </w:tc>
        <w:tc>
          <w:tcPr>
            <w:tcW w:w="7801" w:type="dxa"/>
            <w:tcBorders/>
            <w:vAlign w:val="center"/>
          </w:tcPr>
          <w:p>
            <w:pPr>
              <w:pStyle w:val="TableContents"/>
              <w:bidi w:val="0"/>
              <w:spacing w:before="0" w:after="283"/>
              <w:jc w:val="left"/>
              <w:rPr>
                <w:sz w:val="4"/>
                <w:szCs w:val="4"/>
              </w:rPr>
            </w:pPr>
            <w:r>
              <w:rPr>
                <w:sz w:val="4"/>
                <w:szCs w:val="4"/>
              </w:rPr>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Exhibit Number</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Description</w:t>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99.1</w:t>
            </w:r>
          </w:p>
        </w:tc>
        <w:tc>
          <w:tcPr>
            <w:tcW w:w="7801" w:type="dxa"/>
            <w:tcBorders/>
            <w:tcMar>
              <w:top w:w="0" w:type="dxa"/>
              <w:left w:w="0" w:type="dxa"/>
              <w:bottom w:w="0" w:type="dxa"/>
              <w:right w:w="0" w:type="dxa"/>
            </w:tcMar>
            <w:vAlign w:val="center"/>
          </w:tcPr>
          <w:p>
            <w:pPr>
              <w:pStyle w:val="TableContents"/>
              <w:bidi w:val="0"/>
              <w:spacing w:before="0" w:after="283"/>
              <w:jc w:val="left"/>
              <w:rPr/>
            </w:pPr>
            <w:hyperlink w:anchor="dea-ex99_1.htm">
              <w:r>
                <w:rPr>
                  <w:rStyle w:val="InternetLink"/>
                  <w:rFonts w:ascii="Times New Roman" w:hAnsi="Times New Roman"/>
                  <w:color w:val="0000FF"/>
                  <w:sz w:val="16"/>
                  <w:u w:val="single"/>
                </w:rPr>
                <w:t>Press Release dated August 3, 2026.</w:t>
              </w:r>
            </w:hyperlink>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99.2</w:t>
            </w:r>
          </w:p>
        </w:tc>
        <w:tc>
          <w:tcPr>
            <w:tcW w:w="7801" w:type="dxa"/>
            <w:tcBorders/>
            <w:tcMar>
              <w:top w:w="0" w:type="dxa"/>
              <w:left w:w="0" w:type="dxa"/>
              <w:bottom w:w="0" w:type="dxa"/>
              <w:right w:w="0" w:type="dxa"/>
            </w:tcMar>
            <w:vAlign w:val="center"/>
          </w:tcPr>
          <w:p>
            <w:pPr>
              <w:pStyle w:val="TableContents"/>
              <w:bidi w:val="0"/>
              <w:spacing w:before="0" w:after="283"/>
              <w:jc w:val="left"/>
              <w:rPr/>
            </w:pPr>
            <w:hyperlink w:anchor="dea-ex99_2.htm">
              <w:r>
                <w:rPr>
                  <w:rStyle w:val="InternetLink"/>
                  <w:rFonts w:ascii="Times New Roman" w:hAnsi="Times New Roman"/>
                  <w:color w:val="0000FF"/>
                  <w:sz w:val="16"/>
                  <w:u w:val="single"/>
                </w:rPr>
                <w:t>Easterly Government Properties, Inc. Supplemental Information Package for the quarter ended June 30, 2026.</w:t>
              </w:r>
            </w:hyperlink>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896" w:type="dxa"/>
        <w:jc w:val="left"/>
        <w:tblInd w:w="0" w:type="dxa"/>
        <w:tblLayout w:type="fixed"/>
        <w:tblCellMar>
          <w:top w:w="28" w:type="dxa"/>
          <w:left w:w="28" w:type="dxa"/>
          <w:bottom w:w="28" w:type="dxa"/>
          <w:right w:w="28" w:type="dxa"/>
        </w:tblCellMar>
      </w:tblPr>
      <w:tblGrid>
        <w:gridCol w:w="646"/>
        <w:gridCol w:w="109"/>
        <w:gridCol w:w="4141"/>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4896" w:type="dxa"/>
            <w:gridSpan w:val="3"/>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EASTERLY GOVERNMENT</w:t>
            </w:r>
          </w:p>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PROPERTIES,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Allison E. Marino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Allison E. Marino</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3,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dea-ex99_1.htm"/>
      <w:bookmarkStart w:id="3" w:name="ksdeaex99_1"/>
      <w:bookmarkEnd w:id="2"/>
      <w:bookmarkEnd w:id="3"/>
      <w:r>
        <w:rPr/>
        <w:drawing>
          <wp:inline distT="0" distB="0" distL="0" distR="0">
            <wp:extent cx="15430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504825"/>
                    </a:xfrm>
                    <a:prstGeom prst="rect">
                      <a:avLst/>
                    </a:prstGeom>
                  </pic:spPr>
                </pic:pic>
              </a:graphicData>
            </a:graphic>
          </wp:inline>
        </w:drawing>
      </w:r>
      <w:r>
        <w:br w:type="page"/>
      </w:r>
    </w:p>
    <w:p>
      <w:pPr>
        <w:pStyle w:val="TextBody"/>
        <w:bidi w:val="0"/>
        <w:jc w:val="right"/>
        <w:rPr>
          <w:rFonts w:ascii="Times New Roman" w:hAnsi="Times New Roman"/>
          <w:sz w:val="20"/>
        </w:rPr>
      </w:pPr>
      <w:r>
        <w:rPr>
          <w:rFonts w:ascii="Arial" w:hAnsi="Arial"/>
          <w:b/>
          <w:color w:val="000000"/>
          <w:sz w:val="20"/>
        </w:rPr>
        <w:t>Exhibit 99.1</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2"/>
        </w:rPr>
        <w:t>EASTERLY GOVERNMENT PROPERTIES</w:t>
      </w:r>
      <w:r>
        <w:rPr>
          <w:rFonts w:ascii="Times New Roman" w:hAnsi="Times New Roman"/>
          <w:color w:val="000000"/>
          <w:sz w:val="20"/>
        </w:rPr>
        <w:t xml:space="preserve"> </w:t>
      </w:r>
    </w:p>
    <w:p>
      <w:pPr>
        <w:pStyle w:val="TextBody"/>
        <w:bidi w:val="0"/>
        <w:jc w:val="center"/>
        <w:rPr>
          <w:rFonts w:ascii="Arial" w:hAnsi="Arial"/>
          <w:b/>
          <w:color w:val="000000"/>
          <w:sz w:val="22"/>
        </w:rPr>
      </w:pPr>
      <w:r>
        <w:rPr>
          <w:rFonts w:ascii="Arial" w:hAnsi="Arial"/>
          <w:b/>
          <w:color w:val="000000"/>
          <w:sz w:val="22"/>
        </w:rPr>
        <w:t>REPORTS SECOND QUARTER 2026 RESULTS</w:t>
      </w:r>
    </w:p>
    <w:p>
      <w:pPr>
        <w:pStyle w:val="TextBody"/>
        <w:bidi w:val="0"/>
        <w:spacing w:before="240" w:after="283"/>
        <w:jc w:val="both"/>
        <w:rPr>
          <w:rFonts w:ascii="Times New Roman" w:hAnsi="Times New Roman"/>
          <w:sz w:val="20"/>
        </w:rPr>
      </w:pPr>
      <w:r>
        <w:rPr>
          <w:rFonts w:ascii="Arial" w:hAnsi="Arial"/>
          <w:color w:val="000000"/>
          <w:sz w:val="22"/>
        </w:rPr>
        <w:t>WASHINGTON, D.C. – August 3, 2026 – Easterly Government Properties, Inc. (NYSE: DEA) (the “Company” or “Easterly”), a fully integrated real estate investment trust (“REIT”) focused primarily on the acquisition, development and management of Class A commercial properties leased to the U.S. Government and its adjacent partners, today announced its results of operations for the quarter ended June 30, 2026.</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2"/>
        </w:rPr>
      </w:pPr>
      <w:r>
        <w:rPr>
          <w:rFonts w:ascii="Arial" w:hAnsi="Arial"/>
          <w:b/>
          <w:color w:val="000000"/>
          <w:sz w:val="22"/>
        </w:rPr>
        <w:t>Highlights for the Quarter Ended June 30, 2026:</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Net income of $3.2 million, or $0.07 per share on a fully diluted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Core FFO of $37.4 million, or $0.78 per share on a fully diluted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Closed a new five-year $200.0 million senior unsecured term loan facility maturing in June 2031, which includes an accordion feature providing the Company with additional capacity, subject to the satisfaction of customary terms and conditions, of up to $50.0 million for a total facility size of $250.0 million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2"/>
        </w:rPr>
      </w:pPr>
      <w:r>
        <w:rPr>
          <w:rFonts w:ascii="Arial" w:hAnsi="Arial"/>
          <w:color w:val="000000"/>
          <w:sz w:val="22"/>
        </w:rPr>
        <w:t>Issued an aggregate of 796,943 shares of the Company's common stock in settlement of previously entered into forward sales transactions through the Company's $300.0 million ATM Program launched in June 2021 (the “2021 ATM Program”). These shares were then physically settled in the same quarter at a weighted average price per share of $23.86, raising net proceeds to the Company of approximately $18.8 million</w:t>
      </w:r>
    </w:p>
    <w:p>
      <w:pPr>
        <w:pStyle w:val="TextBody"/>
        <w:bidi w:val="0"/>
        <w:spacing w:before="120" w:after="283"/>
        <w:jc w:val="both"/>
        <w:rPr>
          <w:color w:val="000000"/>
        </w:rPr>
      </w:pPr>
      <w:r>
        <w:rPr>
          <w:color w:val="000000"/>
        </w:rPr>
        <w:t>“</w:t>
      </w:r>
      <w:r>
        <w:rPr>
          <w:rFonts w:ascii="Arial" w:hAnsi="Arial"/>
          <w:color w:val="000000"/>
          <w:sz w:val="22"/>
        </w:rPr>
        <w:t>Our second quarter demonstrates continued progress on our strategic priorities,” said Darrell Crate, President &amp; CEO of Easterly Government Properties. “Strong execution across the business, including in the capital markets, coupled with the durability of our portfolio, provides increased confidence in our earnings outlook and supports our decision to raise 2026 guidance.”</w:t>
      </w:r>
    </w:p>
    <w:p>
      <w:pPr>
        <w:pStyle w:val="TextBody"/>
        <w:bidi w:val="0"/>
        <w:spacing w:before="360" w:after="283"/>
        <w:jc w:val="both"/>
        <w:rPr>
          <w:rFonts w:ascii="Arial" w:hAnsi="Arial"/>
          <w:b/>
          <w:color w:val="000000"/>
          <w:sz w:val="22"/>
        </w:rPr>
      </w:pPr>
      <w:r>
        <w:rPr>
          <w:rFonts w:ascii="Arial" w:hAnsi="Arial"/>
          <w:b/>
          <w:color w:val="000000"/>
          <w:sz w:val="22"/>
        </w:rPr>
        <w:t>Financial Results for the Six Months Ended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Net income of $4.6 million, or $0.10 per share on a fully diluted basis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Core FFO of $74.5 million, or $1.55 per share on a fully diluted basis</w:t>
      </w:r>
    </w:p>
    <w:p>
      <w:pPr>
        <w:pStyle w:val="TextBody"/>
        <w:bidi w:val="0"/>
        <w:spacing w:before="360" w:after="283"/>
        <w:jc w:val="left"/>
        <w:rPr>
          <w:rFonts w:ascii="Arial" w:hAnsi="Arial"/>
          <w:b/>
          <w:color w:val="000000"/>
          <w:sz w:val="22"/>
        </w:rPr>
      </w:pPr>
      <w:r>
        <w:rPr>
          <w:rFonts w:ascii="Arial" w:hAnsi="Arial"/>
          <w:b/>
          <w:color w:val="000000"/>
          <w:sz w:val="22"/>
        </w:rPr>
        <w:t>Portfolio Operations</w:t>
      </w:r>
    </w:p>
    <w:p>
      <w:pPr>
        <w:pStyle w:val="TextBody"/>
        <w:bidi w:val="0"/>
        <w:spacing w:before="120" w:after="200"/>
        <w:jc w:val="both"/>
        <w:rPr>
          <w:rFonts w:ascii="Times New Roman" w:hAnsi="Times New Roman"/>
          <w:sz w:val="20"/>
        </w:rPr>
      </w:pPr>
      <w:r>
        <w:rPr>
          <w:rFonts w:ascii="Arial" w:hAnsi="Arial"/>
          <w:color w:val="000000"/>
          <w:sz w:val="22"/>
        </w:rPr>
        <w:t>As of June 30, 2026, the Company or its joint venture owned 106 operating properties in the United States encompassing approximately 10.7 million leased square feet, including 93 operating properties that were leased primarily to U.S. Government tenant agencies, eight operating properties leased primarily to tenant agencies of a U.S. state or local government and five operating properties that were entirely leased to private tenants. In addition, the Company wholly owned three properties in development that the Company expects will encompass approximately 0.2 million leased square feet upon completion. The Company's operating portfolio was 98% leased.</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Arial" w:hAnsi="Arial"/>
          <w:color w:val="000000"/>
          <w:sz w:val="22"/>
        </w:rPr>
        <w:t>The first project, located in Fort Myers, Florida, is currently under construction and, once complete, a 25-year lease with the Florida Department of Law Enforcement is expected to commence for their beneficial use. The second development project, located in Flagstaff, Arizona, is currently under construction and, once complete, a 20-year lease with the GSA is expected to commence for the beneficial use of the United States Judiciary. The third project, located in Medford, Oregon, is currently under construction and, once complete, a 20-year lease with the GSA is expected to commence for the beneficial use of the United States Judiciary.</w:t>
      </w:r>
      <w:r>
        <w:rPr>
          <w:rFonts w:ascii="Times New Roman" w:hAnsi="Times New Roman"/>
          <w:color w:val="000000"/>
          <w:sz w:val="20"/>
        </w:rPr>
        <w:t xml:space="preserve">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4305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43050" cy="504825"/>
                    </a:xfrm>
                    <a:prstGeom prst="rect">
                      <a:avLst/>
                    </a:prstGeom>
                  </pic:spPr>
                </pic:pic>
              </a:graphicData>
            </a:graphic>
          </wp:inline>
        </w:drawing>
      </w:r>
    </w:p>
    <w:p>
      <w:pPr>
        <w:pStyle w:val="TextBody"/>
        <w:bidi w:val="0"/>
        <w:jc w:val="left"/>
        <w:rPr/>
      </w:pPr>
      <w:r>
        <w:rPr/>
        <w:t> </w:t>
      </w:r>
    </w:p>
    <w:p>
      <w:pPr>
        <w:pStyle w:val="TextBody"/>
        <w:bidi w:val="0"/>
        <w:spacing w:before="120" w:after="200"/>
        <w:jc w:val="both"/>
        <w:rPr>
          <w:rFonts w:ascii="Arial" w:hAnsi="Arial"/>
          <w:color w:val="000000"/>
          <w:sz w:val="22"/>
        </w:rPr>
      </w:pPr>
      <w:r>
        <w:rPr>
          <w:rFonts w:ascii="Arial" w:hAnsi="Arial"/>
          <w:color w:val="000000"/>
          <w:sz w:val="22"/>
        </w:rPr>
        <w:t>As of June 30, 2026, the portfolio had a weighted average age of 17.1 years, based upon the date properties were built or renovated-to-suit, and had a weighted average remaining lease term of 9.2 years.</w:t>
      </w:r>
    </w:p>
    <w:p>
      <w:pPr>
        <w:pStyle w:val="TextBody"/>
        <w:bidi w:val="0"/>
        <w:spacing w:before="160" w:after="283"/>
        <w:jc w:val="both"/>
        <w:rPr>
          <w:rFonts w:ascii="Arial" w:hAnsi="Arial"/>
          <w:b/>
          <w:color w:val="000000"/>
          <w:sz w:val="22"/>
        </w:rPr>
      </w:pPr>
      <w:r>
        <w:rPr>
          <w:rFonts w:ascii="Arial" w:hAnsi="Arial"/>
          <w:b/>
          <w:color w:val="000000"/>
          <w:sz w:val="22"/>
        </w:rPr>
        <w:t>Balance Sheet and Capital Markets Activity</w:t>
      </w:r>
    </w:p>
    <w:p>
      <w:pPr>
        <w:pStyle w:val="TextBody"/>
        <w:bidi w:val="0"/>
        <w:spacing w:before="120" w:after="200"/>
        <w:jc w:val="both"/>
        <w:rPr>
          <w:rFonts w:ascii="Times New Roman" w:hAnsi="Times New Roman"/>
          <w:sz w:val="20"/>
        </w:rPr>
      </w:pPr>
      <w:r>
        <w:rPr>
          <w:rFonts w:ascii="Arial" w:hAnsi="Arial"/>
          <w:color w:val="000000"/>
          <w:sz w:val="22"/>
        </w:rPr>
        <w:t>As of June 30, 2026, the Company had total indebtedness of approximately $1.7 billion comprised of $43.1 million outstanding on its senior unsecured revolving credit facility, $100.0 million outstanding on its 2016 term loan facility, $200.0 million outstanding on its 2018 term loan facility, $200.0 million outstanding on its 2026 term loan facility, $1.0 billion of senior unsecured notes, and $149.3 million of mortgage debt (excluding unamortized premiums and discounts and deferred financing fees). The Company's outstanding debt had a weighted average maturity of 4.0 years and a weighted average interest rate of 4.6%. Further, the Company's Net Debt to total enterprise value was 58.4% and its Adjusted Net Debt to annualized quarterly EBITDA ratio was 7.1x.</w:t>
      </w:r>
      <w:r>
        <w:rPr>
          <w:rFonts w:ascii="Times New Roman" w:hAnsi="Times New Roman"/>
          <w:color w:val="000000"/>
          <w:sz w:val="20"/>
        </w:rPr>
        <w:t xml:space="preserve"> </w:t>
      </w:r>
    </w:p>
    <w:p>
      <w:pPr>
        <w:pStyle w:val="TextBody"/>
        <w:bidi w:val="0"/>
        <w:spacing w:before="160" w:after="283"/>
        <w:jc w:val="both"/>
        <w:rPr>
          <w:rFonts w:ascii="Arial" w:hAnsi="Arial"/>
          <w:b/>
          <w:color w:val="000000"/>
          <w:sz w:val="22"/>
        </w:rPr>
      </w:pPr>
      <w:r>
        <w:rPr>
          <w:rFonts w:ascii="Arial" w:hAnsi="Arial"/>
          <w:b/>
          <w:color w:val="000000"/>
          <w:sz w:val="22"/>
        </w:rPr>
        <w:t>Dividend</w:t>
      </w:r>
    </w:p>
    <w:p>
      <w:pPr>
        <w:pStyle w:val="TextBody"/>
        <w:bidi w:val="0"/>
        <w:spacing w:before="120" w:after="283"/>
        <w:jc w:val="both"/>
        <w:rPr>
          <w:rFonts w:ascii="Arial" w:hAnsi="Arial"/>
          <w:color w:val="000000"/>
          <w:sz w:val="22"/>
        </w:rPr>
      </w:pPr>
      <w:r>
        <w:rPr>
          <w:rFonts w:ascii="Arial" w:hAnsi="Arial"/>
          <w:color w:val="000000"/>
          <w:sz w:val="22"/>
        </w:rPr>
        <w:t>On July 29, 2026, the Board of Directors of Easterly approved a cash dividend for the second quarter of 2026 in the amount of $0.45 per common share. The dividend will be payable August 20, 2026 to shareholders of record on August 10, 2026.</w:t>
      </w:r>
    </w:p>
    <w:p>
      <w:pPr>
        <w:pStyle w:val="TextBody"/>
        <w:bidi w:val="0"/>
        <w:spacing w:before="360" w:after="283"/>
        <w:jc w:val="both"/>
        <w:rPr>
          <w:rFonts w:ascii="Arial" w:hAnsi="Arial"/>
          <w:b/>
          <w:color w:val="000000"/>
          <w:sz w:val="22"/>
        </w:rPr>
      </w:pPr>
      <w:r>
        <w:rPr>
          <w:rFonts w:ascii="Arial" w:hAnsi="Arial"/>
          <w:b/>
          <w:color w:val="000000"/>
          <w:sz w:val="22"/>
        </w:rPr>
        <w:t>Subsequent Events</w:t>
      </w:r>
    </w:p>
    <w:p>
      <w:pPr>
        <w:pStyle w:val="TextBody"/>
        <w:bidi w:val="0"/>
        <w:spacing w:before="120" w:after="283"/>
        <w:jc w:val="both"/>
        <w:rPr>
          <w:rFonts w:ascii="Arial" w:hAnsi="Arial"/>
          <w:color w:val="000000"/>
          <w:sz w:val="22"/>
        </w:rPr>
      </w:pPr>
      <w:r>
        <w:rPr>
          <w:rFonts w:ascii="Arial" w:hAnsi="Arial"/>
          <w:color w:val="000000"/>
          <w:sz w:val="22"/>
        </w:rPr>
        <w:t>On July 14, 2026, we used $6.4 million of available cash to extinguish the mortgage note obligation on USFS II — Albuquerque.</w:t>
      </w:r>
    </w:p>
    <w:p>
      <w:pPr>
        <w:pStyle w:val="TextBody"/>
        <w:bidi w:val="0"/>
        <w:spacing w:before="120" w:after="200"/>
        <w:jc w:val="both"/>
        <w:rPr>
          <w:rFonts w:ascii="Times New Roman" w:hAnsi="Times New Roman"/>
          <w:sz w:val="20"/>
        </w:rPr>
      </w:pPr>
      <w:r>
        <w:rPr>
          <w:rFonts w:ascii="Arial" w:hAnsi="Arial"/>
          <w:color w:val="000000"/>
          <w:sz w:val="22"/>
        </w:rPr>
        <w:t>On July 28, 2026, we entered into a sixth amendment to our 2018 term loan facility and a second amendment to our 2024 revolving credit facility to remove the credit spread adjustment applicable to SOFR-based borrowings, consistent with our 2016 term loan facility and our 2026 term loan facility. Other than the foregoing, the material terms of our 2018 term loan facility and our 2024 revolving credit facility remain unchanged.</w:t>
      </w:r>
      <w:r>
        <w:rPr>
          <w:rFonts w:ascii="Times New Roman" w:hAnsi="Times New Roman"/>
          <w:color w:val="000000"/>
          <w:sz w:val="20"/>
        </w:rPr>
        <w:t xml:space="preserve"> </w:t>
      </w:r>
    </w:p>
    <w:p>
      <w:pPr>
        <w:pStyle w:val="TextBody"/>
        <w:bidi w:val="0"/>
        <w:spacing w:before="160" w:after="283"/>
        <w:jc w:val="both"/>
        <w:rPr>
          <w:rFonts w:ascii="Arial" w:hAnsi="Arial"/>
          <w:b/>
          <w:color w:val="000000"/>
          <w:sz w:val="22"/>
        </w:rPr>
      </w:pPr>
      <w:r>
        <w:rPr>
          <w:rFonts w:ascii="Arial" w:hAnsi="Arial"/>
          <w:b/>
          <w:color w:val="000000"/>
          <w:sz w:val="22"/>
        </w:rPr>
        <w:t>Guidance</w:t>
      </w:r>
    </w:p>
    <w:p>
      <w:pPr>
        <w:pStyle w:val="TextBody"/>
        <w:bidi w:val="0"/>
        <w:spacing w:before="120" w:after="200"/>
        <w:jc w:val="left"/>
        <w:rPr>
          <w:rFonts w:ascii="Arial" w:hAnsi="Arial"/>
          <w:color w:val="000000"/>
          <w:sz w:val="22"/>
        </w:rPr>
      </w:pPr>
      <w:r>
        <w:rPr>
          <w:rFonts w:ascii="Arial" w:hAnsi="Arial"/>
          <w:color w:val="000000"/>
          <w:sz w:val="22"/>
        </w:rPr>
        <w:t>This guidance is forward-looking and reflects management’s view of current and future market conditions. The Company’s actual results may differ materially from this guidance.</w:t>
      </w:r>
    </w:p>
    <w:p>
      <w:pPr>
        <w:pStyle w:val="TextBody"/>
        <w:bidi w:val="0"/>
        <w:spacing w:before="160" w:after="283"/>
        <w:jc w:val="left"/>
        <w:rPr>
          <w:rFonts w:ascii="Arial" w:hAnsi="Arial"/>
          <w:b/>
          <w:color w:val="000000"/>
          <w:sz w:val="22"/>
          <w:u w:val="single"/>
        </w:rPr>
      </w:pPr>
      <w:r>
        <w:rPr>
          <w:rFonts w:ascii="Arial" w:hAnsi="Arial"/>
          <w:b/>
          <w:color w:val="000000"/>
          <w:sz w:val="22"/>
          <w:u w:val="single"/>
        </w:rPr>
        <w:t>Outlook for the 12 Months Ending December 31, 2026</w:t>
      </w:r>
    </w:p>
    <w:p>
      <w:pPr>
        <w:pStyle w:val="TextBody"/>
        <w:bidi w:val="0"/>
        <w:spacing w:before="120" w:after="283"/>
        <w:jc w:val="both"/>
        <w:rPr>
          <w:rFonts w:ascii="Arial" w:hAnsi="Arial"/>
          <w:color w:val="000000"/>
          <w:sz w:val="22"/>
        </w:rPr>
      </w:pPr>
      <w:r>
        <w:rPr>
          <w:rFonts w:ascii="Arial" w:hAnsi="Arial"/>
          <w:color w:val="000000"/>
          <w:sz w:val="22"/>
        </w:rPr>
        <w:t>The Company is raising its guidance for full-year 2026 Core FFO per share on a fully diluted basis at a range of $3.07 - $3.13.</w:t>
      </w:r>
    </w:p>
    <w:p>
      <w:pPr>
        <w:pStyle w:val="TextBody"/>
        <w:bidi w:val="0"/>
        <w:spacing w:before="120" w:after="283"/>
        <w:jc w:val="both"/>
        <w:rPr/>
      </w:pPr>
      <w:r>
        <w:rPr/>
        <w:t> </w:t>
      </w:r>
    </w:p>
    <w:tbl>
      <w:tblPr>
        <w:tblW w:w="8598" w:type="dxa"/>
        <w:jc w:val="left"/>
        <w:tblInd w:w="0" w:type="dxa"/>
        <w:tblLayout w:type="fixed"/>
        <w:tblCellMar>
          <w:top w:w="28" w:type="dxa"/>
          <w:left w:w="28" w:type="dxa"/>
          <w:bottom w:w="28" w:type="dxa"/>
          <w:right w:w="28" w:type="dxa"/>
        </w:tblCellMar>
      </w:tblPr>
      <w:tblGrid>
        <w:gridCol w:w="6631"/>
        <w:gridCol w:w="146"/>
        <w:gridCol w:w="286"/>
        <w:gridCol w:w="526"/>
        <w:gridCol w:w="146"/>
        <w:gridCol w:w="146"/>
        <w:gridCol w:w="146"/>
        <w:gridCol w:w="57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Low</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High</w:t>
            </w:r>
          </w:p>
        </w:tc>
      </w:tr>
      <w:tr>
        <w:trPr/>
        <w:tc>
          <w:tcPr>
            <w:tcW w:w="663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Net income (loss) per share – fully diluted basis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0.29</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Plus: Company’s share of real estate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2.82</w:t>
            </w:r>
          </w:p>
        </w:tc>
      </w:tr>
      <w:tr>
        <w:trPr/>
        <w:tc>
          <w:tcPr>
            <w:tcW w:w="6631"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FFO per share – fully diluted basis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000000"/>
                <w:sz w:val="22"/>
              </w:rPr>
              <w:t>$</w:t>
            </w:r>
            <w:r>
              <w:rPr>
                <w:rFonts w:ascii="Times New Roman" w:hAnsi="Times New Roman"/>
                <w:color w:val="000000"/>
                <w:sz w:val="22"/>
              </w:rPr>
              <w:t xml:space="preserve">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3.05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3.11</w:t>
            </w:r>
          </w:p>
        </w:tc>
      </w:tr>
      <w:tr>
        <w:trPr/>
        <w:tc>
          <w:tcPr>
            <w:tcW w:w="6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Plus: Company’s share of depreciation of non-real estate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0.02</w:t>
            </w:r>
          </w:p>
        </w:tc>
      </w:tr>
      <w:tr>
        <w:trPr/>
        <w:tc>
          <w:tcPr>
            <w:tcW w:w="66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000000"/>
                <w:sz w:val="22"/>
              </w:rPr>
              <w:t>Core FFO per share – fully diluted basis</w:t>
            </w:r>
            <w:r>
              <w:rPr>
                <w:rFonts w:ascii="Times New Roman" w:hAnsi="Times New Roman"/>
                <w:color w:val="000000"/>
                <w:sz w:val="22"/>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3.07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2"/>
              </w:rPr>
            </w:pPr>
            <w:r>
              <w:rPr>
                <w:rFonts w:ascii="Arial" w:hAnsi="Arial"/>
                <w:color w:val="000000"/>
                <w:sz w:val="22"/>
              </w:rPr>
              <w:t>3.13</w:t>
            </w:r>
          </w:p>
        </w:tc>
      </w:tr>
    </w:tbl>
    <w:p>
      <w:pPr>
        <w:pStyle w:val="TextBody"/>
        <w:bidi w:val="0"/>
        <w:spacing w:before="120" w:after="200"/>
        <w:jc w:val="both"/>
        <w:rPr>
          <w:rFonts w:ascii="Times New Roman" w:hAnsi="Times New Roman"/>
          <w:sz w:val="20"/>
        </w:rPr>
      </w:pPr>
      <w:r>
        <w:rPr>
          <w:rFonts w:ascii="Arial" w:hAnsi="Arial"/>
          <w:color w:val="000000"/>
          <w:sz w:val="22"/>
        </w:rPr>
        <w:t>This guidance assumes approximately $50 million of wholly owned acquisitions and $50 - $100 million of gross development-related investment during 2026.</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43050" cy="504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43050" cy="504825"/>
                    </a:xfrm>
                    <a:prstGeom prst="rect">
                      <a:avLst/>
                    </a:prstGeom>
                  </pic:spPr>
                </pic:pic>
              </a:graphicData>
            </a:graphic>
          </wp:inline>
        </w:drawing>
      </w:r>
    </w:p>
    <w:p>
      <w:pPr>
        <w:pStyle w:val="TextBody"/>
        <w:bidi w:val="0"/>
        <w:jc w:val="left"/>
        <w:rPr/>
      </w:pPr>
      <w:r>
        <w:rPr/>
        <w:t> </w:t>
      </w:r>
    </w:p>
    <w:p>
      <w:pPr>
        <w:pStyle w:val="TextBody"/>
        <w:bidi w:val="0"/>
        <w:spacing w:before="360" w:after="283"/>
        <w:jc w:val="both"/>
        <w:rPr>
          <w:rFonts w:ascii="Arial" w:hAnsi="Arial"/>
          <w:b/>
          <w:color w:val="000000"/>
          <w:sz w:val="22"/>
        </w:rPr>
      </w:pPr>
      <w:r>
        <w:rPr>
          <w:rFonts w:ascii="Arial" w:hAnsi="Arial"/>
          <w:b/>
          <w:color w:val="000000"/>
          <w:sz w:val="22"/>
        </w:rPr>
        <w:t>Non-GAAP Supplemental Financial Measures</w:t>
      </w:r>
    </w:p>
    <w:p>
      <w:pPr>
        <w:pStyle w:val="TextBody"/>
        <w:bidi w:val="0"/>
        <w:spacing w:before="120" w:after="200"/>
        <w:jc w:val="both"/>
        <w:rPr>
          <w:rFonts w:ascii="Arial" w:hAnsi="Arial"/>
          <w:color w:val="000000"/>
          <w:sz w:val="22"/>
        </w:rPr>
      </w:pPr>
      <w:r>
        <w:rPr>
          <w:rFonts w:ascii="Arial" w:hAnsi="Arial"/>
          <w:color w:val="000000"/>
          <w:sz w:val="22"/>
        </w:rPr>
        <w:t>This section contains definitions of certain non-GAAP financial measures and other terms that the Company uses in this press release and, where applicable, the reasons why management believes these non-GAAP financial measures provide useful information to investors about the Company’s financial condition and results of operations and the other purposes for which management uses the measures. These measures should not be considered in isolation or as a substitute for measures of performance in accordance with GAAP. A reconciliation of the differences between each non-GAAP financial measure and the comparable GAAP financial measure are included in this press release following the consolidated financial statements. Additional detail can be found in the Company’s most recent annual report on Form 10-K and quarterly report on Form 10-Q, as well as other documents filed with or furnished to the Securities and Exchange Commission from time to time. We present certain financial information and metrics “at Easterly’s Share,” which is calculated on an entity-by-entity basis. “At Easterly’s Share” information, which we also refer to as being “at share,” “pro rata,” or “our share” is not, and is not intended to be, a presentation in accordance with GAAP.</w:t>
      </w:r>
    </w:p>
    <w:p>
      <w:pPr>
        <w:pStyle w:val="TextBody"/>
        <w:bidi w:val="0"/>
        <w:spacing w:before="40" w:after="283"/>
        <w:jc w:val="both"/>
        <w:rPr>
          <w:rFonts w:ascii="Times New Roman" w:hAnsi="Times New Roman"/>
          <w:sz w:val="20"/>
        </w:rPr>
      </w:pPr>
      <w:r>
        <w:rPr>
          <w:rFonts w:ascii="Arial" w:hAnsi="Arial"/>
          <w:b/>
          <w:color w:val="000000"/>
          <w:sz w:val="22"/>
        </w:rPr>
        <w:t xml:space="preserve">Cash Available for Distribution (CAD) </w:t>
      </w:r>
      <w:r>
        <w:rPr>
          <w:rFonts w:ascii="Arial" w:hAnsi="Arial"/>
          <w:color w:val="000000"/>
          <w:sz w:val="22"/>
        </w:rPr>
        <w:t>is a non-GAAP financial measure that is not intended to represent cash flow for the period and is not indicative of cash flow provided by operating activities as determined under GAAP. CAD is calculated in accordance with the current Nareit definition as FFO minus normalized recurring real estate-related expenditures and other non-cash items, nonrecurring expenditures and the unconsolidated real estate venture’s allocated share of these adjustments. CAD is presented solely as a supplemental disclosure because the Company believes it provides useful information regarding the Company’s ability to fund its dividends. Because all companies do not calculate CAD the same way, the presentation of CAD may not be comparable to similarly titled measures of other companies</w:t>
      </w:r>
      <w:r>
        <w:rPr>
          <w:rFonts w:ascii="Arial" w:hAnsi="Arial"/>
          <w:b/>
          <w:color w:val="000000"/>
          <w:sz w:val="22"/>
        </w:rPr>
        <w:t>.</w:t>
      </w:r>
    </w:p>
    <w:p>
      <w:pPr>
        <w:pStyle w:val="TextBody"/>
        <w:bidi w:val="0"/>
        <w:spacing w:before="240" w:after="283"/>
        <w:jc w:val="both"/>
        <w:rPr>
          <w:rFonts w:ascii="Times New Roman" w:hAnsi="Times New Roman"/>
          <w:sz w:val="20"/>
        </w:rPr>
      </w:pPr>
      <w:r>
        <w:rPr>
          <w:rFonts w:ascii="Arial" w:hAnsi="Arial"/>
          <w:b/>
          <w:color w:val="000000"/>
          <w:sz w:val="22"/>
        </w:rPr>
        <w:t xml:space="preserve">Core Funds from Operations (Core FFO) </w:t>
      </w:r>
      <w:r>
        <w:rPr>
          <w:rFonts w:ascii="Arial" w:hAnsi="Arial"/>
          <w:color w:val="000000"/>
          <w:sz w:val="22"/>
        </w:rPr>
        <w:t>adjusts FFO to present an alternative measure of the Company's operating performance, which, when applicable, excludes items which it believes are not representative of ongoing operating results, such as liability management related costs (including losses on extinguishment of debt and modification costs), catastrophic event charges, depreciation of non-real estate assets, provision for (recovery of) credit losses, and the unconsolidated real estate venture's allocated share of these adjustments. In future periods, the Company may also exclude other items from Core FFO that it believes may help investors compare its results. The Company believes Core FFO more accurately reflects the ongoing operational and financial performance of the Company's core business.</w:t>
      </w:r>
    </w:p>
    <w:p>
      <w:pPr>
        <w:pStyle w:val="TextBody"/>
        <w:bidi w:val="0"/>
        <w:spacing w:before="240" w:after="283"/>
        <w:jc w:val="both"/>
        <w:rPr>
          <w:rFonts w:ascii="Times New Roman" w:hAnsi="Times New Roman"/>
          <w:sz w:val="20"/>
        </w:rPr>
      </w:pPr>
      <w:r>
        <w:rPr>
          <w:rFonts w:ascii="Arial" w:hAnsi="Arial"/>
          <w:b/>
          <w:color w:val="000000"/>
          <w:sz w:val="22"/>
        </w:rPr>
        <w:t xml:space="preserve">EBITDA </w:t>
      </w:r>
      <w:r>
        <w:rPr>
          <w:rFonts w:ascii="Arial" w:hAnsi="Arial"/>
          <w:color w:val="000000"/>
          <w:sz w:val="22"/>
        </w:rPr>
        <w:t>is calculated as the sum of net income (loss) before interest expense, taxes, depreciation and amortization, (gain) loss on the sale of operating properties, impairment loss, and the unconsolidated real estate venture’s allocated share of these adjustments. EBITDA is not intended to represent cash flow for the period, is not presented as an alternative to operating income as an indicator of operating performance, should not be considered in isolation or as a substitute for measures of performance prepared in accordance with GAAP, is not indicative of operating income or cash provided by operating activities as determined under GAAP and may be presented on a pro forma basis. EBITDA is presented solely as a supplemental disclosure with respect to liquidity because the Company believes it provides useful information regarding the Company's ability to service or incur debt. Because all companies do not calculate EBITDA the same way, the presentation of EBITDA may not be comparable to similarly titled measures of other companies.</w:t>
      </w:r>
    </w:p>
    <w:p>
      <w:pPr>
        <w:pStyle w:val="TextBody"/>
        <w:bidi w:val="0"/>
        <w:spacing w:before="240" w:after="283"/>
        <w:jc w:val="both"/>
        <w:rPr>
          <w:rFonts w:ascii="Times New Roman" w:hAnsi="Times New Roman"/>
          <w:sz w:val="20"/>
        </w:rPr>
      </w:pPr>
      <w:r>
        <w:rPr>
          <w:rFonts w:ascii="Arial" w:hAnsi="Arial"/>
          <w:b/>
          <w:color w:val="000000"/>
          <w:sz w:val="22"/>
        </w:rPr>
        <w:t xml:space="preserve">Funds From Operations (FFO) </w:t>
      </w:r>
      <w:r>
        <w:rPr>
          <w:rFonts w:ascii="Arial" w:hAnsi="Arial"/>
          <w:color w:val="000000"/>
          <w:sz w:val="22"/>
        </w:rPr>
        <w:t>is defined, in accordance with the Nareit FFO White Paper - 2018 Restatement, as net income (loss), calculated in accordance with GAAP, excluding depreciation and amortization related to real estate, gains and losses from the sale of certain real estate assets, gains and losses from change in control and impairment write-downs of certain real estate assets and investments in entities when the impairment is directly attributable to decreases in the value of depreciable real estate held by the entity. FFO includes the Company’s share of FFO generated by unconsolidated affiliates. FFO is a widely recognized measure of REIT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43050" cy="504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43050" cy="504825"/>
                    </a:xfrm>
                    <a:prstGeom prst="rect">
                      <a:avLst/>
                    </a:prstGeom>
                  </pic:spPr>
                </pic:pic>
              </a:graphicData>
            </a:graphic>
          </wp:inline>
        </w:drawing>
      </w:r>
    </w:p>
    <w:p>
      <w:pPr>
        <w:pStyle w:val="TextBody"/>
        <w:bidi w:val="0"/>
        <w:jc w:val="left"/>
        <w:rPr/>
      </w:pPr>
      <w:r>
        <w:rPr/>
        <w:t> </w:t>
      </w:r>
    </w:p>
    <w:p>
      <w:pPr>
        <w:pStyle w:val="TextBody"/>
        <w:bidi w:val="0"/>
        <w:spacing w:before="240" w:after="283"/>
        <w:jc w:val="both"/>
        <w:rPr>
          <w:rFonts w:ascii="Arial" w:hAnsi="Arial"/>
          <w:color w:val="000000"/>
          <w:sz w:val="22"/>
        </w:rPr>
      </w:pPr>
      <w:r>
        <w:rPr>
          <w:rFonts w:ascii="Arial" w:hAnsi="Arial"/>
          <w:color w:val="000000"/>
          <w:sz w:val="22"/>
        </w:rPr>
        <w:t>performance. Although FFO is a non-GAAP financial measure, the Company believes that information regarding FFO is helpful to shareholders and potential investors.</w:t>
      </w:r>
    </w:p>
    <w:p>
      <w:pPr>
        <w:pStyle w:val="TextBody"/>
        <w:bidi w:val="0"/>
        <w:spacing w:before="240" w:after="283"/>
        <w:jc w:val="both"/>
        <w:rPr>
          <w:rFonts w:ascii="Times New Roman" w:hAnsi="Times New Roman"/>
          <w:sz w:val="20"/>
        </w:rPr>
      </w:pPr>
      <w:r>
        <w:rPr>
          <w:rFonts w:ascii="Arial" w:hAnsi="Arial"/>
          <w:b/>
          <w:color w:val="000000"/>
          <w:sz w:val="22"/>
        </w:rPr>
        <w:t xml:space="preserve">Net Debt and Adjusted Net Debt </w:t>
      </w:r>
      <w:r>
        <w:rPr>
          <w:rFonts w:ascii="Arial" w:hAnsi="Arial"/>
          <w:color w:val="000000"/>
          <w:sz w:val="22"/>
        </w:rPr>
        <w:t>Net Debt represents the Company's consolidated debt and its share of unconsolidated debt adjusted to exclude its share of unamortized premiums and discounts and deferred financing fees, less its share of cash and cash equivalents and property acquisition closing escrow, net of deposit. By excluding these items, the result provides an estimate of the contractual amount of borrowed capital to be repaid, net of cash available to repay it. The Company believes this calculation constitutes a beneficial supplemental non-GAAP financial disclosure to investors in understanding its financial condition. Adjusted Net Debt is Net Debt reduced by 1) for each project under construction or in design, the lesser of i) outstanding lump-sum reimbursement amounts and ii) the cost to date, 2) 40% times the amount by which the cost to date exceeds total lump-sum reimbursement amounts for each project under construction or in design and 3) outstanding lump-sum reimbursement amounts for projects previously completed. These adjustments are made to 1) remove the estimated portion of each project under construction, in design or previously completed that has been financed with debt which may be repaid with outstanding cost reimbursement payments from the US Government and 2) remove the estimated portion of each project under construction or in design, in excess of total lump-sum reimbursements, that has been financed with debt but has not yet produced earnings. See page 28 of the Company’s Q2 2026 Supplemental Information Package for further information. The Company’s method of calculating Net Debt and Adjusted Net Debt may be different from methods used by other REITs and may be presented on a pro forma basis. Accordingly, the Company's method may not be comparable to such other REITs.</w:t>
      </w:r>
    </w:p>
    <w:p>
      <w:pPr>
        <w:pStyle w:val="TextBody"/>
        <w:bidi w:val="0"/>
        <w:spacing w:before="240" w:after="283"/>
        <w:jc w:val="both"/>
        <w:rPr>
          <w:rFonts w:ascii="Arial" w:hAnsi="Arial"/>
          <w:b/>
          <w:color w:val="000000"/>
          <w:sz w:val="22"/>
        </w:rPr>
      </w:pPr>
      <w:r>
        <w:rPr>
          <w:rFonts w:ascii="Arial" w:hAnsi="Arial"/>
          <w:b/>
          <w:color w:val="000000"/>
          <w:sz w:val="22"/>
        </w:rPr>
        <w:t>Other Definitions</w:t>
      </w:r>
    </w:p>
    <w:p>
      <w:pPr>
        <w:pStyle w:val="TextBody"/>
        <w:bidi w:val="0"/>
        <w:spacing w:before="360" w:after="283"/>
        <w:jc w:val="both"/>
        <w:rPr>
          <w:rFonts w:ascii="Times New Roman" w:hAnsi="Times New Roman"/>
          <w:sz w:val="20"/>
        </w:rPr>
      </w:pPr>
      <w:r>
        <w:rPr>
          <w:rFonts w:ascii="Arial" w:hAnsi="Arial"/>
          <w:b/>
          <w:color w:val="000000"/>
          <w:sz w:val="22"/>
        </w:rPr>
        <w:t>Fully diluted basis</w:t>
      </w:r>
      <w:r>
        <w:rPr>
          <w:rFonts w:ascii="Times New Roman" w:hAnsi="Times New Roman"/>
          <w:color w:val="000000"/>
          <w:sz w:val="20"/>
        </w:rPr>
        <w:t xml:space="preserve"> </w:t>
      </w:r>
      <w:r>
        <w:rPr>
          <w:rFonts w:ascii="Arial" w:hAnsi="Arial"/>
          <w:color w:val="000000"/>
          <w:sz w:val="22"/>
        </w:rPr>
        <w:t>assumes the exchange of all outstanding common units representing limited partnership interests in the Company’s operating partnership, or common units, the full vesting of all shares of restricted stock, and the exchange of all earned and vested LTIP units in the Company’s operating partnership for shares of common stock on a one-for-one basis, which is not the same as the meaning of “fully diluted” under GAAP.</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2"/>
        </w:rPr>
      </w:pPr>
      <w:r>
        <w:rPr>
          <w:rFonts w:ascii="Arial" w:hAnsi="Arial"/>
          <w:b/>
          <w:color w:val="000000"/>
          <w:sz w:val="22"/>
        </w:rPr>
        <w:t>Conference Call Information</w:t>
      </w:r>
    </w:p>
    <w:p>
      <w:pPr>
        <w:pStyle w:val="TextBody"/>
        <w:bidi w:val="0"/>
        <w:spacing w:before="120" w:after="283"/>
        <w:jc w:val="both"/>
        <w:rPr>
          <w:rFonts w:ascii="Arial" w:hAnsi="Arial"/>
          <w:color w:val="000000"/>
          <w:sz w:val="22"/>
        </w:rPr>
      </w:pPr>
      <w:r>
        <w:rPr>
          <w:rFonts w:ascii="Arial" w:hAnsi="Arial"/>
          <w:color w:val="000000"/>
          <w:sz w:val="22"/>
        </w:rPr>
        <w:t>The Company will host a webcast and conference call at 11:00 am Eastern time on August 3, 2026 to review the second quarter 2026 performance, discuss recent events and conduct a question-and-answer session. A live webcast will be available in the Investor Relations section of the Company’s website. Shortly after the webcast, a replay of the webcast will be available on the Investor Relations section of the Company's website for up to twelve months. Please note that the full text of the press release and supplemental information package are also available through the Company’s website at ir.easterlyreit.com.</w:t>
      </w:r>
    </w:p>
    <w:p>
      <w:pPr>
        <w:pStyle w:val="TextBody"/>
        <w:bidi w:val="0"/>
        <w:spacing w:before="360" w:after="283"/>
        <w:jc w:val="both"/>
        <w:rPr>
          <w:rFonts w:ascii="Arial" w:hAnsi="Arial"/>
          <w:b/>
          <w:color w:val="000000"/>
          <w:sz w:val="22"/>
        </w:rPr>
      </w:pPr>
      <w:r>
        <w:rPr>
          <w:rFonts w:ascii="Arial" w:hAnsi="Arial"/>
          <w:b/>
          <w:color w:val="000000"/>
          <w:sz w:val="22"/>
        </w:rPr>
        <w:t>About Easterly Government Properties, Inc.</w:t>
      </w:r>
    </w:p>
    <w:p>
      <w:pPr>
        <w:pStyle w:val="TextBody"/>
        <w:bidi w:val="0"/>
        <w:spacing w:before="120" w:after="283"/>
        <w:jc w:val="both"/>
        <w:rPr>
          <w:rFonts w:ascii="Arial" w:hAnsi="Arial"/>
          <w:color w:val="000000"/>
          <w:sz w:val="22"/>
        </w:rPr>
      </w:pPr>
      <w:r>
        <w:rPr>
          <w:rFonts w:ascii="Arial" w:hAnsi="Arial"/>
          <w:color w:val="000000"/>
          <w:sz w:val="22"/>
        </w:rPr>
        <w:t>Easterly Government Properties, Inc. (NYSE: DEA) is based in Washington, D.C., and focuses primarily on the acquisition, development and management of Class A commercial properties that are leased to the U.S. Government. Easterly’s experienced management team brings specialized insight into the strategy and needs of mission-critical U.S. Government agencies for properties leased to such agencies either directly or through the U.S. General Services Administration (GSA). For further information on the company and its properties, please visit www.easterlyreit.com.</w:t>
      </w:r>
    </w:p>
    <w:p>
      <w:pPr>
        <w:pStyle w:val="TextBody"/>
        <w:bidi w:val="0"/>
        <w:spacing w:before="120" w:after="283"/>
        <w:jc w:val="both"/>
        <w:rPr/>
      </w:pPr>
      <w:r>
        <w:rPr/>
        <w:t> </w:t>
      </w:r>
    </w:p>
    <w:p>
      <w:pPr>
        <w:pStyle w:val="TextBody"/>
        <w:bidi w:val="0"/>
        <w:spacing w:before="0" w:after="200"/>
        <w:jc w:val="left"/>
        <w:rPr>
          <w:rFonts w:ascii="Arial" w:hAnsi="Arial"/>
          <w:b/>
          <w:color w:val="000000"/>
          <w:sz w:val="22"/>
        </w:rPr>
      </w:pPr>
      <w:r>
        <w:rPr>
          <w:rFonts w:ascii="Arial" w:hAnsi="Arial"/>
          <w:b/>
          <w:color w:val="000000"/>
          <w:sz w:val="22"/>
        </w:rPr>
        <w:t>Contact:</w:t>
      </w:r>
    </w:p>
    <w:p>
      <w:pPr>
        <w:pStyle w:val="TextBody"/>
        <w:bidi w:val="0"/>
        <w:jc w:val="both"/>
        <w:rPr>
          <w:rFonts w:ascii="Arial" w:hAnsi="Arial"/>
          <w:color w:val="000000"/>
          <w:sz w:val="22"/>
        </w:rPr>
      </w:pPr>
      <w:r>
        <w:rPr>
          <w:rFonts w:ascii="Arial" w:hAnsi="Arial"/>
          <w:color w:val="000000"/>
          <w:sz w:val="22"/>
        </w:rPr>
        <w:t>Easterly Government Properties, Inc.</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43050" cy="504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43050" cy="504825"/>
                    </a:xfrm>
                    <a:prstGeom prst="rect">
                      <a:avLst/>
                    </a:prstGeom>
                  </pic:spPr>
                </pic:pic>
              </a:graphicData>
            </a:graphic>
          </wp:inline>
        </w:drawing>
      </w:r>
    </w:p>
    <w:p>
      <w:pPr>
        <w:pStyle w:val="TextBody"/>
        <w:bidi w:val="0"/>
        <w:jc w:val="left"/>
        <w:rPr/>
      </w:pPr>
      <w:r>
        <w:rPr/>
        <w:t> </w:t>
      </w:r>
    </w:p>
    <w:p>
      <w:pPr>
        <w:pStyle w:val="TextBody"/>
        <w:bidi w:val="0"/>
        <w:jc w:val="both"/>
        <w:rPr>
          <w:rFonts w:ascii="Arial" w:hAnsi="Arial"/>
          <w:color w:val="000000"/>
          <w:sz w:val="22"/>
        </w:rPr>
      </w:pPr>
      <w:r>
        <w:rPr>
          <w:rFonts w:ascii="Arial" w:hAnsi="Arial"/>
          <w:color w:val="000000"/>
          <w:sz w:val="22"/>
        </w:rPr>
        <w:t>Cole Bardawill</w:t>
      </w:r>
    </w:p>
    <w:p>
      <w:pPr>
        <w:pStyle w:val="TextBody"/>
        <w:bidi w:val="0"/>
        <w:jc w:val="both"/>
        <w:rPr>
          <w:rFonts w:ascii="Arial" w:hAnsi="Arial"/>
          <w:color w:val="000000"/>
          <w:sz w:val="22"/>
        </w:rPr>
      </w:pPr>
      <w:r>
        <w:rPr>
          <w:rFonts w:ascii="Arial" w:hAnsi="Arial"/>
          <w:color w:val="000000"/>
          <w:sz w:val="22"/>
        </w:rPr>
        <w:t>Director of Investor Relations</w:t>
      </w:r>
    </w:p>
    <w:p>
      <w:pPr>
        <w:pStyle w:val="TextBody"/>
        <w:bidi w:val="0"/>
        <w:jc w:val="both"/>
        <w:rPr>
          <w:rFonts w:ascii="Arial" w:hAnsi="Arial"/>
          <w:color w:val="000000"/>
          <w:sz w:val="22"/>
        </w:rPr>
      </w:pPr>
      <w:r>
        <w:rPr>
          <w:rFonts w:ascii="Arial" w:hAnsi="Arial"/>
          <w:color w:val="000000"/>
          <w:sz w:val="22"/>
        </w:rPr>
        <w:t>202-987-9395</w:t>
      </w:r>
    </w:p>
    <w:p>
      <w:pPr>
        <w:pStyle w:val="TextBody"/>
        <w:bidi w:val="0"/>
        <w:jc w:val="both"/>
        <w:rPr>
          <w:rFonts w:ascii="Arial" w:hAnsi="Arial"/>
          <w:color w:val="000000"/>
          <w:sz w:val="22"/>
        </w:rPr>
      </w:pPr>
      <w:r>
        <w:rPr>
          <w:rFonts w:ascii="Arial" w:hAnsi="Arial"/>
          <w:color w:val="000000"/>
          <w:sz w:val="22"/>
        </w:rPr>
        <w:t>ir@easterlyreit.com</w:t>
      </w:r>
    </w:p>
    <w:p>
      <w:pPr>
        <w:pStyle w:val="TextBody"/>
        <w:bidi w:val="0"/>
        <w:jc w:val="both"/>
        <w:rPr/>
      </w:pPr>
      <w:r>
        <w:rPr/>
        <w:t> </w:t>
      </w:r>
    </w:p>
    <w:p>
      <w:pPr>
        <w:pStyle w:val="TextBody"/>
        <w:bidi w:val="0"/>
        <w:jc w:val="both"/>
        <w:rPr>
          <w:rFonts w:ascii="Arial" w:hAnsi="Arial"/>
          <w:b/>
          <w:color w:val="000000"/>
          <w:sz w:val="22"/>
        </w:rPr>
      </w:pPr>
      <w:r>
        <w:rPr>
          <w:rFonts w:ascii="Arial" w:hAnsi="Arial"/>
          <w:b/>
          <w:color w:val="000000"/>
          <w:sz w:val="22"/>
        </w:rPr>
        <w:t>Forward Looking Statements</w:t>
      </w:r>
    </w:p>
    <w:p>
      <w:pPr>
        <w:pStyle w:val="TextBody"/>
        <w:bidi w:val="0"/>
        <w:spacing w:before="240" w:after="283"/>
        <w:jc w:val="both"/>
        <w:rPr>
          <w:rFonts w:ascii="Times New Roman" w:hAnsi="Times New Roman"/>
          <w:sz w:val="20"/>
        </w:rPr>
      </w:pPr>
      <w:r>
        <w:rPr>
          <w:rFonts w:ascii="Arial" w:hAnsi="Arial"/>
          <w:i/>
          <w:color w:val="000000"/>
          <w:sz w:val="22"/>
        </w:rPr>
        <w:t>We make statements in this press release that are considered “forward-looking statements” within the meaning of Section 27A of the Securities Act of 1933, as amended, or the Securities Act, and Section 21E of the Securities Exchange Act of 1934, as amended, or the Exchange Act, which are usually identified by the use of words such as “anticipates,” “believes,” “estimates,” “expects,” “intends,” “may,” “plans,” “projects,” “seeks,” “should,” “will,” and variations of such words or similar expressions and include our guidance with respect to Net income (loss) and Core FFO per share on a fully diluted basis. We intend these forward-looking statements to be covered by the safe harbor provisions for forward-looking statements contained in the Private Securities Litigation Reform Act of 1995 and are including this statement in this press release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associated with our dependence on the U.S. Government and its agencies for substantially all of our revenues, including credit risk and risk that the U.S. Government reduces its spending on real estate or that it changes its preference away from leased properties, including as a result of or in connection with any shutdown of the U.S. Government; risks associated with ownership and development of real estate; the risk of decreased rental rates or increased vacancy rates; the loss of key personnel; general volatility of the capital and credit markets and the market price of our common stock; the risk we may lose one or more major tenants; difficulties in completing and successfully integrating acquisitions; failure of acquisitions or development projects to occur at anticipated levels or yield anticipated results; risks associated with our joint venture activities; risks associated with actual or threatened terrorist attacks; intense competition in the real estate market that may limit our ability to attract or retain tenants or re-lease space; insufficient amounts of insurance or exposure to events that are either uninsured or underinsured; uncertainties and risks related to adverse weather conditions, natural disasters and climate change; exposure to liability relating to environmental and health and safety matters; limited ability to dispose of assets because of the relative illiquidity of real estate investments and the nature of our assets; exposure to litigation or other claims; risks associated with breaches of our data security; risks associated with our indebtedness, including failure to refinance current or future indebtedness on favorable terms, or at all, failure to meet the restrictive covenants and requirements in our existing and new debt agreements, fluctuations in interest rates and increased costs to refinance or issue new debt; risks associated with derivatives or hedging activity; risks associated with mortgage debt or unsecured financing or the unavailability thereof, which could make it difficult to finance or refinance properties and could subject us to foreclosure; adverse impacts from any future pandemic, epidemic or outbreak of any highly infectious disease on the U.S., regional and global economies and our financial condition and results of operations; and other risks and uncertainties detailed in the “Risk Factors” section of our Form 10-K for the year ended December 31, 2025, filed with the Securities and Exchange Commission (SEC) on February 23, 2026, and under the heading “Risk Factors” in our other public filings. In addition, our anticipated qualification as a real estate investment trust involves the application of highly technical and complex provisions of the Internal Revenue Code of 1986, or the Code, and depends on our ability to meet the various requirements imposed by the Code through actual operating results, distribution levels and diversity of stock ownership. We assume no obligation to update publicly any forward looking statements, whether as a result of new information, future events or otherwise.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43050" cy="504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43050" cy="504825"/>
                    </a:xfrm>
                    <a:prstGeom prst="rect">
                      <a:avLst/>
                    </a:prstGeom>
                  </pic:spPr>
                </pic:pic>
              </a:graphicData>
            </a:graphic>
          </wp:inline>
        </w:drawing>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Balance Sheet</w:t>
      </w:r>
    </w:p>
    <w:p>
      <w:pPr>
        <w:pStyle w:val="TextBody"/>
        <w:bidi w:val="0"/>
        <w:spacing w:before="120" w:after="283"/>
        <w:jc w:val="center"/>
        <w:rPr>
          <w:rFonts w:ascii="Arial" w:hAnsi="Arial"/>
          <w:color w:val="000000"/>
          <w:sz w:val="22"/>
        </w:rPr>
      </w:pPr>
      <w:r>
        <w:rPr>
          <w:rFonts w:ascii="Arial" w:hAnsi="Arial"/>
          <w:color w:val="000000"/>
          <w:sz w:val="22"/>
        </w:rPr>
        <w:t>(Unaudited, in thousands, except share amounts)</w:t>
      </w:r>
    </w:p>
    <w:tbl>
      <w:tblPr>
        <w:tblW w:w="9085" w:type="dxa"/>
        <w:jc w:val="left"/>
        <w:tblInd w:w="0" w:type="dxa"/>
        <w:tblLayout w:type="fixed"/>
        <w:tblCellMar>
          <w:top w:w="28" w:type="dxa"/>
          <w:left w:w="28" w:type="dxa"/>
          <w:bottom w:w="28" w:type="dxa"/>
          <w:right w:w="28" w:type="dxa"/>
        </w:tblCellMar>
      </w:tblPr>
      <w:tblGrid>
        <w:gridCol w:w="5471"/>
        <w:gridCol w:w="146"/>
        <w:gridCol w:w="224"/>
        <w:gridCol w:w="946"/>
        <w:gridCol w:w="166"/>
        <w:gridCol w:w="146"/>
        <w:gridCol w:w="302"/>
        <w:gridCol w:w="1273"/>
        <w:gridCol w:w="411"/>
      </w:tblGrid>
      <w:tr>
        <w:trPr/>
        <w:tc>
          <w:tcPr>
            <w:tcW w:w="5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Real estate properties,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2,751,493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2,714,650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Tenant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Investment in unconsolidated real estate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304,721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Real estate loans receivable, net and investment in sales-type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57,078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3,416,399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3,379,770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199,050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Term loan facilities,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495,847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297,200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1,019,382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1,018,884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Mortgage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151,191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Intangible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219,201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Accounts payable,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109,686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2,056,640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2,010,205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 xml:space="preserve">Common stock, par value $0.01, 80,000,000 shares authorized, </w:t>
              <w:br/>
              <w:t>  47,321,617 and 46,303,469 shares issued and outstanding at</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1,983,878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1,958,412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144,857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Cumulative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(817,791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(776,022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1,315,265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1,323,132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Non-controlling interest in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44,494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Arial" w:hAnsi="Arial"/>
                <w:b/>
                <w:color w:val="000000"/>
                <w:sz w:val="16"/>
              </w:rPr>
              <w:t>Total</w:t>
            </w:r>
            <w:r>
              <w:rPr>
                <w:rFonts w:ascii="Times New Roman" w:hAnsi="Times New Roman"/>
                <w:color w:val="000000"/>
                <w:sz w:val="16"/>
              </w:rPr>
              <w:t xml:space="preserve"> </w:t>
            </w:r>
            <w:r>
              <w:rPr>
                <w:rFonts w:ascii="Arial" w:hAnsi="Arial"/>
                <w:b/>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1,359,759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1,369,565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3,416,399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3,379,770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p>
      <w:pPr>
        <w:pStyle w:val="TextBody"/>
        <w:bidi w:val="0"/>
        <w:spacing w:before="80" w:after="283"/>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43050" cy="504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43050" cy="504825"/>
                    </a:xfrm>
                    <a:prstGeom prst="rect">
                      <a:avLst/>
                    </a:prstGeom>
                  </pic:spPr>
                </pic:pic>
              </a:graphicData>
            </a:graphic>
          </wp:inline>
        </w:drawing>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Income Statement</w:t>
      </w:r>
    </w:p>
    <w:p>
      <w:pPr>
        <w:pStyle w:val="TextBody"/>
        <w:bidi w:val="0"/>
        <w:spacing w:before="120" w:after="283"/>
        <w:jc w:val="center"/>
        <w:rPr>
          <w:rFonts w:ascii="Arial" w:hAnsi="Arial"/>
          <w:color w:val="000000"/>
          <w:sz w:val="22"/>
        </w:rPr>
      </w:pPr>
      <w:r>
        <w:rPr>
          <w:rFonts w:ascii="Arial" w:hAnsi="Arial"/>
          <w:color w:val="000000"/>
          <w:sz w:val="22"/>
        </w:rPr>
        <w:t>(Unaudited, in thousands, except share and per share amounts)</w:t>
      </w:r>
    </w:p>
    <w:tbl>
      <w:tblPr>
        <w:tblW w:w="10119" w:type="dxa"/>
        <w:jc w:val="left"/>
        <w:tblInd w:w="0" w:type="dxa"/>
        <w:tblLayout w:type="fixed"/>
        <w:tblCellMar>
          <w:top w:w="28" w:type="dxa"/>
          <w:left w:w="28" w:type="dxa"/>
          <w:bottom w:w="28" w:type="dxa"/>
          <w:right w:w="28" w:type="dxa"/>
        </w:tblCellMar>
      </w:tblPr>
      <w:tblGrid>
        <w:gridCol w:w="3946"/>
        <w:gridCol w:w="146"/>
        <w:gridCol w:w="206"/>
        <w:gridCol w:w="964"/>
        <w:gridCol w:w="166"/>
        <w:gridCol w:w="146"/>
        <w:gridCol w:w="206"/>
        <w:gridCol w:w="964"/>
        <w:gridCol w:w="166"/>
        <w:gridCol w:w="146"/>
        <w:gridCol w:w="206"/>
        <w:gridCol w:w="964"/>
        <w:gridCol w:w="166"/>
        <w:gridCol w:w="146"/>
        <w:gridCol w:w="206"/>
        <w:gridCol w:w="964"/>
        <w:gridCol w:w="41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2" w:type="dxa"/>
            <w:gridSpan w:val="6"/>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4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Rental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155,913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Tenant reimbursements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Asset management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162,909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Property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37,009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Corporate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Recovery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121,697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Income from unconsolidated real estate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(37,337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6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7,537</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Non-controlling interest in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 available to Easterly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Properties,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7,198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 available to Easterly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Properties, Inc.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46,463,199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45,011,585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46,362,418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44,122,803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46,699,118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45,111,753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46,577,709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44,230,123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per share - fully diluted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fully diluted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48,161,107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47,043,923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48,079,226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46,236,779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43050" cy="504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43050" cy="504825"/>
                    </a:xfrm>
                    <a:prstGeom prst="rect">
                      <a:avLst/>
                    </a:prstGeom>
                  </pic:spPr>
                </pic:pic>
              </a:graphicData>
            </a:graphic>
          </wp:inline>
        </w:drawing>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EBITDA</w:t>
      </w:r>
    </w:p>
    <w:p>
      <w:pPr>
        <w:pStyle w:val="TextBody"/>
        <w:bidi w:val="0"/>
        <w:spacing w:before="120" w:after="283"/>
        <w:jc w:val="center"/>
        <w:rPr>
          <w:rFonts w:ascii="Arial" w:hAnsi="Arial"/>
          <w:color w:val="000000"/>
          <w:sz w:val="22"/>
        </w:rPr>
      </w:pPr>
      <w:r>
        <w:rPr>
          <w:rFonts w:ascii="Arial" w:hAnsi="Arial"/>
          <w:color w:val="000000"/>
          <w:sz w:val="22"/>
        </w:rPr>
        <w:t>(Unaudited, in thousands)</w:t>
      </w:r>
    </w:p>
    <w:tbl>
      <w:tblPr>
        <w:tblW w:w="10205" w:type="dxa"/>
        <w:jc w:val="left"/>
        <w:tblInd w:w="0" w:type="dxa"/>
        <w:tblLayout w:type="fixed"/>
        <w:tblCellMar>
          <w:top w:w="28" w:type="dxa"/>
          <w:left w:w="28" w:type="dxa"/>
          <w:bottom w:w="28" w:type="dxa"/>
          <w:right w:w="28" w:type="dxa"/>
        </w:tblCellMar>
      </w:tblPr>
      <w:tblGrid>
        <w:gridCol w:w="4448"/>
        <w:gridCol w:w="246"/>
        <w:gridCol w:w="263"/>
        <w:gridCol w:w="810"/>
        <w:gridCol w:w="146"/>
        <w:gridCol w:w="146"/>
        <w:gridCol w:w="263"/>
        <w:gridCol w:w="810"/>
        <w:gridCol w:w="146"/>
        <w:gridCol w:w="146"/>
        <w:gridCol w:w="242"/>
        <w:gridCol w:w="855"/>
        <w:gridCol w:w="146"/>
        <w:gridCol w:w="146"/>
        <w:gridCol w:w="242"/>
        <w:gridCol w:w="855"/>
        <w:gridCol w:w="295"/>
      </w:tblGrid>
      <w:tr>
        <w:trPr/>
        <w:tc>
          <w:tcPr>
            <w:tcW w:w="44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8" w:type="dxa"/>
            <w:gridSpan w:val="6"/>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6" w:type="dxa"/>
            <w:gridSpan w:val="6"/>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2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7,537</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55,331</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37,337</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Tax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4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Unconsolidated real estate venture allocated share of above 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4,682</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EBITDA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105,243</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43050" cy="504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543050" cy="504825"/>
                    </a:xfrm>
                    <a:prstGeom prst="rect">
                      <a:avLst/>
                    </a:prstGeom>
                  </pic:spPr>
                </pic:pic>
              </a:graphicData>
            </a:graphic>
          </wp:inline>
        </w:drawing>
      </w:r>
    </w:p>
    <w:p>
      <w:pPr>
        <w:pStyle w:val="TextBody"/>
        <w:bidi w:val="0"/>
        <w:jc w:val="left"/>
        <w:rPr/>
      </w:pPr>
      <w:r>
        <w:rPr/>
        <w:t> </w:t>
      </w:r>
    </w:p>
    <w:p>
      <w:pPr>
        <w:pStyle w:val="TextBody"/>
        <w:bidi w:val="0"/>
        <w:jc w:val="center"/>
        <w:rPr>
          <w:rFonts w:ascii="Arial" w:hAnsi="Arial"/>
          <w:b/>
          <w:color w:val="000000"/>
          <w:sz w:val="22"/>
        </w:rPr>
      </w:pPr>
      <w:r>
        <w:rPr>
          <w:rFonts w:ascii="Arial" w:hAnsi="Arial"/>
          <w:b/>
          <w:color w:val="000000"/>
          <w:sz w:val="22"/>
        </w:rPr>
        <w:t>FFO and CAD</w:t>
      </w:r>
    </w:p>
    <w:p>
      <w:pPr>
        <w:pStyle w:val="TextBody"/>
        <w:bidi w:val="0"/>
        <w:spacing w:before="120" w:after="283"/>
        <w:jc w:val="center"/>
        <w:rPr>
          <w:rFonts w:ascii="Arial" w:hAnsi="Arial"/>
          <w:color w:val="000000"/>
          <w:sz w:val="22"/>
        </w:rPr>
      </w:pPr>
      <w:r>
        <w:rPr>
          <w:rFonts w:ascii="Arial" w:hAnsi="Arial"/>
          <w:color w:val="000000"/>
          <w:sz w:val="22"/>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110"/>
        <w:gridCol w:w="246"/>
        <w:gridCol w:w="202"/>
        <w:gridCol w:w="947"/>
        <w:gridCol w:w="166"/>
        <w:gridCol w:w="146"/>
        <w:gridCol w:w="202"/>
        <w:gridCol w:w="947"/>
        <w:gridCol w:w="166"/>
        <w:gridCol w:w="146"/>
        <w:gridCol w:w="202"/>
        <w:gridCol w:w="947"/>
        <w:gridCol w:w="166"/>
        <w:gridCol w:w="146"/>
        <w:gridCol w:w="202"/>
        <w:gridCol w:w="947"/>
        <w:gridCol w:w="317"/>
      </w:tblGrid>
      <w:tr>
        <w:trPr/>
        <w:tc>
          <w:tcPr>
            <w:tcW w:w="4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6"/>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0" w:type="dxa"/>
            <w:gridSpan w:val="6"/>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317"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317"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7,537</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of real estate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54,828</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Unconsolidated real estate venture allocated share of above 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4,559</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FFO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66,924</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Adjustments to FFO: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Loss on extinguishment of debt and modification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900</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Recovery of credit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(777</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Natural disaster event expense, net of recovery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of non-real estate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503</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Unconsolidated real estate venture allocated share of above 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Core FFO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67,653</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FFO, per share - fully diluted basis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Core FFO, per share - fully diluted basis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Core FFO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67,653</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Straight-line rent and other non-cash 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Amortization of above-/below-market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(1,006</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Amortization of 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(3,625</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Non-cash 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1,614</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Non-cash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2,816</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Natural disaster event expense, net of recovery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Principal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(2,264</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Maintenance capital expenditures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(4,005</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Contractual tenant improvements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(612</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Unconsolidated real estate venture allocated share of above 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Available for Distribution (CAD)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60,443</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 - fully diluted basis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48,161,107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47,043,923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48,079,226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46,236,779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rFonts w:ascii="Arial" w:hAnsi="Arial"/>
          <w:b/>
          <w:color w:val="000000"/>
          <w:sz w:val="22"/>
        </w:rPr>
      </w:pPr>
      <w:r>
        <w:rPr>
          <w:rFonts w:ascii="Arial" w:hAnsi="Arial"/>
          <w:b/>
          <w:color w:val="000000"/>
          <w:sz w:val="22"/>
        </w:rPr>
        <w:t>Net Debt and Adjusted Net Debt</w:t>
      </w:r>
    </w:p>
    <w:p>
      <w:pPr>
        <w:pStyle w:val="TextBody"/>
        <w:bidi w:val="0"/>
        <w:spacing w:before="120" w:after="283"/>
        <w:jc w:val="center"/>
        <w:rPr>
          <w:rFonts w:ascii="Arial" w:hAnsi="Arial"/>
          <w:color w:val="000000"/>
          <w:sz w:val="22"/>
        </w:rPr>
      </w:pPr>
      <w:r>
        <w:rPr>
          <w:rFonts w:ascii="Arial" w:hAnsi="Arial"/>
          <w:color w:val="000000"/>
          <w:sz w:val="22"/>
        </w:rPr>
        <w:t>(Unaudited, in thousands)</w:t>
      </w:r>
    </w:p>
    <w:tbl>
      <w:tblPr>
        <w:tblW w:w="4727" w:type="dxa"/>
        <w:jc w:val="left"/>
        <w:tblInd w:w="0" w:type="dxa"/>
        <w:tblLayout w:type="fixed"/>
        <w:tblCellMar>
          <w:top w:w="28" w:type="dxa"/>
          <w:left w:w="28" w:type="dxa"/>
          <w:bottom w:w="28" w:type="dxa"/>
          <w:right w:w="28" w:type="dxa"/>
        </w:tblCellMar>
      </w:tblPr>
      <w:tblGrid>
        <w:gridCol w:w="3346"/>
        <w:gridCol w:w="224"/>
        <w:gridCol w:w="946"/>
        <w:gridCol w:w="211"/>
      </w:tblGrid>
      <w:tr>
        <w:trPr/>
        <w:tc>
          <w:tcPr>
            <w:tcW w:w="33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E7E6E6"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b/>
                <w:color w:val="000000"/>
                <w:sz w:val="16"/>
              </w:rPr>
              <w:t>Total Debt</w:t>
            </w:r>
            <w:r>
              <w:rPr>
                <w:rFonts w:ascii="sans-serif" w:hAnsi="sans-serif"/>
                <w:color w:val="000000"/>
                <w:sz w:val="11"/>
              </w:rPr>
              <w:t>(1)</w:t>
            </w:r>
          </w:p>
        </w:tc>
        <w:tc>
          <w:tcPr>
            <w:tcW w:w="224"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946"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1,717,358</w:t>
            </w:r>
          </w:p>
        </w:tc>
        <w:tc>
          <w:tcPr>
            <w:tcW w:w="21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Cash and cash equivalents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46"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Debt</w:t>
            </w:r>
          </w:p>
        </w:tc>
        <w:tc>
          <w:tcPr>
            <w:tcW w:w="224"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946"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1,712,733</w:t>
            </w:r>
          </w:p>
        </w:tc>
        <w:tc>
          <w:tcPr>
            <w:tcW w:w="21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Less: Adjustment for development projects</w:t>
            </w:r>
            <w:r>
              <w:rPr>
                <w:rFonts w:ascii="Arial" w:hAnsi="Arial"/>
                <w:color w:val="000000"/>
                <w:sz w:val="11"/>
              </w:rPr>
              <w:t>(2)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(59,282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346"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Adjusted Net Debt</w:t>
            </w:r>
          </w:p>
        </w:tc>
        <w:tc>
          <w:tcPr>
            <w:tcW w:w="224"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946"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1,653,451</w:t>
            </w:r>
          </w:p>
        </w:tc>
        <w:tc>
          <w:tcPr>
            <w:tcW w:w="21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color w:val="000000"/>
          <w:sz w:val="11"/>
        </w:rPr>
        <w:t>1</w:t>
      </w:r>
      <w:r>
        <w:rPr>
          <w:rFonts w:ascii="Times New Roman" w:hAnsi="Times New Roman"/>
          <w:color w:val="000000"/>
          <w:sz w:val="20"/>
        </w:rPr>
        <w:t xml:space="preserve"> </w:t>
      </w:r>
      <w:r>
        <w:rPr>
          <w:rFonts w:ascii="Arial" w:hAnsi="Arial"/>
          <w:color w:val="000000"/>
          <w:sz w:val="16"/>
        </w:rPr>
        <w:t>Excludes unamortized premiums / discounts and deferred financing fees.</w:t>
      </w:r>
    </w:p>
    <w:p>
      <w:pPr>
        <w:pStyle w:val="TextBody"/>
        <w:bidi w:val="0"/>
        <w:jc w:val="left"/>
        <w:rPr>
          <w:rFonts w:ascii="Times New Roman" w:hAnsi="Times New Roman"/>
          <w:sz w:val="20"/>
        </w:rPr>
      </w:pPr>
      <w:r>
        <w:rPr>
          <w:rFonts w:ascii="Arial" w:hAnsi="Arial"/>
          <w:color w:val="000000"/>
          <w:sz w:val="11"/>
        </w:rPr>
        <w:t>2</w:t>
      </w:r>
      <w:r>
        <w:rPr>
          <w:rFonts w:ascii="Times New Roman" w:hAnsi="Times New Roman"/>
          <w:color w:val="000000"/>
          <w:sz w:val="20"/>
        </w:rPr>
        <w:t xml:space="preserve"> </w:t>
      </w:r>
      <w:r>
        <w:rPr>
          <w:rFonts w:ascii="Arial" w:hAnsi="Arial"/>
          <w:color w:val="000000"/>
          <w:sz w:val="16"/>
        </w:rPr>
        <w:t>See definition of Adjusted Net Debt on Page 4 of this release.</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 w:name="dea-ex99_2.htm"/>
      <w:bookmarkStart w:id="5" w:name="ksdeaex99_2"/>
      <w:bookmarkEnd w:id="4"/>
      <w:bookmarkEnd w:id="5"/>
      <w:r>
        <w:rPr>
          <w:rFonts w:ascii="Arial" w:hAnsi="Arial"/>
          <w:b/>
          <w:color w:val="000000"/>
          <w:sz w:val="20"/>
        </w:rPr>
        <w:t>Exhibit 99.2</w:t>
      </w:r>
      <w:r>
        <w:br w:type="page"/>
      </w:r>
    </w:p>
    <w:p>
      <w:pPr>
        <w:pStyle w:val="TextBody"/>
        <w:bidi w:val="0"/>
        <w:jc w:val="left"/>
        <w:rPr/>
      </w:pPr>
      <w:r>
        <w:rPr/>
        <w:drawing>
          <wp:inline distT="0" distB="0" distL="0" distR="0">
            <wp:extent cx="9144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6858000"/>
                    </a:xfrm>
                    <a:prstGeom prst="rect">
                      <a:avLst/>
                    </a:prstGeom>
                  </pic:spPr>
                </pic:pic>
              </a:graphicData>
            </a:graphic>
          </wp:inline>
        </w:drawing>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tbl>
      <w:tblPr>
        <w:tblW w:w="4537" w:type="dxa"/>
        <w:jc w:val="left"/>
        <w:tblInd w:w="0" w:type="dxa"/>
        <w:tblLayout w:type="fixed"/>
        <w:tblCellMar>
          <w:top w:w="28" w:type="dxa"/>
          <w:left w:w="28" w:type="dxa"/>
          <w:bottom w:w="28" w:type="dxa"/>
          <w:right w:w="28" w:type="dxa"/>
        </w:tblCellMar>
      </w:tblPr>
      <w:tblGrid>
        <w:gridCol w:w="2051"/>
        <w:gridCol w:w="2486"/>
      </w:tblGrid>
      <w:tr>
        <w:trPr/>
        <w:tc>
          <w:tcPr>
            <w:tcW w:w="205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051"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B4B86"/>
                <w:sz w:val="36"/>
              </w:rPr>
            </w:pPr>
            <w:r>
              <w:rPr>
                <w:rFonts w:ascii="Arial" w:hAnsi="Arial"/>
                <w:color w:val="2B4B86"/>
                <w:sz w:val="36"/>
              </w:rPr>
              <w:t>Disclaimers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95425" cy="542925"/>
                          </a:xfrm>
                          <a:prstGeom prst="rect">
                            <a:avLst/>
                          </a:prstGeom>
                        </pic:spPr>
                      </pic:pic>
                    </a:graphicData>
                  </a:graphic>
                </wp:inline>
              </w:drawing>
            </w:r>
          </w:p>
        </w:tc>
      </w:tr>
      <w:tr>
        <w:trPr/>
        <w:tc>
          <w:tcPr>
            <w:tcW w:w="4537"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Arial" w:hAnsi="Arial"/>
          <w:b/>
          <w:i/>
          <w:color w:val="53565A"/>
          <w:sz w:val="20"/>
        </w:rPr>
      </w:pPr>
      <w:r>
        <w:rPr>
          <w:rFonts w:ascii="Arial" w:hAnsi="Arial"/>
          <w:b/>
          <w:i/>
          <w:color w:val="53565A"/>
          <w:sz w:val="20"/>
        </w:rPr>
        <w:t>Forward-Looking Statements</w:t>
      </w:r>
    </w:p>
    <w:p>
      <w:pPr>
        <w:pStyle w:val="TextBody"/>
        <w:bidi w:val="0"/>
        <w:jc w:val="both"/>
        <w:rPr>
          <w:rFonts w:ascii="Arial" w:hAnsi="Arial"/>
          <w:i/>
          <w:color w:val="53565A"/>
          <w:sz w:val="20"/>
        </w:rPr>
      </w:pPr>
      <w:r>
        <w:rPr>
          <w:rFonts w:ascii="Arial" w:hAnsi="Arial"/>
          <w:i/>
          <w:color w:val="53565A"/>
          <w:sz w:val="20"/>
        </w:rPr>
        <w:t>We make statements in this Supplemental Information Package that are considered “forward-looking statements” within the meaning of Section 27A of the Securities Act of 1933, as amended, or the Securities Act, and Section 21E of the Securities Exchange Act of 1934, as amended, or the Exchange Act, which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the Private Securities Litigation Reform Act of 1995 and are including this statement in this Supplemental Information Package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associated with our dependence on the U.S. Government and its agencies for substantially all of our revenues, including credit risk and risk that the U.S. Government reduces its spending on real estate or that it changes its preference away from leased properties, including as a result of or in connection with any shutdown of the U.S. Government; risks associated with ownership and development of real estate; the risk of decreased rental rates or increased vacancy rates; the loss of key personnel; general volatility of the capital and credit markets and the market price of our common stock; the risk we may lose one or more major tenants; difficulties in completing and successfully integrating acquisitions; failure of acquisitions or development projects to occur at anticipated levels or yield anticipated results; risks associated with our joint venture activities; risks associated with actual or threatened terrorist attacks; intense competition in the real estate market that may limit our ability to attract or retain tenants or re-lease space; insufficient amounts of insurance or exposure to events that are either uninsured or underinsured; uncertainties and risks related to adverse weather conditions, natural disasters and climate change; exposure to liability relating to environmental and health and safety matters; limited ability to dispose of assets because of the relative illiquidity of real estate investments and the nature of our assets; exposure to litigation or other claims; risks associated with breaches of our data security; risks associated with our indebtedness, including failure to refinance current or future indebtedness on favorable terms, or at all, failure to meet the restrictive covenants and requirements in our existing and new debt agreements, fluctuations in interest rates and increased costs to refinance or issue new debt; risks associated with derivatives or hedging activity; risks associated with mortgage debt or unsecured financing or the unavailability thereof, which could make it difficult to finance or refinance properties and could subject us to foreclosure; adverse impacts from any future pandemic, epidemic or outbreak of any highly infectious disease on the U.S., regional and global economies and the financial condition and results of operations of the Company; and other risks and uncertainties detailed in the “Risk Factors” section of our Form 10-K for the year ended December 31, 2025, filed with the Securities and Exchange Commission, or the SEC, on February 23, 2026 and included under the heading “Risk Factors” in our other public filings. In addition, our qualification as a real estate investment trust involves the application of highly technical and complex provisions of the Internal Revenue Code of 1986, or the Code, and depends on our ability to meet the various requirements imposed by the Code through actual operating results, distribution levels and diversity of stock ownership. We assume no obligation to update publicly any forward-looking statements, whether as a result of new information, future events or otherwise.</w:t>
      </w:r>
    </w:p>
    <w:p>
      <w:pPr>
        <w:pStyle w:val="TextBody"/>
        <w:bidi w:val="0"/>
        <w:spacing w:before="240" w:after="283"/>
        <w:jc w:val="both"/>
        <w:rPr>
          <w:rFonts w:ascii="Arial" w:hAnsi="Arial"/>
          <w:b/>
          <w:i/>
          <w:color w:val="53565A"/>
          <w:sz w:val="20"/>
        </w:rPr>
      </w:pPr>
      <w:r>
        <w:rPr>
          <w:rFonts w:ascii="Arial" w:hAnsi="Arial"/>
          <w:b/>
          <w:i/>
          <w:color w:val="53565A"/>
          <w:sz w:val="20"/>
        </w:rPr>
        <w:t>Ratings</w:t>
      </w:r>
    </w:p>
    <w:p>
      <w:pPr>
        <w:pStyle w:val="TextBody"/>
        <w:bidi w:val="0"/>
        <w:jc w:val="both"/>
        <w:rPr>
          <w:rFonts w:ascii="Arial" w:hAnsi="Arial"/>
          <w:i/>
          <w:color w:val="53565A"/>
          <w:sz w:val="20"/>
        </w:rPr>
      </w:pPr>
      <w:r>
        <w:rPr>
          <w:rFonts w:ascii="Arial" w:hAnsi="Arial"/>
          <w:i/>
          <w:color w:val="53565A"/>
          <w:sz w:val="20"/>
        </w:rPr>
        <w:t>Ratings are not recommendations to buy, sell or hold the Company’s securities.</w:t>
      </w:r>
    </w:p>
    <w:p>
      <w:pPr>
        <w:pStyle w:val="TextBody"/>
        <w:bidi w:val="0"/>
        <w:spacing w:before="200" w:after="283"/>
        <w:jc w:val="both"/>
        <w:rPr>
          <w:rFonts w:ascii="Arial" w:hAnsi="Arial"/>
          <w:i/>
          <w:color w:val="53565A"/>
          <w:sz w:val="20"/>
        </w:rPr>
      </w:pPr>
      <w:r>
        <w:rPr>
          <w:rFonts w:ascii="Arial" w:hAnsi="Arial"/>
          <w:i/>
          <w:color w:val="53565A"/>
          <w:sz w:val="20"/>
        </w:rPr>
        <w:t>The following discussion related to the consolidated financial statements of the Company should be read in conjunction with the financial statements for the quarter ended June 30, 2026 that will be released in our Form 10-Q to be filed with the SEC on or about August 3, 2026.</w:t>
      </w:r>
    </w:p>
    <w:p>
      <w:pPr>
        <w:pStyle w:val="TextBody"/>
        <w:bidi w:val="0"/>
        <w:spacing w:before="24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tbl>
      <w:tblPr>
        <w:tblW w:w="6622" w:type="dxa"/>
        <w:jc w:val="left"/>
        <w:tblInd w:w="0" w:type="dxa"/>
        <w:tblLayout w:type="fixed"/>
        <w:tblCellMar>
          <w:top w:w="28" w:type="dxa"/>
          <w:left w:w="28" w:type="dxa"/>
          <w:bottom w:w="28" w:type="dxa"/>
          <w:right w:w="28" w:type="dxa"/>
        </w:tblCellMar>
      </w:tblPr>
      <w:tblGrid>
        <w:gridCol w:w="4136"/>
        <w:gridCol w:w="2486"/>
      </w:tblGrid>
      <w:tr>
        <w:trPr/>
        <w:tc>
          <w:tcPr>
            <w:tcW w:w="413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13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B4B86"/>
                <w:sz w:val="36"/>
              </w:rPr>
            </w:pPr>
            <w:r>
              <w:rPr>
                <w:rFonts w:ascii="Arial" w:hAnsi="Arial"/>
                <w:color w:val="2B4B86"/>
                <w:sz w:val="36"/>
              </w:rPr>
              <w:t>Supplemental Definitions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95425" cy="542925"/>
                          </a:xfrm>
                          <a:prstGeom prst="rect">
                            <a:avLst/>
                          </a:prstGeom>
                        </pic:spPr>
                      </pic:pic>
                    </a:graphicData>
                  </a:graphic>
                </wp:inline>
              </w:drawing>
            </w:r>
          </w:p>
        </w:tc>
      </w:tr>
      <w:tr>
        <w:trPr/>
        <w:tc>
          <w:tcPr>
            <w:tcW w:w="662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Arial" w:hAnsi="Arial"/>
          <w:i/>
          <w:color w:val="53565A"/>
          <w:sz w:val="20"/>
        </w:rPr>
      </w:pPr>
      <w:r>
        <w:rPr>
          <w:rFonts w:ascii="Arial" w:hAnsi="Arial"/>
          <w:i/>
          <w:color w:val="53565A"/>
          <w:sz w:val="20"/>
        </w:rPr>
        <w:t>This section contains definitions of certain non-GAAP financial measures and other terms that the Company uses in this Supplemental Information Package and, where applicable, the reasons why management believes these non-GAAP financial measures provide useful information to investors about the Company’s financial condition and results of operations and the other purposes for which management uses the measures. These measures should not be considered in isolation or as a substitute for measures of performance in accordance with GAAP. Additional detail can be found in the Company’s most recent quarterly report on Form 10-Q and the Company’s most recent annual report on Form 10-K, as well as other documents filed with or furnished to the SEC from time to time. We present certain financial information and metrics “at Easterly’s Share,” which is calculated on an entity-by-entity basis. “At Easterly’s Share” information, which we also refer to as being “at share,” “pro rata,” “our pro rata share” or “our share” is not, and is not intended to be, a presentation in accordance with GAAP.</w:t>
      </w:r>
    </w:p>
    <w:p>
      <w:pPr>
        <w:pStyle w:val="TextBody"/>
        <w:bidi w:val="0"/>
        <w:jc w:val="both"/>
        <w:rPr/>
      </w:pPr>
      <w:r>
        <w:rPr/>
        <w:t> </w:t>
      </w:r>
    </w:p>
    <w:p>
      <w:pPr>
        <w:pStyle w:val="TextBody"/>
        <w:bidi w:val="0"/>
        <w:jc w:val="both"/>
        <w:rPr>
          <w:rFonts w:ascii="Times New Roman" w:hAnsi="Times New Roman"/>
          <w:sz w:val="20"/>
        </w:rPr>
      </w:pPr>
      <w:r>
        <w:rPr>
          <w:rFonts w:ascii="Arial" w:hAnsi="Arial"/>
          <w:b/>
          <w:color w:val="53565A"/>
          <w:sz w:val="20"/>
        </w:rPr>
        <w:t xml:space="preserve">Annualized lease income </w:t>
      </w:r>
      <w:r>
        <w:rPr>
          <w:rFonts w:ascii="Arial" w:hAnsi="Arial"/>
          <w:color w:val="53565A"/>
          <w:sz w:val="20"/>
        </w:rPr>
        <w:t>is defined as the annualized contractual base rent for the last month in a specified period, plus the annualized straight-line rent adjustments for the last month in such period and the annualized net expense reimbursements earned by us for the last month in such period.</w:t>
      </w:r>
    </w:p>
    <w:p>
      <w:pPr>
        <w:pStyle w:val="TextBody"/>
        <w:bidi w:val="0"/>
        <w:spacing w:before="120" w:after="283"/>
        <w:jc w:val="both"/>
        <w:rPr>
          <w:rFonts w:ascii="Times New Roman" w:hAnsi="Times New Roman"/>
          <w:sz w:val="20"/>
        </w:rPr>
      </w:pPr>
      <w:r>
        <w:rPr>
          <w:rFonts w:ascii="Arial" w:hAnsi="Arial"/>
          <w:b/>
          <w:color w:val="53565A"/>
          <w:sz w:val="20"/>
        </w:rPr>
        <w:t xml:space="preserve">Cash Available for Distribution (CAD) </w:t>
      </w:r>
      <w:r>
        <w:rPr>
          <w:rFonts w:ascii="Arial" w:hAnsi="Arial"/>
          <w:color w:val="53565A"/>
          <w:sz w:val="20"/>
        </w:rPr>
        <w:t>is a non-GAAP financial measure that is not intended to represent cash flow for the period and is not indicative of cash flow provided by operating activities as determined under GAAP. CAD is calculated in accordance with the current Nareit definition as FFO minus normalized recurring real estate-related expenditures and other non-cash items, nonrecurring expenditures and the unconsolidated real estate venture’s allocated share of these adjustments. CAD is presented solely as a supplemental disclosure because the Company believes it provides useful information regarding the Company’s ability to fund its dividends. Because all companies do not calculate CAD the same way, the presentation of CAD may not be comparable to similarly titled measures of other companies.</w:t>
      </w:r>
    </w:p>
    <w:p>
      <w:pPr>
        <w:pStyle w:val="TextBody"/>
        <w:bidi w:val="0"/>
        <w:spacing w:before="120" w:after="283"/>
        <w:jc w:val="both"/>
        <w:rPr>
          <w:rFonts w:ascii="Times New Roman" w:hAnsi="Times New Roman"/>
          <w:sz w:val="20"/>
        </w:rPr>
      </w:pPr>
      <w:r>
        <w:rPr>
          <w:rFonts w:ascii="Arial" w:hAnsi="Arial"/>
          <w:b/>
          <w:color w:val="53565A"/>
          <w:sz w:val="20"/>
        </w:rPr>
        <w:t xml:space="preserve">Cash fixed charge coverage ratio </w:t>
      </w:r>
      <w:r>
        <w:rPr>
          <w:rFonts w:ascii="Arial" w:hAnsi="Arial"/>
          <w:color w:val="53565A"/>
          <w:sz w:val="20"/>
        </w:rPr>
        <w:t>is calculated as EBITDA divided by the sum of principal amortization and interest expense, excluding amortization of premiums / discounts and deferred financing fees, for the most recent quarter.</w:t>
      </w:r>
    </w:p>
    <w:p>
      <w:pPr>
        <w:pStyle w:val="TextBody"/>
        <w:bidi w:val="0"/>
        <w:spacing w:before="120" w:after="283"/>
        <w:jc w:val="both"/>
        <w:rPr>
          <w:rFonts w:ascii="Times New Roman" w:hAnsi="Times New Roman"/>
          <w:sz w:val="20"/>
        </w:rPr>
      </w:pPr>
      <w:r>
        <w:rPr>
          <w:rFonts w:ascii="Arial" w:hAnsi="Arial"/>
          <w:b/>
          <w:color w:val="53565A"/>
          <w:sz w:val="20"/>
        </w:rPr>
        <w:t xml:space="preserve">Cash interest coverage ratio </w:t>
      </w:r>
      <w:r>
        <w:rPr>
          <w:rFonts w:ascii="Arial" w:hAnsi="Arial"/>
          <w:color w:val="53565A"/>
          <w:sz w:val="20"/>
        </w:rPr>
        <w:t>is calculated as EBITDA divided by interest expense, excluding amortization of premiums / discounts and deferred financing fees, for the most recent quarter.</w:t>
      </w:r>
    </w:p>
    <w:p>
      <w:pPr>
        <w:pStyle w:val="TextBody"/>
        <w:bidi w:val="0"/>
        <w:spacing w:before="120" w:after="283"/>
        <w:jc w:val="both"/>
        <w:rPr>
          <w:rFonts w:ascii="Times New Roman" w:hAnsi="Times New Roman"/>
          <w:sz w:val="20"/>
        </w:rPr>
      </w:pPr>
      <w:r>
        <w:rPr>
          <w:rFonts w:ascii="Arial" w:hAnsi="Arial"/>
          <w:b/>
          <w:color w:val="53565A"/>
          <w:sz w:val="20"/>
        </w:rPr>
        <w:t xml:space="preserve">Core Funds from Operations (Core FFO) </w:t>
      </w:r>
      <w:r>
        <w:rPr>
          <w:rFonts w:ascii="Arial" w:hAnsi="Arial"/>
          <w:color w:val="53565A"/>
          <w:sz w:val="20"/>
        </w:rPr>
        <w:t>adjusts FFO to present an alternative measure of the Company's operating performance, which, when applicable, excludes items which it believes are not representative of ongoing operating results, such as liability management related costs (including losses on extinguishment of debt and modification costs), catastrophic event charges, depreciation of non-real estate assets, provision for (recovery of) credit losses, and the unconsolidated real estate venture's allocated share of these adjustments. In future periods, the Company may also exclude other items from Core FFO that it believes may help investors compare its results. The Company believes Core FFO more accurately reflects the ongoing operational and financial performance of the Company's core business.</w:t>
      </w:r>
    </w:p>
    <w:p>
      <w:pPr>
        <w:pStyle w:val="TextBody"/>
        <w:bidi w:val="0"/>
        <w:spacing w:before="120" w:after="283"/>
        <w:jc w:val="both"/>
        <w:rPr>
          <w:rFonts w:ascii="Times New Roman" w:hAnsi="Times New Roman"/>
          <w:sz w:val="20"/>
        </w:rPr>
      </w:pPr>
      <w:r>
        <w:rPr>
          <w:rFonts w:ascii="Arial" w:hAnsi="Arial"/>
          <w:b/>
          <w:color w:val="53565A"/>
          <w:sz w:val="20"/>
        </w:rPr>
        <w:t xml:space="preserve">EBITDA </w:t>
      </w:r>
      <w:r>
        <w:rPr>
          <w:rFonts w:ascii="Arial" w:hAnsi="Arial"/>
          <w:color w:val="53565A"/>
          <w:sz w:val="20"/>
        </w:rPr>
        <w:t>is calculated as the sum of net income (loss) before interest expense, taxes, depreciation and amortization, (gain) loss on the sale of operating properties, impairment loss, and the unconsolidated real estate venture’s allocated share of these adjustments. EBITDA is not intended to represent cash flow for the period, is not presented as an alternative to operating income as an indicator of operating performance, should not be considered in isolation or as a substitute for measures of performance prepared in accordance with GAAP, is not indicative of operating income or cash provided by operating activities as determined under GAAP and may be presented on a pro forma basis. EBITDA is presented solely as a supplemental disclosure with respect to liquidity because the Company believes it provides useful information regarding the Company's ability to service or incur debt. Because all companies do not calculate EBITDA the same way, the presentation of EBITDA may not be comparable to similarly titled measures of other companies.</w:t>
      </w:r>
    </w:p>
    <w:p>
      <w:pPr>
        <w:pStyle w:val="TextBody"/>
        <w:bidi w:val="0"/>
        <w:spacing w:before="120" w:after="283"/>
        <w:jc w:val="both"/>
        <w:rPr>
          <w:rFonts w:ascii="Times New Roman" w:hAnsi="Times New Roman"/>
          <w:sz w:val="20"/>
        </w:rPr>
      </w:pPr>
      <w:r>
        <w:rPr>
          <w:rFonts w:ascii="Arial" w:hAnsi="Arial"/>
          <w:b/>
          <w:color w:val="53565A"/>
          <w:sz w:val="20"/>
        </w:rPr>
        <w:t xml:space="preserve">Fully diluted basis </w:t>
      </w:r>
      <w:r>
        <w:rPr>
          <w:rFonts w:ascii="Arial" w:hAnsi="Arial"/>
          <w:color w:val="53565A"/>
          <w:sz w:val="20"/>
        </w:rPr>
        <w:t>assumes the exchange of all outstanding common units representing limited partnership interests in the Company’s operating partnership, or common units, the full vesting of all shares of restricted stock, and the exchange of all earned and vested LTIP units in the Company’s operating partnership for shares of common stock on a one-for-one basis, which is not the same as the meaning of “fully diluted” under GAAP.</w:t>
      </w:r>
    </w:p>
    <w:p>
      <w:pPr>
        <w:pStyle w:val="TextBody"/>
        <w:bidi w:val="0"/>
        <w:spacing w:before="240" w:after="283"/>
        <w:jc w:val="right"/>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tbl>
      <w:tblPr>
        <w:tblW w:w="6622" w:type="dxa"/>
        <w:jc w:val="left"/>
        <w:tblInd w:w="0" w:type="dxa"/>
        <w:tblLayout w:type="fixed"/>
        <w:tblCellMar>
          <w:top w:w="28" w:type="dxa"/>
          <w:left w:w="28" w:type="dxa"/>
          <w:bottom w:w="28" w:type="dxa"/>
          <w:right w:w="28" w:type="dxa"/>
        </w:tblCellMar>
      </w:tblPr>
      <w:tblGrid>
        <w:gridCol w:w="4136"/>
        <w:gridCol w:w="2486"/>
      </w:tblGrid>
      <w:tr>
        <w:trPr/>
        <w:tc>
          <w:tcPr>
            <w:tcW w:w="413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13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B4B86"/>
                <w:sz w:val="36"/>
              </w:rPr>
            </w:pPr>
            <w:r>
              <w:rPr>
                <w:rFonts w:ascii="Arial" w:hAnsi="Arial"/>
                <w:color w:val="2B4B86"/>
                <w:sz w:val="36"/>
              </w:rPr>
              <w:t>Supplemental Definitions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95425" cy="542925"/>
                          </a:xfrm>
                          <a:prstGeom prst="rect">
                            <a:avLst/>
                          </a:prstGeom>
                        </pic:spPr>
                      </pic:pic>
                    </a:graphicData>
                  </a:graphic>
                </wp:inline>
              </w:drawing>
            </w:r>
          </w:p>
        </w:tc>
      </w:tr>
      <w:tr>
        <w:trPr/>
        <w:tc>
          <w:tcPr>
            <w:tcW w:w="662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color w:val="53565A"/>
          <w:sz w:val="20"/>
        </w:rPr>
        <w:t xml:space="preserve">Funds From Operations (FFO) </w:t>
      </w:r>
      <w:r>
        <w:rPr>
          <w:rFonts w:ascii="Arial" w:hAnsi="Arial"/>
          <w:color w:val="53565A"/>
          <w:sz w:val="20"/>
        </w:rPr>
        <w:t>is defined, in accordance with the Nareit FFO White Paper - 2018 Restatement, as net income (loss), calculated in accordance with GAAP, excluding depreciation and amortization related to real estate, gains and losses from the sale of certain real estate assets, gains and losses from change in control and impairment write-downs of certain real estate assets and investments in entities when the impairment is directly attributable to decreases in the value of depreciable real estate held by the entity. FFO includes the Company’s share of FFO generated by unconsolidated affiliates. FFO is a widely recognized measure of REIT performance. Although FFO is a non-GAAP financial measure, the Company believes that information regarding FFO is helpful to shareholders and potential investors.</w:t>
      </w:r>
    </w:p>
    <w:p>
      <w:pPr>
        <w:pStyle w:val="TextBody"/>
        <w:bidi w:val="0"/>
        <w:spacing w:before="120" w:after="283"/>
        <w:jc w:val="both"/>
        <w:rPr>
          <w:rFonts w:ascii="Times New Roman" w:hAnsi="Times New Roman"/>
          <w:sz w:val="20"/>
        </w:rPr>
      </w:pPr>
      <w:r>
        <w:rPr>
          <w:rFonts w:ascii="Arial" w:hAnsi="Arial"/>
          <w:b/>
          <w:color w:val="53565A"/>
          <w:sz w:val="20"/>
        </w:rPr>
        <w:t xml:space="preserve">Net Debt and Adjusted Net Debt </w:t>
      </w:r>
      <w:r>
        <w:rPr>
          <w:rFonts w:ascii="Arial" w:hAnsi="Arial"/>
          <w:color w:val="53565A"/>
          <w:sz w:val="20"/>
        </w:rPr>
        <w:t>Net Debt represents the Company's consolidated debt and its share of unconsolidated debt adjusted to exclude its share of unamortized premiums and discounts and deferred financing fees, less its share of cash and cash equivalents and property acquisition closing escrow, net of deposit. By excluding these items, the result provides an estimate of the contractual amount of borrowed capital to be repaid, net of cash available to repay it. The Company believes this calculation constitutes a beneficial supplemental non-GAAP financial disclosure to investors in understanding its financial condition. Adjusted Net Debt is Net Debt reduced by 1) for each project under construction or in design, the lesser of i) outstanding lump-sum reimbursement amounts and ii) the cost to date, 2) 40% times the amount by which the cost to date exceeds total lump-sum reimbursement amounts for each project under construction or in design and 3) outstanding lump-sum reimbursement amounts for projects previously completed. These adjustments are made to 1) remove the estimated portion of each project under construction, in design or previously completed that has been financed with debt which may be repaid with outstanding cost reimbursement payments from the US Government and 2) remove the estimated portion of each project under construction or in design, in excess of total lump-sum reimbursements, that has been financed with debt but has not yet produced earnings. See page 28 for further information. The Company’s method of calculating Net Debt and Adjusted Net Debt may be different from methods used by other REITs and may be presented on a pro forma basis. Accordingly, the Company's method may not be comparable to such other REITs.</w:t>
      </w:r>
    </w:p>
    <w:p>
      <w:pPr>
        <w:pStyle w:val="TextBody"/>
        <w:bidi w:val="0"/>
        <w:spacing w:before="120" w:after="283"/>
        <w:jc w:val="both"/>
        <w:rPr>
          <w:rFonts w:ascii="Times New Roman" w:hAnsi="Times New Roman"/>
          <w:sz w:val="20"/>
        </w:rPr>
      </w:pPr>
      <w:r>
        <w:rPr>
          <w:rFonts w:ascii="Arial" w:hAnsi="Arial"/>
          <w:b/>
          <w:color w:val="53565A"/>
          <w:sz w:val="20"/>
        </w:rPr>
        <w:t xml:space="preserve">Net Operating Income (NOI) and Cash NOI </w:t>
      </w:r>
      <w:r>
        <w:rPr>
          <w:rFonts w:ascii="Arial" w:hAnsi="Arial"/>
          <w:color w:val="53565A"/>
          <w:sz w:val="20"/>
        </w:rPr>
        <w:t>NOI is calculated as net income adjusted to exclude depreciation and amortization, acquisition costs, corporate general and administrative costs, recovery of credit losses, interest expense, gains or losses from sales of property, impairment loss, and the unconsolidated real estate venture’s allocated share of these adjustments. Cash NOI excludes from NOI straight-line rent, amortization of above-/below-market leases, amortization of deferred revenue (which results from landlord assets funded by tenants), and the unconsolidated real estate venture’s allocated share of these adjustments. NOI and Cash NOI presented by the Company may not be comparable to NOI and Cash NOI reported by other REITs that define NOI and Cash NOI differently. The Company believes that NOI and Cash NOI provide investors with useful measures of the operating performance of its properties. NOI and Cash NOI should not be considered an alternative to net income as an indication of the Company's performance or to cash flows as a measure of the Company's liquidity or its ability to make distributions.</w:t>
      </w:r>
    </w:p>
    <w:p>
      <w:pPr>
        <w:pStyle w:val="TextBody"/>
        <w:bidi w:val="0"/>
        <w:spacing w:before="240" w:after="283"/>
        <w:jc w:val="right"/>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tbl>
      <w:tblPr>
        <w:tblW w:w="5527" w:type="dxa"/>
        <w:jc w:val="left"/>
        <w:tblInd w:w="0" w:type="dxa"/>
        <w:tblLayout w:type="fixed"/>
        <w:tblCellMar>
          <w:top w:w="28" w:type="dxa"/>
          <w:left w:w="28" w:type="dxa"/>
          <w:bottom w:w="28" w:type="dxa"/>
          <w:right w:w="28" w:type="dxa"/>
        </w:tblCellMar>
      </w:tblPr>
      <w:tblGrid>
        <w:gridCol w:w="3041"/>
        <w:gridCol w:w="2486"/>
      </w:tblGrid>
      <w:tr>
        <w:trPr/>
        <w:tc>
          <w:tcPr>
            <w:tcW w:w="304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041"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B4B86"/>
                <w:sz w:val="36"/>
              </w:rPr>
            </w:pPr>
            <w:r>
              <w:rPr>
                <w:rFonts w:ascii="Arial" w:hAnsi="Arial"/>
                <w:color w:val="2B4B86"/>
                <w:sz w:val="36"/>
              </w:rPr>
              <w:t>Table of Contents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95425" cy="542925"/>
                          </a:xfrm>
                          <a:prstGeom prst="rect">
                            <a:avLst/>
                          </a:prstGeom>
                        </pic:spPr>
                      </pic:pic>
                    </a:graphicData>
                  </a:graphic>
                </wp:inline>
              </w:drawing>
            </w:r>
          </w:p>
        </w:tc>
      </w:tr>
      <w:tr>
        <w:trPr/>
        <w:tc>
          <w:tcPr>
            <w:tcW w:w="5527"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both"/>
        <w:rPr/>
      </w:pPr>
      <w:r>
        <w:rPr/>
        <w:t> </w:t>
      </w:r>
    </w:p>
    <w:p>
      <w:pPr>
        <w:pStyle w:val="TextBody"/>
        <w:bidi w:val="0"/>
        <w:jc w:val="left"/>
        <w:rPr/>
      </w:pPr>
      <w:r>
        <w:rPr/>
        <w:t> </w:t>
      </w:r>
    </w:p>
    <w:tbl>
      <w:tblPr>
        <w:tblW w:w="5683" w:type="dxa"/>
        <w:jc w:val="left"/>
        <w:tblInd w:w="0" w:type="dxa"/>
        <w:tblLayout w:type="fixed"/>
        <w:tblCellMar>
          <w:top w:w="28" w:type="dxa"/>
          <w:left w:w="28" w:type="dxa"/>
          <w:bottom w:w="28" w:type="dxa"/>
          <w:right w:w="28" w:type="dxa"/>
        </w:tblCellMar>
      </w:tblPr>
      <w:tblGrid>
        <w:gridCol w:w="4576"/>
        <w:gridCol w:w="146"/>
        <w:gridCol w:w="96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4576"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Overview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corporate_information">
              <w:r>
                <w:rPr>
                  <w:rStyle w:val="InternetLink"/>
                  <w:rFonts w:ascii="Arial" w:hAnsi="Arial"/>
                  <w:color w:val="0000FF"/>
                  <w:sz w:val="20"/>
                  <w:u w:val="single"/>
                </w:rPr>
                <w:t>Corporate Information and Analyst Coverage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Arial" w:hAnsi="Arial"/>
                <w:color w:val="53565A"/>
                <w:sz w:val="20"/>
              </w:rPr>
            </w:pPr>
            <w:r>
              <w:rPr>
                <w:rFonts w:ascii="Arial" w:hAnsi="Arial"/>
                <w:color w:val="53565A"/>
                <w:sz w:val="20"/>
              </w:rPr>
              <w:t>6</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executive_summary">
              <w:r>
                <w:rPr>
                  <w:rStyle w:val="InternetLink"/>
                  <w:rFonts w:ascii="Arial" w:hAnsi="Arial"/>
                  <w:color w:val="0000FF"/>
                  <w:sz w:val="20"/>
                  <w:u w:val="single"/>
                </w:rPr>
                <w:t>Executive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53565A"/>
                <w:sz w:val="20"/>
              </w:rPr>
            </w:pPr>
            <w:r>
              <w:rPr>
                <w:rFonts w:ascii="Arial" w:hAnsi="Arial"/>
                <w:color w:val="53565A"/>
                <w:sz w:val="20"/>
              </w:rPr>
              <w:t>7</w:t>
            </w:r>
          </w:p>
        </w:tc>
      </w:tr>
      <w:tr>
        <w:trPr/>
        <w:tc>
          <w:tcPr>
            <w:tcW w:w="4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Corporate Financials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balance_sheet">
              <w:r>
                <w:rPr>
                  <w:rStyle w:val="InternetLink"/>
                  <w:rFonts w:ascii="Arial" w:hAnsi="Arial"/>
                  <w:color w:val="0000FF"/>
                  <w:sz w:val="20"/>
                  <w:u w:val="single"/>
                </w:rPr>
                <w:t>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Arial" w:hAnsi="Arial"/>
                <w:color w:val="53565A"/>
                <w:sz w:val="20"/>
              </w:rPr>
            </w:pPr>
            <w:r>
              <w:rPr>
                <w:rFonts w:ascii="Arial" w:hAnsi="Arial"/>
                <w:color w:val="53565A"/>
                <w:sz w:val="20"/>
              </w:rPr>
              <w:t>8</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income_stmts">
              <w:r>
                <w:rPr>
                  <w:rStyle w:val="InternetLink"/>
                  <w:rFonts w:ascii="Arial" w:hAnsi="Arial"/>
                  <w:color w:val="0000FF"/>
                  <w:sz w:val="20"/>
                  <w:u w:val="single"/>
                </w:rPr>
                <w:t>Income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Arial" w:hAnsi="Arial"/>
                <w:color w:val="53565A"/>
                <w:sz w:val="20"/>
              </w:rPr>
            </w:pPr>
            <w:r>
              <w:rPr>
                <w:rFonts w:ascii="Arial" w:hAnsi="Arial"/>
                <w:color w:val="53565A"/>
                <w:sz w:val="20"/>
              </w:rPr>
              <w:t>9</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net_operating_income">
              <w:r>
                <w:rPr>
                  <w:rStyle w:val="InternetLink"/>
                  <w:rFonts w:ascii="Arial" w:hAnsi="Arial"/>
                  <w:color w:val="0000FF"/>
                  <w:sz w:val="20"/>
                  <w:u w:val="single"/>
                </w:rPr>
                <w:t>Net Operating Income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Arial" w:hAnsi="Arial"/>
                <w:color w:val="53565A"/>
                <w:sz w:val="20"/>
              </w:rPr>
            </w:pPr>
            <w:r>
              <w:rPr>
                <w:rFonts w:ascii="Arial" w:hAnsi="Arial"/>
                <w:color w:val="53565A"/>
                <w:sz w:val="20"/>
              </w:rPr>
              <w:t>10</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ebitda">
              <w:r>
                <w:rPr>
                  <w:rStyle w:val="InternetLink"/>
                  <w:rFonts w:ascii="Arial" w:hAnsi="Arial"/>
                  <w:color w:val="0000FF"/>
                  <w:sz w:val="20"/>
                  <w:u w:val="single"/>
                </w:rPr>
                <w:t>EBITDA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Arial" w:hAnsi="Arial"/>
                <w:color w:val="53565A"/>
                <w:sz w:val="20"/>
              </w:rPr>
            </w:pPr>
            <w:r>
              <w:rPr>
                <w:rFonts w:ascii="Arial" w:hAnsi="Arial"/>
                <w:color w:val="53565A"/>
                <w:sz w:val="20"/>
              </w:rPr>
              <w:t>11</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ffo_and_cad">
              <w:r>
                <w:rPr>
                  <w:rStyle w:val="InternetLink"/>
                  <w:rFonts w:ascii="Arial" w:hAnsi="Arial"/>
                  <w:color w:val="0000FF"/>
                  <w:sz w:val="20"/>
                  <w:u w:val="single"/>
                </w:rPr>
                <w:t>FFO and CAD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Arial" w:hAnsi="Arial"/>
                <w:color w:val="53565A"/>
                <w:sz w:val="20"/>
              </w:rPr>
            </w:pPr>
            <w:r>
              <w:rPr>
                <w:rFonts w:ascii="Arial" w:hAnsi="Arial"/>
                <w:color w:val="53565A"/>
                <w:sz w:val="20"/>
              </w:rPr>
              <w:t>12</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unconsolidated_real_estate_venture">
              <w:r>
                <w:rPr>
                  <w:rStyle w:val="InternetLink"/>
                  <w:rFonts w:ascii="Arial" w:hAnsi="Arial"/>
                  <w:color w:val="0000FF"/>
                  <w:sz w:val="20"/>
                  <w:u w:val="single"/>
                </w:rPr>
                <w:t>Unconsolidated Real Estate Venture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53565A"/>
                <w:sz w:val="20"/>
              </w:rPr>
            </w:pPr>
            <w:r>
              <w:rPr>
                <w:rFonts w:ascii="Arial" w:hAnsi="Arial"/>
                <w:color w:val="53565A"/>
                <w:sz w:val="20"/>
              </w:rPr>
              <w:t>13</w:t>
            </w:r>
          </w:p>
        </w:tc>
      </w:tr>
      <w:tr>
        <w:trPr/>
        <w:tc>
          <w:tcPr>
            <w:tcW w:w="4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debt_schedules">
              <w:r>
                <w:rPr>
                  <w:rStyle w:val="InternetLink"/>
                  <w:rFonts w:ascii="Arial" w:hAnsi="Arial"/>
                  <w:color w:val="0000FF"/>
                  <w:sz w:val="20"/>
                  <w:u w:val="single"/>
                </w:rPr>
                <w:t>Debt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Arial" w:hAnsi="Arial"/>
                <w:color w:val="53565A"/>
                <w:sz w:val="20"/>
              </w:rPr>
            </w:pPr>
            <w:r>
              <w:rPr>
                <w:rFonts w:ascii="Arial" w:hAnsi="Arial"/>
                <w:color w:val="53565A"/>
                <w:sz w:val="20"/>
              </w:rPr>
              <w:t>15</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debt_maturities">
              <w:r>
                <w:rPr>
                  <w:rStyle w:val="InternetLink"/>
                  <w:rFonts w:ascii="Arial" w:hAnsi="Arial"/>
                  <w:color w:val="0000FF"/>
                  <w:sz w:val="20"/>
                  <w:u w:val="single"/>
                </w:rPr>
                <w:t>Debt Maturities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53565A"/>
                <w:sz w:val="20"/>
              </w:rPr>
            </w:pPr>
            <w:r>
              <w:rPr>
                <w:rFonts w:ascii="Arial" w:hAnsi="Arial"/>
                <w:color w:val="53565A"/>
                <w:sz w:val="20"/>
              </w:rPr>
              <w:t>17</w:t>
            </w:r>
          </w:p>
        </w:tc>
      </w:tr>
      <w:tr>
        <w:trPr/>
        <w:tc>
          <w:tcPr>
            <w:tcW w:w="4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Properties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leased_operating_property_overview">
              <w:r>
                <w:rPr>
                  <w:rStyle w:val="InternetLink"/>
                  <w:rFonts w:ascii="Arial" w:hAnsi="Arial"/>
                  <w:color w:val="0000FF"/>
                  <w:sz w:val="20"/>
                  <w:u w:val="single"/>
                </w:rPr>
                <w:t>Leased Operating Property Overview</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Arial" w:hAnsi="Arial"/>
                <w:color w:val="53565A"/>
                <w:sz w:val="20"/>
              </w:rPr>
            </w:pPr>
            <w:r>
              <w:rPr>
                <w:rFonts w:ascii="Arial" w:hAnsi="Arial"/>
                <w:color w:val="53565A"/>
                <w:sz w:val="20"/>
              </w:rPr>
              <w:t>18</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tenants">
              <w:r>
                <w:rPr>
                  <w:rStyle w:val="InternetLink"/>
                  <w:rFonts w:ascii="Arial" w:hAnsi="Arial"/>
                  <w:color w:val="0000FF"/>
                  <w:sz w:val="20"/>
                  <w:u w:val="single"/>
                </w:rPr>
                <w:t>Tenants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Arial" w:hAnsi="Arial"/>
                <w:color w:val="53565A"/>
                <w:sz w:val="20"/>
              </w:rPr>
            </w:pPr>
            <w:r>
              <w:rPr>
                <w:rFonts w:ascii="Arial" w:hAnsi="Arial"/>
                <w:color w:val="53565A"/>
                <w:sz w:val="20"/>
              </w:rPr>
              <w:t>23</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lease_expirations">
              <w:r>
                <w:rPr>
                  <w:rStyle w:val="InternetLink"/>
                  <w:rFonts w:ascii="Arial" w:hAnsi="Arial"/>
                  <w:color w:val="0000FF"/>
                  <w:sz w:val="20"/>
                  <w:u w:val="single"/>
                </w:rPr>
                <w:t>Lease Expirations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rFonts w:ascii="Arial" w:hAnsi="Arial"/>
                <w:color w:val="53565A"/>
                <w:sz w:val="20"/>
              </w:rPr>
            </w:pPr>
            <w:r>
              <w:rPr>
                <w:rFonts w:ascii="Arial" w:hAnsi="Arial"/>
                <w:color w:val="53565A"/>
                <w:sz w:val="20"/>
              </w:rPr>
              <w:t>25</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576" w:type="dxa"/>
            <w:tcBorders/>
            <w:tcMar>
              <w:top w:w="0" w:type="dxa"/>
              <w:left w:w="0" w:type="dxa"/>
              <w:bottom w:w="0" w:type="dxa"/>
              <w:right w:w="0" w:type="dxa"/>
            </w:tcMar>
            <w:vAlign w:val="center"/>
          </w:tcPr>
          <w:p>
            <w:pPr>
              <w:pStyle w:val="TableContents"/>
              <w:bidi w:val="0"/>
              <w:spacing w:before="0" w:after="283"/>
              <w:ind w:left="0" w:right="0" w:firstLine="600"/>
              <w:jc w:val="left"/>
              <w:rPr/>
            </w:pPr>
            <w:hyperlink w:anchor="development">
              <w:r>
                <w:rPr>
                  <w:rStyle w:val="InternetLink"/>
                  <w:rFonts w:ascii="Arial" w:hAnsi="Arial"/>
                  <w:color w:val="0000FF"/>
                  <w:sz w:val="20"/>
                  <w:u w:val="single"/>
                </w:rPr>
                <w:t>Summary of Re/Development Projects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53565A"/>
                <w:sz w:val="20"/>
              </w:rPr>
            </w:pPr>
            <w:r>
              <w:rPr>
                <w:rFonts w:ascii="Arial" w:hAnsi="Arial"/>
                <w:color w:val="53565A"/>
                <w:sz w:val="20"/>
              </w:rPr>
              <w:t>27</w:t>
            </w:r>
          </w:p>
        </w:tc>
      </w:tr>
      <w:tr>
        <w:trPr/>
        <w:tc>
          <w:tcPr>
            <w:tcW w:w="4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tbl>
      <w:tblPr>
        <w:tblW w:w="9772" w:type="dxa"/>
        <w:jc w:val="left"/>
        <w:tblInd w:w="0" w:type="dxa"/>
        <w:tblLayout w:type="fixed"/>
        <w:tblCellMar>
          <w:top w:w="28" w:type="dxa"/>
          <w:left w:w="28" w:type="dxa"/>
          <w:bottom w:w="28" w:type="dxa"/>
          <w:right w:w="28" w:type="dxa"/>
        </w:tblCellMar>
      </w:tblPr>
      <w:tblGrid>
        <w:gridCol w:w="7286"/>
        <w:gridCol w:w="2486"/>
      </w:tblGrid>
      <w:tr>
        <w:trPr/>
        <w:tc>
          <w:tcPr>
            <w:tcW w:w="72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728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B4B86"/>
                <w:sz w:val="36"/>
              </w:rPr>
            </w:pPr>
            <w:r>
              <w:rPr>
                <w:rFonts w:ascii="Arial" w:hAnsi="Arial"/>
                <w:color w:val="2B4B86"/>
                <w:sz w:val="36"/>
              </w:rPr>
              <w:t>Corporate Information and Analyst Coverage</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95425" cy="542925"/>
                          </a:xfrm>
                          <a:prstGeom prst="rect">
                            <a:avLst/>
                          </a:prstGeom>
                        </pic:spPr>
                      </pic:pic>
                    </a:graphicData>
                  </a:graphic>
                </wp:inline>
              </w:drawing>
            </w:r>
          </w:p>
        </w:tc>
      </w:tr>
      <w:tr>
        <w:trPr/>
        <w:tc>
          <w:tcPr>
            <w:tcW w:w="97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6" w:name="corporate_information"/>
      <w:bookmarkEnd w:id="6"/>
      <w:r>
        <w:rPr/>
        <w:t> </w:t>
      </w:r>
    </w:p>
    <w:tbl>
      <w:tblPr>
        <w:tblW w:w="10205" w:type="dxa"/>
        <w:jc w:val="left"/>
        <w:tblInd w:w="0" w:type="dxa"/>
        <w:tblLayout w:type="fixed"/>
        <w:tblCellMar>
          <w:top w:w="28" w:type="dxa"/>
          <w:left w:w="28" w:type="dxa"/>
          <w:bottom w:w="28" w:type="dxa"/>
          <w:right w:w="28" w:type="dxa"/>
        </w:tblCellMar>
      </w:tblPr>
      <w:tblGrid>
        <w:gridCol w:w="2180"/>
        <w:gridCol w:w="2233"/>
        <w:gridCol w:w="3157"/>
        <w:gridCol w:w="2635"/>
      </w:tblGrid>
      <w:tr>
        <w:trPr/>
        <w:tc>
          <w:tcPr>
            <w:tcW w:w="2180"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bottom w:val="single" w:sz="18" w:space="0" w:color="2B4B86"/>
            </w:tcBorders>
            <w:tcMar>
              <w:top w:w="0" w:type="dxa"/>
              <w:left w:w="0" w:type="dxa"/>
              <w:right w:w="0" w:type="dxa"/>
            </w:tcMar>
            <w:vAlign w:val="center"/>
          </w:tcPr>
          <w:p>
            <w:pPr>
              <w:pStyle w:val="TableContents"/>
              <w:bidi w:val="0"/>
              <w:spacing w:before="0" w:after="283"/>
              <w:jc w:val="left"/>
              <w:rPr>
                <w:rFonts w:ascii="Arial" w:hAnsi="Arial"/>
                <w:b/>
                <w:color w:val="53565A"/>
                <w:sz w:val="28"/>
              </w:rPr>
            </w:pPr>
            <w:r>
              <w:rPr>
                <w:rFonts w:ascii="Arial" w:hAnsi="Arial"/>
                <w:b/>
                <w:color w:val="53565A"/>
                <w:sz w:val="28"/>
              </w:rPr>
              <w:t>Corporate Information</w:t>
            </w:r>
          </w:p>
        </w:tc>
      </w:tr>
      <w:tr>
        <w:trPr/>
        <w:tc>
          <w:tcPr>
            <w:tcW w:w="2180" w:type="dxa"/>
            <w:tcBorders/>
            <w:tcMar>
              <w:top w:w="0" w:type="dxa"/>
              <w:left w:w="0" w:type="dxa"/>
              <w:bottom w:w="0" w:type="dxa"/>
              <w:right w:w="0" w:type="dxa"/>
            </w:tcMar>
            <w:vAlign w:val="center"/>
          </w:tcPr>
          <w:p>
            <w:pPr>
              <w:pStyle w:val="TableContents"/>
              <w:bidi w:val="0"/>
              <w:spacing w:before="0" w:after="283"/>
              <w:jc w:val="left"/>
              <w:rPr/>
            </w:pPr>
            <w:r>
              <w:rPr/>
              <w:t> </w:t>
            </w:r>
          </w:p>
        </w:tc>
        <w:tc>
          <w:tcPr>
            <w:tcW w:w="2233" w:type="dxa"/>
            <w:tcBorders/>
            <w:tcMar>
              <w:top w:w="0" w:type="dxa"/>
              <w:left w:w="0" w:type="dxa"/>
              <w:bottom w:w="0" w:type="dxa"/>
              <w:right w:w="0" w:type="dxa"/>
            </w:tcMar>
            <w:vAlign w:val="center"/>
          </w:tcPr>
          <w:p>
            <w:pPr>
              <w:pStyle w:val="TableContents"/>
              <w:bidi w:val="0"/>
              <w:spacing w:before="0" w:after="283"/>
              <w:jc w:val="left"/>
              <w:rPr/>
            </w:pPr>
            <w:r>
              <w:rPr/>
              <w:t> </w:t>
            </w:r>
          </w:p>
        </w:tc>
        <w:tc>
          <w:tcPr>
            <w:tcW w:w="3157" w:type="dxa"/>
            <w:tcBorders/>
            <w:tcMar>
              <w:top w:w="0" w:type="dxa"/>
              <w:left w:w="0" w:type="dxa"/>
              <w:bottom w:w="0" w:type="dxa"/>
              <w:right w:w="0" w:type="dxa"/>
            </w:tcMar>
            <w:vAlign w:val="center"/>
          </w:tcPr>
          <w:p>
            <w:pPr>
              <w:pStyle w:val="TableContents"/>
              <w:bidi w:val="0"/>
              <w:spacing w:before="0" w:after="283"/>
              <w:jc w:val="left"/>
              <w:rPr/>
            </w:pPr>
            <w:r>
              <w:rPr/>
              <w:t> </w:t>
            </w:r>
          </w:p>
        </w:tc>
        <w:tc>
          <w:tcPr>
            <w:tcW w:w="26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80"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Corporate Headquarters</w:t>
            </w:r>
          </w:p>
        </w:tc>
        <w:tc>
          <w:tcPr>
            <w:tcW w:w="2233"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Stock Exchange Listing</w:t>
            </w:r>
          </w:p>
        </w:tc>
        <w:tc>
          <w:tcPr>
            <w:tcW w:w="3157"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b/>
                <w:color w:val="53565A"/>
                <w:sz w:val="20"/>
              </w:rPr>
            </w:pPr>
            <w:r>
              <w:rPr>
                <w:rFonts w:ascii="Arial" w:hAnsi="Arial"/>
                <w:b/>
                <w:color w:val="53565A"/>
                <w:sz w:val="20"/>
              </w:rPr>
              <w:t>Information Requests</w:t>
            </w:r>
          </w:p>
        </w:tc>
        <w:tc>
          <w:tcPr>
            <w:tcW w:w="2635"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b/>
                <w:color w:val="53565A"/>
                <w:sz w:val="20"/>
              </w:rPr>
            </w:pPr>
            <w:r>
              <w:rPr>
                <w:rFonts w:ascii="Arial" w:hAnsi="Arial"/>
                <w:b/>
                <w:color w:val="53565A"/>
                <w:sz w:val="20"/>
              </w:rPr>
              <w:t>Investor Relations</w:t>
            </w:r>
          </w:p>
        </w:tc>
      </w:tr>
      <w:tr>
        <w:trPr/>
        <w:tc>
          <w:tcPr>
            <w:tcW w:w="2180"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2001 K Street NW</w:t>
            </w:r>
          </w:p>
        </w:tc>
        <w:tc>
          <w:tcPr>
            <w:tcW w:w="2233"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New York Stock Exchange</w:t>
            </w:r>
          </w:p>
        </w:tc>
        <w:tc>
          <w:tcPr>
            <w:tcW w:w="3157"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Please contact ir@easterlyreit.com</w:t>
            </w:r>
          </w:p>
        </w:tc>
        <w:tc>
          <w:tcPr>
            <w:tcW w:w="2635"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Cole Bardawill</w:t>
            </w:r>
          </w:p>
        </w:tc>
      </w:tr>
      <w:tr>
        <w:trPr/>
        <w:tc>
          <w:tcPr>
            <w:tcW w:w="2180"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Suite 775 North</w:t>
            </w:r>
          </w:p>
        </w:tc>
        <w:tc>
          <w:tcPr>
            <w:tcW w:w="2233" w:type="dxa"/>
            <w:tcBorders/>
            <w:tcMar>
              <w:top w:w="0" w:type="dxa"/>
              <w:left w:w="0" w:type="dxa"/>
              <w:bottom w:w="0" w:type="dxa"/>
              <w:right w:w="0" w:type="dxa"/>
            </w:tcMar>
            <w:vAlign w:val="center"/>
          </w:tcPr>
          <w:p>
            <w:pPr>
              <w:pStyle w:val="TableContents"/>
              <w:bidi w:val="0"/>
              <w:spacing w:before="0" w:after="283"/>
              <w:jc w:val="left"/>
              <w:rPr/>
            </w:pPr>
            <w:r>
              <w:rPr/>
              <w:t> </w:t>
            </w:r>
          </w:p>
        </w:tc>
        <w:tc>
          <w:tcPr>
            <w:tcW w:w="3157"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or 202-987-9395 to request an</w:t>
            </w:r>
          </w:p>
        </w:tc>
        <w:tc>
          <w:tcPr>
            <w:tcW w:w="2635"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Director of Investor Relations</w:t>
            </w:r>
          </w:p>
        </w:tc>
      </w:tr>
      <w:tr>
        <w:trPr/>
        <w:tc>
          <w:tcPr>
            <w:tcW w:w="2180"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Washington, DC 20006</w:t>
            </w:r>
          </w:p>
        </w:tc>
        <w:tc>
          <w:tcPr>
            <w:tcW w:w="2233"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Ticker</w:t>
            </w:r>
          </w:p>
        </w:tc>
        <w:tc>
          <w:tcPr>
            <w:tcW w:w="3157"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Investor Relations package</w:t>
            </w:r>
          </w:p>
        </w:tc>
        <w:tc>
          <w:tcPr>
            <w:tcW w:w="2635" w:type="dxa"/>
            <w:tcBorders/>
            <w:tcMar>
              <w:top w:w="0" w:type="dxa"/>
              <w:left w:w="0" w:type="dxa"/>
              <w:bottom w:w="0" w:type="dxa"/>
              <w:right w:w="0" w:type="dxa"/>
            </w:tcMar>
            <w:vAlign w:val="center"/>
          </w:tcPr>
          <w:p>
            <w:pPr>
              <w:pStyle w:val="TableContents"/>
              <w:bidi w:val="0"/>
              <w:spacing w:before="0" w:after="283"/>
              <w:ind w:left="0" w:right="0" w:firstLine="195"/>
              <w:jc w:val="left"/>
              <w:rPr/>
            </w:pPr>
            <w:r>
              <w:rPr/>
              <w:t> </w:t>
            </w:r>
          </w:p>
        </w:tc>
      </w:tr>
      <w:tr>
        <w:trPr/>
        <w:tc>
          <w:tcPr>
            <w:tcW w:w="2180"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202-595-9500</w:t>
            </w:r>
          </w:p>
        </w:tc>
        <w:tc>
          <w:tcPr>
            <w:tcW w:w="2233"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DEA</w:t>
            </w:r>
          </w:p>
        </w:tc>
        <w:tc>
          <w:tcPr>
            <w:tcW w:w="3157" w:type="dxa"/>
            <w:tcBorders/>
            <w:tcMar>
              <w:top w:w="0" w:type="dxa"/>
              <w:left w:w="0" w:type="dxa"/>
              <w:bottom w:w="0" w:type="dxa"/>
              <w:right w:w="0" w:type="dxa"/>
            </w:tcMar>
            <w:vAlign w:val="center"/>
          </w:tcPr>
          <w:p>
            <w:pPr>
              <w:pStyle w:val="TableContents"/>
              <w:bidi w:val="0"/>
              <w:spacing w:before="0" w:after="283"/>
              <w:ind w:left="0" w:right="0" w:firstLine="195"/>
              <w:jc w:val="left"/>
              <w:rPr/>
            </w:pPr>
            <w:r>
              <w:rPr/>
              <w:t> </w:t>
            </w:r>
          </w:p>
        </w:tc>
        <w:tc>
          <w:tcPr>
            <w:tcW w:w="2635" w:type="dxa"/>
            <w:tcBorders/>
            <w:tcMar>
              <w:top w:w="0" w:type="dxa"/>
              <w:left w:w="0" w:type="dxa"/>
              <w:bottom w:w="0" w:type="dxa"/>
              <w:right w:w="0" w:type="dxa"/>
            </w:tcMar>
            <w:vAlign w:val="center"/>
          </w:tcPr>
          <w:p>
            <w:pPr>
              <w:pStyle w:val="TableContents"/>
              <w:bidi w:val="0"/>
              <w:spacing w:before="0" w:after="283"/>
              <w:ind w:left="0" w:right="0" w:firstLine="195"/>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2"/>
        <w:gridCol w:w="2825"/>
        <w:gridCol w:w="2167"/>
        <w:gridCol w:w="1451"/>
      </w:tblGrid>
      <w:tr>
        <w:trPr/>
        <w:tc>
          <w:tcPr>
            <w:tcW w:w="3762"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3762"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Executive Team</w:t>
            </w:r>
          </w:p>
        </w:tc>
        <w:tc>
          <w:tcPr>
            <w:tcW w:w="2825" w:type="dxa"/>
            <w:tcBorders/>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Board of Directors</w:t>
            </w:r>
          </w:p>
        </w:tc>
        <w:tc>
          <w:tcPr>
            <w:tcW w:w="1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62" w:type="dxa"/>
            <w:tcBorders/>
            <w:tcMar>
              <w:top w:w="0" w:type="dxa"/>
              <w:left w:w="0" w:type="dxa"/>
              <w:bottom w:w="0" w:type="dxa"/>
              <w:right w:w="0" w:type="dxa"/>
            </w:tcMar>
            <w:vAlign w:val="center"/>
          </w:tcPr>
          <w:p>
            <w:pPr>
              <w:pStyle w:val="TableContents"/>
              <w:bidi w:val="0"/>
              <w:spacing w:before="11" w:after="283"/>
              <w:jc w:val="left"/>
              <w:rPr>
                <w:rFonts w:ascii="Arial" w:hAnsi="Arial"/>
                <w:color w:val="53565A"/>
                <w:sz w:val="20"/>
              </w:rPr>
            </w:pPr>
            <w:r>
              <w:rPr>
                <w:rFonts w:ascii="Arial" w:hAnsi="Arial"/>
                <w:color w:val="53565A"/>
                <w:sz w:val="20"/>
              </w:rPr>
              <w:t>Darrell Crate, President &amp; CEO</w:t>
            </w:r>
          </w:p>
        </w:tc>
        <w:tc>
          <w:tcPr>
            <w:tcW w:w="2825" w:type="dxa"/>
            <w:tcBorders/>
            <w:tcMar>
              <w:top w:w="0" w:type="dxa"/>
              <w:left w:w="0" w:type="dxa"/>
              <w:bottom w:w="0" w:type="dxa"/>
              <w:right w:w="0" w:type="dxa"/>
            </w:tcMar>
            <w:vAlign w:val="center"/>
          </w:tcPr>
          <w:p>
            <w:pPr>
              <w:pStyle w:val="TableContents"/>
              <w:bidi w:val="0"/>
              <w:spacing w:before="11" w:after="283"/>
              <w:jc w:val="left"/>
              <w:rPr>
                <w:rFonts w:ascii="Arial" w:hAnsi="Arial"/>
                <w:color w:val="53565A"/>
                <w:sz w:val="20"/>
              </w:rPr>
            </w:pPr>
            <w:r>
              <w:rPr>
                <w:rFonts w:ascii="Arial" w:hAnsi="Arial"/>
                <w:color w:val="53565A"/>
                <w:sz w:val="20"/>
              </w:rPr>
              <w:t>Mark Bauer, EVP Development</w:t>
            </w:r>
          </w:p>
        </w:tc>
        <w:tc>
          <w:tcPr>
            <w:tcW w:w="2167"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William Binnie, Chairman</w:t>
            </w:r>
          </w:p>
        </w:tc>
        <w:tc>
          <w:tcPr>
            <w:tcW w:w="1451"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Emil Henry Jr.</w:t>
            </w:r>
          </w:p>
        </w:tc>
      </w:tr>
      <w:tr>
        <w:trPr/>
        <w:tc>
          <w:tcPr>
            <w:tcW w:w="3762" w:type="dxa"/>
            <w:tcBorders/>
            <w:tcMar>
              <w:top w:w="0" w:type="dxa"/>
              <w:left w:w="0" w:type="dxa"/>
              <w:bottom w:w="0" w:type="dxa"/>
              <w:right w:w="0" w:type="dxa"/>
            </w:tcMar>
            <w:vAlign w:val="center"/>
          </w:tcPr>
          <w:p>
            <w:pPr>
              <w:pStyle w:val="TableContents"/>
              <w:bidi w:val="0"/>
              <w:spacing w:before="11" w:after="283"/>
              <w:jc w:val="left"/>
              <w:rPr>
                <w:rFonts w:ascii="Arial" w:hAnsi="Arial"/>
                <w:color w:val="53565A"/>
                <w:sz w:val="20"/>
              </w:rPr>
            </w:pPr>
            <w:r>
              <w:rPr>
                <w:rFonts w:ascii="Arial" w:hAnsi="Arial"/>
                <w:color w:val="53565A"/>
                <w:sz w:val="20"/>
              </w:rPr>
              <w:t>Michael Ibe, Vice-Chairman &amp; EVP</w:t>
            </w:r>
          </w:p>
        </w:tc>
        <w:tc>
          <w:tcPr>
            <w:tcW w:w="2825"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Franklin Logan, EVP GC &amp; Secretary</w:t>
            </w:r>
          </w:p>
        </w:tc>
        <w:tc>
          <w:tcPr>
            <w:tcW w:w="2167"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Darrell Crate</w:t>
            </w:r>
          </w:p>
        </w:tc>
        <w:tc>
          <w:tcPr>
            <w:tcW w:w="1451"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Michael Ibe</w:t>
            </w:r>
          </w:p>
        </w:tc>
      </w:tr>
      <w:tr>
        <w:trPr/>
        <w:tc>
          <w:tcPr>
            <w:tcW w:w="3762"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Allison Marino, EVP CFO</w:t>
            </w:r>
          </w:p>
        </w:tc>
        <w:tc>
          <w:tcPr>
            <w:tcW w:w="2825"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Christopher Wang, EVP Acquisitions</w:t>
            </w:r>
          </w:p>
        </w:tc>
        <w:tc>
          <w:tcPr>
            <w:tcW w:w="2167"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Cynthia Fisher</w:t>
            </w:r>
          </w:p>
        </w:tc>
        <w:tc>
          <w:tcPr>
            <w:tcW w:w="1451" w:type="dxa"/>
            <w:tcBorders/>
            <w:tcMar>
              <w:top w:w="0" w:type="dxa"/>
              <w:left w:w="0" w:type="dxa"/>
              <w:bottom w:w="0" w:type="dxa"/>
              <w:right w:w="0" w:type="dxa"/>
            </w:tcMar>
            <w:vAlign w:val="center"/>
          </w:tcPr>
          <w:p>
            <w:pPr>
              <w:pStyle w:val="TableContents"/>
              <w:bidi w:val="0"/>
              <w:spacing w:before="0" w:after="283"/>
              <w:ind w:left="0" w:right="0" w:firstLine="195"/>
              <w:jc w:val="left"/>
              <w:rPr>
                <w:rFonts w:ascii="Arial" w:hAnsi="Arial"/>
                <w:color w:val="53565A"/>
                <w:sz w:val="20"/>
              </w:rPr>
            </w:pPr>
            <w:r>
              <w:rPr>
                <w:rFonts w:ascii="Arial" w:hAnsi="Arial"/>
                <w:color w:val="53565A"/>
                <w:sz w:val="20"/>
              </w:rPr>
              <w:t>Tara Innes</w:t>
            </w:r>
          </w:p>
        </w:tc>
      </w:tr>
      <w:tr>
        <w:trPr/>
        <w:tc>
          <w:tcPr>
            <w:tcW w:w="3762"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Stuart Burns, EVP Government Relations</w:t>
            </w:r>
          </w:p>
        </w:tc>
        <w:tc>
          <w:tcPr>
            <w:tcW w:w="2825"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Brian Colantuoni, SVP CAO</w:t>
            </w:r>
          </w:p>
        </w:tc>
        <w:tc>
          <w:tcPr>
            <w:tcW w:w="2167" w:type="dxa"/>
            <w:tcBorders/>
            <w:tcMar>
              <w:top w:w="0" w:type="dxa"/>
              <w:left w:w="0" w:type="dxa"/>
              <w:bottom w:w="0" w:type="dxa"/>
              <w:right w:w="0" w:type="dxa"/>
            </w:tcMar>
            <w:vAlign w:val="center"/>
          </w:tcPr>
          <w:p>
            <w:pPr>
              <w:pStyle w:val="TableContents"/>
              <w:bidi w:val="0"/>
              <w:spacing w:before="0" w:after="283"/>
              <w:ind w:left="0" w:right="0" w:firstLine="360"/>
              <w:jc w:val="left"/>
              <w:rPr>
                <w:rFonts w:ascii="Arial" w:hAnsi="Arial"/>
                <w:color w:val="53565A"/>
                <w:sz w:val="20"/>
              </w:rPr>
            </w:pPr>
            <w:r>
              <w:rPr>
                <w:rFonts w:ascii="Arial" w:hAnsi="Arial"/>
                <w:color w:val="53565A"/>
                <w:sz w:val="20"/>
              </w:rPr>
              <w:t>Scott Freeman</w:t>
            </w:r>
          </w:p>
        </w:tc>
        <w:tc>
          <w:tcPr>
            <w:tcW w:w="145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r>
        <w:trPr/>
        <w:tc>
          <w:tcPr>
            <w:tcW w:w="3762"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Nick Nimerala, EVP Portfolio &amp; Asset Management</w:t>
            </w:r>
          </w:p>
        </w:tc>
        <w:tc>
          <w:tcPr>
            <w:tcW w:w="2825" w:type="dxa"/>
            <w:tcBorders/>
            <w:tcMar>
              <w:top w:w="0" w:type="dxa"/>
              <w:left w:w="0" w:type="dxa"/>
              <w:bottom w:w="0" w:type="dxa"/>
              <w:right w:w="0" w:type="dxa"/>
            </w:tcMar>
            <w:vAlign w:val="center"/>
          </w:tcPr>
          <w:p>
            <w:pPr>
              <w:pStyle w:val="TableContents"/>
              <w:bidi w:val="0"/>
              <w:spacing w:before="0" w:after="283"/>
              <w:jc w:val="left"/>
              <w:rPr/>
            </w:pPr>
            <w:r>
              <w:rPr/>
              <w:t> </w:t>
            </w:r>
          </w:p>
        </w:tc>
        <w:tc>
          <w:tcPr>
            <w:tcW w:w="2167"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1451"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r>
    </w:tbl>
    <w:p>
      <w:pPr>
        <w:pStyle w:val="TextBody"/>
        <w:bidi w:val="0"/>
        <w:jc w:val="left"/>
        <w:rPr/>
      </w:pPr>
      <w:r>
        <w:rPr/>
        <w:t> </w:t>
      </w:r>
    </w:p>
    <w:p>
      <w:pPr>
        <w:pStyle w:val="TextBody"/>
        <w:bidi w:val="0"/>
        <w:jc w:val="left"/>
        <w:rPr/>
      </w:pPr>
      <w:r>
        <w:rPr/>
        <w:t> </w:t>
      </w:r>
    </w:p>
    <w:tbl>
      <w:tblPr>
        <w:tblW w:w="9813" w:type="dxa"/>
        <w:jc w:val="left"/>
        <w:tblInd w:w="0" w:type="dxa"/>
        <w:tblLayout w:type="fixed"/>
        <w:tblCellMar>
          <w:top w:w="28" w:type="dxa"/>
          <w:left w:w="28" w:type="dxa"/>
          <w:bottom w:w="28" w:type="dxa"/>
          <w:right w:w="28" w:type="dxa"/>
        </w:tblCellMar>
      </w:tblPr>
      <w:tblGrid>
        <w:gridCol w:w="3811"/>
        <w:gridCol w:w="2041"/>
        <w:gridCol w:w="3961"/>
      </w:tblGrid>
      <w:tr>
        <w:trPr/>
        <w:tc>
          <w:tcPr>
            <w:tcW w:w="381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18" w:space="0" w:color="2B4B86"/>
            </w:tcBorders>
            <w:tcMar>
              <w:top w:w="0" w:type="dxa"/>
              <w:left w:w="0" w:type="dxa"/>
              <w:right w:w="0" w:type="dxa"/>
            </w:tcMar>
            <w:vAlign w:val="center"/>
          </w:tcPr>
          <w:p>
            <w:pPr>
              <w:pStyle w:val="TableContents"/>
              <w:bidi w:val="0"/>
              <w:spacing w:before="0" w:after="283"/>
              <w:jc w:val="left"/>
              <w:rPr>
                <w:rFonts w:ascii="Arial" w:hAnsi="Arial"/>
                <w:b/>
                <w:color w:val="53565A"/>
                <w:sz w:val="28"/>
              </w:rPr>
            </w:pPr>
            <w:r>
              <w:rPr>
                <w:rFonts w:ascii="Arial" w:hAnsi="Arial"/>
                <w:b/>
                <w:color w:val="53565A"/>
                <w:sz w:val="28"/>
              </w:rPr>
              <w:t>Equity Research Coverage</w:t>
            </w:r>
          </w:p>
        </w:tc>
        <w:tc>
          <w:tcPr>
            <w:tcW w:w="2041" w:type="dxa"/>
            <w:tcBorders>
              <w:bottom w:val="single" w:sz="18" w:space="0" w:color="2B4B86"/>
            </w:tcBorders>
            <w:tcMar>
              <w:top w:w="0" w:type="dxa"/>
              <w:left w:w="0" w:type="dxa"/>
              <w:right w:w="0" w:type="dxa"/>
            </w:tcMar>
            <w:vAlign w:val="center"/>
          </w:tcPr>
          <w:p>
            <w:pPr>
              <w:pStyle w:val="TableContents"/>
              <w:bidi w:val="0"/>
              <w:spacing w:before="0" w:after="283"/>
              <w:jc w:val="left"/>
              <w:rPr/>
            </w:pPr>
            <w:r>
              <w:rPr/>
              <w:t> </w:t>
            </w:r>
          </w:p>
        </w:tc>
        <w:tc>
          <w:tcPr>
            <w:tcW w:w="3961" w:type="dxa"/>
            <w:tcBorders>
              <w:bottom w:val="single" w:sz="18" w:space="0" w:color="2B4B86"/>
            </w:tcBorders>
            <w:tcMar>
              <w:top w:w="0" w:type="dxa"/>
              <w:left w:w="0" w:type="dxa"/>
              <w:right w:w="0" w:type="dxa"/>
            </w:tcMar>
            <w:vAlign w:val="center"/>
          </w:tcPr>
          <w:p>
            <w:pPr>
              <w:pStyle w:val="TableContents"/>
              <w:bidi w:val="0"/>
              <w:spacing w:before="0" w:after="283"/>
              <w:jc w:val="left"/>
              <w:rPr/>
            </w:pPr>
            <w:r>
              <w:rPr/>
              <w:t> </w:t>
            </w:r>
          </w:p>
        </w:tc>
      </w:tr>
      <w:tr>
        <w:trPr/>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Citigroup</w:t>
            </w:r>
          </w:p>
        </w:tc>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BMO Capital Markets</w:t>
            </w:r>
          </w:p>
        </w:tc>
        <w:tc>
          <w:tcPr>
            <w:tcW w:w="3961"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RBC Capital Markets</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Seth Bergey &amp; Nick Joseph</w:t>
            </w:r>
          </w:p>
        </w:tc>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John P. Kim</w:t>
            </w:r>
          </w:p>
        </w:tc>
        <w:tc>
          <w:tcPr>
            <w:tcW w:w="396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Michael Carroll</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212-816-2066 &amp; 212-816-1909</w:t>
            </w:r>
          </w:p>
        </w:tc>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212-885-4115</w:t>
            </w:r>
          </w:p>
        </w:tc>
        <w:tc>
          <w:tcPr>
            <w:tcW w:w="396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440-715-2649</w:t>
            </w:r>
          </w:p>
        </w:tc>
      </w:tr>
      <w:tr>
        <w:trPr/>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Jefferies</w:t>
            </w:r>
          </w:p>
        </w:tc>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Truist Securities</w:t>
            </w:r>
          </w:p>
        </w:tc>
        <w:tc>
          <w:tcPr>
            <w:tcW w:w="3961"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Compass Point Research &amp; Trading, LLC</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Joe Dickstein</w:t>
            </w:r>
          </w:p>
        </w:tc>
        <w:tc>
          <w:tcPr>
            <w:tcW w:w="204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Michael R. Lewis</w:t>
            </w:r>
          </w:p>
        </w:tc>
        <w:tc>
          <w:tcPr>
            <w:tcW w:w="396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Merrill Ross</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212-778-8771</w:t>
            </w:r>
          </w:p>
        </w:tc>
        <w:tc>
          <w:tcPr>
            <w:tcW w:w="2041" w:type="dxa"/>
            <w:tcBorders/>
            <w:tcMar>
              <w:top w:w="0" w:type="dxa"/>
              <w:left w:w="0" w:type="dxa"/>
              <w:bottom w:w="0" w:type="dxa"/>
              <w:right w:w="0" w:type="dxa"/>
            </w:tcMar>
            <w:vAlign w:val="center"/>
          </w:tcPr>
          <w:p>
            <w:pPr>
              <w:pStyle w:val="TableContents"/>
              <w:bidi w:val="0"/>
              <w:spacing w:before="11" w:after="283"/>
              <w:jc w:val="left"/>
              <w:rPr>
                <w:rFonts w:ascii="Arial" w:hAnsi="Arial"/>
                <w:color w:val="53565A"/>
                <w:sz w:val="20"/>
              </w:rPr>
            </w:pPr>
            <w:r>
              <w:rPr>
                <w:rFonts w:ascii="Arial" w:hAnsi="Arial"/>
                <w:color w:val="53565A"/>
                <w:sz w:val="20"/>
              </w:rPr>
              <w:t>212-319-5659</w:t>
            </w:r>
          </w:p>
        </w:tc>
        <w:tc>
          <w:tcPr>
            <w:tcW w:w="396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202-534-1392</w:t>
            </w:r>
          </w:p>
        </w:tc>
      </w:tr>
      <w:tr>
        <w:trPr/>
        <w:tc>
          <w:tcPr>
            <w:tcW w:w="381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11"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Arial" w:hAnsi="Arial"/>
                <w:b/>
                <w:color w:val="53565A"/>
                <w:sz w:val="20"/>
              </w:rPr>
            </w:pPr>
            <w:r>
              <w:rPr>
                <w:rFonts w:ascii="Arial" w:hAnsi="Arial"/>
                <w:b/>
                <w:color w:val="53565A"/>
                <w:sz w:val="20"/>
              </w:rPr>
              <w:t>Raymond James &amp; Associates</w:t>
            </w:r>
          </w:p>
        </w:tc>
        <w:tc>
          <w:tcPr>
            <w:tcW w:w="2041" w:type="dxa"/>
            <w:tcBorders/>
            <w:tcMar>
              <w:top w:w="0" w:type="dxa"/>
              <w:left w:w="0" w:type="dxa"/>
              <w:bottom w:w="0" w:type="dxa"/>
              <w:right w:w="0" w:type="dxa"/>
            </w:tcMar>
            <w:vAlign w:val="center"/>
          </w:tcPr>
          <w:p>
            <w:pPr>
              <w:pStyle w:val="TableContents"/>
              <w:bidi w:val="0"/>
              <w:spacing w:before="11"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RJ Milligan</w:t>
            </w:r>
          </w:p>
        </w:tc>
        <w:tc>
          <w:tcPr>
            <w:tcW w:w="2041" w:type="dxa"/>
            <w:tcBorders/>
            <w:tcMar>
              <w:top w:w="0" w:type="dxa"/>
              <w:left w:w="0" w:type="dxa"/>
              <w:bottom w:w="0" w:type="dxa"/>
              <w:right w:w="0" w:type="dxa"/>
            </w:tcMar>
            <w:vAlign w:val="center"/>
          </w:tcPr>
          <w:p>
            <w:pPr>
              <w:pStyle w:val="TableContents"/>
              <w:bidi w:val="0"/>
              <w:spacing w:before="11"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tcMar>
              <w:top w:w="0" w:type="dxa"/>
              <w:left w:w="0" w:type="dxa"/>
              <w:bottom w:w="0" w:type="dxa"/>
              <w:right w:w="0" w:type="dxa"/>
            </w:tcMar>
            <w:vAlign w:val="center"/>
          </w:tcPr>
          <w:p>
            <w:pPr>
              <w:pStyle w:val="TableContents"/>
              <w:bidi w:val="0"/>
              <w:spacing w:before="0" w:after="283"/>
              <w:jc w:val="left"/>
              <w:rPr>
                <w:rFonts w:ascii="Arial" w:hAnsi="Arial"/>
                <w:color w:val="53565A"/>
                <w:sz w:val="20"/>
              </w:rPr>
            </w:pPr>
            <w:r>
              <w:rPr>
                <w:rFonts w:ascii="Arial" w:hAnsi="Arial"/>
                <w:color w:val="53565A"/>
                <w:sz w:val="20"/>
              </w:rPr>
              <w:t>727-567-2585</w:t>
            </w:r>
          </w:p>
        </w:tc>
        <w:tc>
          <w:tcPr>
            <w:tcW w:w="2041" w:type="dxa"/>
            <w:tcBorders/>
            <w:tcMar>
              <w:top w:w="0" w:type="dxa"/>
              <w:left w:w="0" w:type="dxa"/>
              <w:bottom w:w="0" w:type="dxa"/>
              <w:right w:w="0" w:type="dxa"/>
            </w:tcMar>
            <w:vAlign w:val="center"/>
          </w:tcPr>
          <w:p>
            <w:pPr>
              <w:pStyle w:val="TableContents"/>
              <w:bidi w:val="0"/>
              <w:spacing w:before="11"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i/>
          <w:color w:val="53565A"/>
          <w:sz w:val="20"/>
        </w:rPr>
      </w:pPr>
      <w:r>
        <w:rPr>
          <w:rFonts w:ascii="Arial" w:hAnsi="Arial"/>
          <w:i/>
          <w:color w:val="53565A"/>
          <w:sz w:val="20"/>
        </w:rPr>
        <w:t>Any opinions, estimates, forecasts or predictions regarding Easterly Government Properties, Inc.’s performance made by these analysts are theirs alone and do not represent opinions, estimates, forecasts or predictions of Easterly Government Properties, Inc. or its management. Easterly Government Properties, Inc. does not by its reference above or distribution imply its endorsement of or concurrence with such opinions, estimates, forecasts or predictions.</w:t>
      </w:r>
    </w:p>
    <w:p>
      <w:pPr>
        <w:pStyle w:val="TextBody"/>
        <w:bidi w:val="0"/>
        <w:spacing w:before="240" w:after="283"/>
        <w:jc w:val="right"/>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tbl>
      <w:tblPr>
        <w:tblW w:w="7822" w:type="dxa"/>
        <w:jc w:val="left"/>
        <w:tblInd w:w="0" w:type="dxa"/>
        <w:tblLayout w:type="fixed"/>
        <w:tblCellMar>
          <w:top w:w="28" w:type="dxa"/>
          <w:left w:w="28" w:type="dxa"/>
          <w:bottom w:w="28" w:type="dxa"/>
          <w:right w:w="28" w:type="dxa"/>
        </w:tblCellMar>
      </w:tblPr>
      <w:tblGrid>
        <w:gridCol w:w="5336"/>
        <w:gridCol w:w="2486"/>
      </w:tblGrid>
      <w:tr>
        <w:trPr/>
        <w:tc>
          <w:tcPr>
            <w:tcW w:w="533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33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Executive Summary</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(In thousands, except share and per share amounts)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95425" cy="542925"/>
                          </a:xfrm>
                          <a:prstGeom prst="rect">
                            <a:avLst/>
                          </a:prstGeom>
                        </pic:spPr>
                      </pic:pic>
                    </a:graphicData>
                  </a:graphic>
                </wp:inline>
              </w:drawing>
            </w:r>
          </w:p>
        </w:tc>
      </w:tr>
      <w:tr>
        <w:trPr/>
        <w:tc>
          <w:tcPr>
            <w:tcW w:w="782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Normal"/>
        <w:bidi w:val="0"/>
        <w:spacing w:before="0" w:after="0"/>
        <w:jc w:val="left"/>
        <w:rPr>
          <w:sz w:val="4"/>
          <w:szCs w:val="4"/>
        </w:rPr>
      </w:pPr>
      <w:r>
        <w:rPr>
          <w:sz w:val="4"/>
          <w:szCs w:val="4"/>
        </w:rPr>
      </w:r>
      <w:bookmarkStart w:id="7" w:name="executive_summary"/>
      <w:bookmarkStart w:id="8" w:name="executive_summary"/>
      <w:bookmarkEnd w:id="8"/>
    </w:p>
    <w:tbl>
      <w:tblPr>
        <w:tblW w:w="10205" w:type="dxa"/>
        <w:jc w:val="left"/>
        <w:tblInd w:w="0" w:type="dxa"/>
        <w:tblLayout w:type="fixed"/>
        <w:tblCellMar>
          <w:top w:w="28" w:type="dxa"/>
          <w:left w:w="28" w:type="dxa"/>
          <w:bottom w:w="28" w:type="dxa"/>
          <w:right w:w="28" w:type="dxa"/>
        </w:tblCellMar>
      </w:tblPr>
      <w:tblGrid>
        <w:gridCol w:w="3121"/>
        <w:gridCol w:w="1111"/>
        <w:gridCol w:w="246"/>
        <w:gridCol w:w="2456"/>
        <w:gridCol w:w="1594"/>
        <w:gridCol w:w="1677"/>
      </w:tblGrid>
      <w:tr>
        <w:trPr/>
        <w:tc>
          <w:tcPr>
            <w:tcW w:w="312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r>
      <w:tr>
        <w:trPr/>
        <w:tc>
          <w:tcPr>
            <w:tcW w:w="312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Outstanding Classes of Stock and Partnership Units - Fully Diluted Basis</w:t>
            </w:r>
          </w:p>
        </w:tc>
        <w:tc>
          <w:tcPr>
            <w:tcW w:w="111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At June 30, 2026</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6"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Earnings</w:t>
            </w:r>
          </w:p>
        </w:tc>
        <w:tc>
          <w:tcPr>
            <w:tcW w:w="1594"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2026</w:t>
            </w:r>
          </w:p>
        </w:tc>
        <w:tc>
          <w:tcPr>
            <w:tcW w:w="1677"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2025</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Common shares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47,250,107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available to Easterly Government Properties, Inc.</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$3,050</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$4,071</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Unvested restricted shares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71,510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available to Easterly Government Properties, Inc.</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Common partnership and vested LTIP units</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1,600,841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per share:</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 fully diluted basis</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48,922,458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$0.09</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$0.09</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Market Capitalization</w:t>
            </w:r>
          </w:p>
        </w:tc>
        <w:tc>
          <w:tcPr>
            <w:tcW w:w="111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At June 30, 2026</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$3,158</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$4,254</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Price of Common Shares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$24.93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per share - fully diluted basis</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$0.07</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$0.09</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equity market capitalization - fully diluted basis</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$1,219,637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Funds From Operations (FFO)</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$37,331</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$34,816</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Debt</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$1,712,733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FFO, per share - fully diluted basis</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$0.78</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$0.74</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enterprise value</w:t>
            </w:r>
          </w:p>
        </w:tc>
        <w:tc>
          <w:tcPr>
            <w:tcW w:w="1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$2,932,370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Core FFO</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$37,351</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$34,592</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Core FFO, per share - fully diluted basis</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$0.78</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$0.74</w:t>
            </w:r>
          </w:p>
        </w:tc>
      </w:tr>
      <w:tr>
        <w:trPr/>
        <w:tc>
          <w:tcPr>
            <w:tcW w:w="312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Ratios</w:t>
            </w:r>
          </w:p>
        </w:tc>
        <w:tc>
          <w:tcPr>
            <w:tcW w:w="111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At June 30, 2026</w:t>
            </w:r>
          </w:p>
        </w:tc>
        <w:tc>
          <w:tcPr>
            <w:tcW w:w="24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debt to total enterprise value</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Available for Distribution (CAD)</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$25,829</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$29,298</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debt to annualized quarterly EBITDA</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7.3x</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Net Debt to annualized quarterly EBITDA</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7.1x</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6"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Liquidity</w:t>
            </w:r>
          </w:p>
        </w:tc>
        <w:tc>
          <w:tcPr>
            <w:tcW w:w="3271"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At June 30, 2026</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interest coverage ratio</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3.0x</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$4,625</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fixed charge coverage ratio</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2.8x</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Available under $400 million senior unsecured 2024 revolving credit facility</w:t>
            </w:r>
            <w:r>
              <w:rPr>
                <w:rFonts w:ascii="Arial" w:hAnsi="Arial"/>
                <w:color w:val="000000"/>
                <w:sz w:val="11"/>
              </w:rPr>
              <w:t>(1)</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$356,825</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53565A"/>
          <w:sz w:val="11"/>
        </w:rPr>
        <w:t xml:space="preserve">(1) </w:t>
      </w:r>
      <w:r>
        <w:rPr>
          <w:rFonts w:ascii="Arial" w:hAnsi="Arial"/>
          <w:color w:val="53565A"/>
          <w:sz w:val="16"/>
        </w:rPr>
        <w:t>2024 revolving credit facility has an accordion feature that provides additional capacity, subject to syndication of the increase and the satisfaction of customary terms and conditions, of up to $300 million, for a total revolving credit facility size of not more than $700 million.</w:t>
      </w:r>
    </w:p>
    <w:p>
      <w:pPr>
        <w:pStyle w:val="TextBody"/>
        <w:bidi w:val="0"/>
        <w:spacing w:before="240" w:after="283"/>
        <w:jc w:val="right"/>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tbl>
      <w:tblPr>
        <w:tblW w:w="7507" w:type="dxa"/>
        <w:jc w:val="left"/>
        <w:tblInd w:w="0" w:type="dxa"/>
        <w:tblLayout w:type="fixed"/>
        <w:tblCellMar>
          <w:top w:w="28" w:type="dxa"/>
          <w:left w:w="28" w:type="dxa"/>
          <w:bottom w:w="28" w:type="dxa"/>
          <w:right w:w="28" w:type="dxa"/>
        </w:tblCellMar>
      </w:tblPr>
      <w:tblGrid>
        <w:gridCol w:w="5021"/>
        <w:gridCol w:w="2486"/>
      </w:tblGrid>
      <w:tr>
        <w:trPr/>
        <w:tc>
          <w:tcPr>
            <w:tcW w:w="502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021"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Balance Sheets</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(Unaudited, in thousands, except share amounts)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95425" cy="542925"/>
                          </a:xfrm>
                          <a:prstGeom prst="rect">
                            <a:avLst/>
                          </a:prstGeom>
                        </pic:spPr>
                      </pic:pic>
                    </a:graphicData>
                  </a:graphic>
                </wp:inline>
              </w:drawing>
            </w:r>
          </w:p>
        </w:tc>
      </w:tr>
      <w:tr>
        <w:trPr/>
        <w:tc>
          <w:tcPr>
            <w:tcW w:w="7507"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9" w:name="balance_sheet"/>
      <w:bookmarkEnd w:id="9"/>
      <w:r>
        <w:rPr/>
        <w:t> </w:t>
      </w:r>
    </w:p>
    <w:tbl>
      <w:tblPr>
        <w:tblW w:w="8555" w:type="dxa"/>
        <w:jc w:val="left"/>
        <w:tblInd w:w="0" w:type="dxa"/>
        <w:tblLayout w:type="fixed"/>
        <w:tblCellMar>
          <w:top w:w="28" w:type="dxa"/>
          <w:left w:w="28" w:type="dxa"/>
          <w:bottom w:w="28" w:type="dxa"/>
          <w:right w:w="28" w:type="dxa"/>
        </w:tblCellMar>
      </w:tblPr>
      <w:tblGrid>
        <w:gridCol w:w="5471"/>
        <w:gridCol w:w="146"/>
        <w:gridCol w:w="1171"/>
        <w:gridCol w:w="146"/>
        <w:gridCol w:w="1621"/>
      </w:tblGrid>
      <w:tr>
        <w:trPr/>
        <w:tc>
          <w:tcPr>
            <w:tcW w:w="5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Real estate properties,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$2,751,493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$2,714,650</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23,374</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10,257</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Tenant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51,493</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Investment in unconsolidated real estate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304,721</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Real estate loans receivable, net and investment in sales-type lease,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34,286</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183,911</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57,078</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$3,416,399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$3,379,770</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199,050</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Term loan facilities,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495,847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297,200</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1,019,382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1,018,884</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Mortgage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151,191</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Intangible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11,959</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219,201</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3,034</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Accounts payable, 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109,686</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$2,056,640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$2,010,205</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 xml:space="preserve">Common stock, par value $0.01, 80,000,000 shares authorized, </w:t>
              <w:br/>
              <w:t>  47,321,617 and 46,303,469 shares issued and outstanding at</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463</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1,983,878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1,958,412</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144,857</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Cumulative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(817,791)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(776,022)</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(4,578)</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$1,315,265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$1,323,132</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Non-controlling interest in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46,433</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Arial" w:hAnsi="Arial"/>
                <w:b/>
                <w:color w:val="000000"/>
                <w:sz w:val="16"/>
              </w:rPr>
              <w:t>Total</w:t>
            </w:r>
            <w:r>
              <w:rPr>
                <w:rFonts w:ascii="Times New Roman" w:hAnsi="Times New Roman"/>
                <w:color w:val="000000"/>
                <w:sz w:val="16"/>
              </w:rPr>
              <w:t xml:space="preserve"> </w:t>
            </w:r>
            <w:r>
              <w:rPr>
                <w:rFonts w:ascii="Arial" w:hAnsi="Arial"/>
                <w:b/>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$1,359,759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$1,369,565</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$3,416,399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$3,379,770</w:t>
            </w:r>
          </w:p>
        </w:tc>
      </w:tr>
      <w:tr>
        <w:trPr/>
        <w:tc>
          <w:tcPr>
            <w:tcW w:w="5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tbl>
      <w:tblPr>
        <w:tblW w:w="8877" w:type="dxa"/>
        <w:jc w:val="left"/>
        <w:tblInd w:w="0" w:type="dxa"/>
        <w:tblLayout w:type="fixed"/>
        <w:tblCellMar>
          <w:top w:w="28" w:type="dxa"/>
          <w:left w:w="28" w:type="dxa"/>
          <w:bottom w:w="28" w:type="dxa"/>
          <w:right w:w="28" w:type="dxa"/>
        </w:tblCellMar>
      </w:tblPr>
      <w:tblGrid>
        <w:gridCol w:w="6391"/>
        <w:gridCol w:w="2486"/>
      </w:tblGrid>
      <w:tr>
        <w:trPr/>
        <w:tc>
          <w:tcPr>
            <w:tcW w:w="639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6391" w:type="dxa"/>
            <w:tcBorders/>
            <w:tcMar>
              <w:top w:w="0" w:type="dxa"/>
              <w:left w:w="0" w:type="dxa"/>
              <w:bottom w:w="0" w:type="dxa"/>
              <w:right w:w="0" w:type="dxa"/>
            </w:tcMar>
            <w:vAlign w:val="center"/>
          </w:tcPr>
          <w:p>
            <w:pPr>
              <w:pStyle w:val="TableContents"/>
              <w:bidi w:val="0"/>
              <w:jc w:val="left"/>
              <w:rPr>
                <w:color w:val="2B4B86"/>
              </w:rPr>
            </w:pPr>
            <w:r>
              <w:rPr>
                <w:color w:val="2B4B86"/>
              </w:rPr>
              <w:t> </w:t>
            </w:r>
            <w:r>
              <w:rPr>
                <w:rFonts w:ascii="Arial" w:hAnsi="Arial"/>
                <w:color w:val="2B4B86"/>
                <w:sz w:val="36"/>
              </w:rPr>
              <w:t>Income Statements</w:t>
            </w:r>
          </w:p>
          <w:p>
            <w:pPr>
              <w:pStyle w:val="TableContents"/>
              <w:bidi w:val="0"/>
              <w:spacing w:before="0" w:after="283"/>
              <w:jc w:val="left"/>
              <w:rPr>
                <w:color w:val="2B4B86"/>
              </w:rPr>
            </w:pPr>
            <w:r>
              <w:rPr>
                <w:color w:val="2B4B86"/>
              </w:rPr>
              <w:t> </w:t>
            </w:r>
            <w:r>
              <w:rPr>
                <w:rFonts w:ascii="Arial" w:hAnsi="Arial"/>
                <w:color w:val="2B4B86"/>
                <w:sz w:val="22"/>
              </w:rPr>
              <w:t>(Unaudited, in thousands, except share and per share amounts)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95425" cy="542925"/>
                          </a:xfrm>
                          <a:prstGeom prst="rect">
                            <a:avLst/>
                          </a:prstGeom>
                        </pic:spPr>
                      </pic:pic>
                    </a:graphicData>
                  </a:graphic>
                </wp:inline>
              </w:drawing>
            </w:r>
          </w:p>
        </w:tc>
      </w:tr>
      <w:tr>
        <w:trPr/>
        <w:tc>
          <w:tcPr>
            <w:tcW w:w="8877"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10" w:name="income_stmts"/>
      <w:bookmarkEnd w:id="10"/>
      <w:r>
        <w:rPr/>
        <w:t> </w:t>
      </w:r>
    </w:p>
    <w:tbl>
      <w:tblPr>
        <w:tblW w:w="9259" w:type="dxa"/>
        <w:jc w:val="left"/>
        <w:tblInd w:w="0" w:type="dxa"/>
        <w:tblLayout w:type="fixed"/>
        <w:tblCellMar>
          <w:top w:w="28" w:type="dxa"/>
          <w:left w:w="28" w:type="dxa"/>
          <w:bottom w:w="28" w:type="dxa"/>
          <w:right w:w="28" w:type="dxa"/>
        </w:tblCellMar>
      </w:tblPr>
      <w:tblGrid>
        <w:gridCol w:w="3946"/>
        <w:gridCol w:w="146"/>
        <w:gridCol w:w="1171"/>
        <w:gridCol w:w="146"/>
        <w:gridCol w:w="1171"/>
        <w:gridCol w:w="146"/>
        <w:gridCol w:w="1171"/>
        <w:gridCol w:w="146"/>
        <w:gridCol w:w="121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8" w:type="dxa"/>
            <w:gridSpan w:val="3"/>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3" w:type="dxa"/>
            <w:gridSpan w:val="3"/>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Rental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$155,913</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Tenant reimbursements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2,921</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Asset management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1,244</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2,831</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$162,909</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Property 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37,009</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Real estate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16,443</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55,331</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669</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Corporate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13,022</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Recovery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(777)</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$121,697</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Income from unconsolidated real estate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3,662</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(37,337)</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7,537</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Non-controlling interest in Operating Partnership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 available to Easterly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Properties,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$7,198</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 available to Easterly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Properties, Inc.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$0.16</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$0.15</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46,463,199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45,011,585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46,362,418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44,122,803</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46,699,118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45,111,753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46,577,709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44,230,123</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income, per share - fully diluted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$0.16</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fully diluted basis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48,161,107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47,043,923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48,079,226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46,236,779</w:t>
            </w:r>
          </w:p>
        </w:tc>
      </w:tr>
    </w:tbl>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tbl>
      <w:tblPr>
        <w:tblW w:w="6162" w:type="dxa"/>
        <w:jc w:val="left"/>
        <w:tblInd w:w="0" w:type="dxa"/>
        <w:tblLayout w:type="fixed"/>
        <w:tblCellMar>
          <w:top w:w="28" w:type="dxa"/>
          <w:left w:w="28" w:type="dxa"/>
          <w:bottom w:w="28" w:type="dxa"/>
          <w:right w:w="28" w:type="dxa"/>
        </w:tblCellMar>
      </w:tblPr>
      <w:tblGrid>
        <w:gridCol w:w="3676"/>
        <w:gridCol w:w="2486"/>
      </w:tblGrid>
      <w:tr>
        <w:trPr/>
        <w:tc>
          <w:tcPr>
            <w:tcW w:w="367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3676" w:type="dxa"/>
            <w:tcBorders/>
            <w:tcMar>
              <w:top w:w="0" w:type="dxa"/>
              <w:left w:w="0" w:type="dxa"/>
              <w:bottom w:w="0" w:type="dxa"/>
              <w:right w:w="0" w:type="dxa"/>
            </w:tcMar>
            <w:vAlign w:val="center"/>
          </w:tcPr>
          <w:p>
            <w:pPr>
              <w:pStyle w:val="TableContents"/>
              <w:bidi w:val="0"/>
              <w:jc w:val="left"/>
              <w:rPr>
                <w:color w:val="2B4B86"/>
              </w:rPr>
            </w:pPr>
            <w:r>
              <w:rPr>
                <w:color w:val="2B4B86"/>
              </w:rPr>
              <w:t> </w:t>
            </w:r>
            <w:r>
              <w:rPr>
                <w:rFonts w:ascii="Arial" w:hAnsi="Arial"/>
                <w:color w:val="2B4B86"/>
                <w:sz w:val="36"/>
              </w:rPr>
              <w:t>Net Operating Income</w:t>
            </w:r>
          </w:p>
          <w:p>
            <w:pPr>
              <w:pStyle w:val="TableContents"/>
              <w:bidi w:val="0"/>
              <w:spacing w:before="0" w:after="283"/>
              <w:jc w:val="left"/>
              <w:rPr>
                <w:color w:val="2B4B86"/>
              </w:rPr>
            </w:pPr>
            <w:r>
              <w:rPr>
                <w:color w:val="2B4B86"/>
              </w:rPr>
              <w:t> </w:t>
            </w:r>
            <w:r>
              <w:rPr>
                <w:rFonts w:ascii="Arial" w:hAnsi="Arial"/>
                <w:color w:val="2B4B86"/>
                <w:sz w:val="22"/>
              </w:rPr>
              <w:t>(Unaudited, in thousands)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95425" cy="542925"/>
                          </a:xfrm>
                          <a:prstGeom prst="rect">
                            <a:avLst/>
                          </a:prstGeom>
                        </pic:spPr>
                      </pic:pic>
                    </a:graphicData>
                  </a:graphic>
                </wp:inline>
              </w:drawing>
            </w:r>
          </w:p>
        </w:tc>
      </w:tr>
      <w:tr>
        <w:trPr/>
        <w:tc>
          <w:tcPr>
            <w:tcW w:w="616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11" w:name="net_operating_income"/>
      <w:bookmarkEnd w:id="11"/>
      <w:r>
        <w:rPr/>
        <w:t> </w:t>
      </w:r>
    </w:p>
    <w:tbl>
      <w:tblPr>
        <w:tblW w:w="10205" w:type="dxa"/>
        <w:jc w:val="left"/>
        <w:tblInd w:w="0" w:type="dxa"/>
        <w:tblLayout w:type="fixed"/>
        <w:tblCellMar>
          <w:top w:w="28" w:type="dxa"/>
          <w:left w:w="28" w:type="dxa"/>
          <w:bottom w:w="28" w:type="dxa"/>
          <w:right w:w="28" w:type="dxa"/>
        </w:tblCellMar>
      </w:tblPr>
      <w:tblGrid>
        <w:gridCol w:w="5075"/>
        <w:gridCol w:w="146"/>
        <w:gridCol w:w="1120"/>
        <w:gridCol w:w="146"/>
        <w:gridCol w:w="1120"/>
        <w:gridCol w:w="146"/>
        <w:gridCol w:w="1129"/>
        <w:gridCol w:w="146"/>
        <w:gridCol w:w="1177"/>
      </w:tblGrid>
      <w:tr>
        <w:trPr/>
        <w:tc>
          <w:tcPr>
            <w:tcW w:w="5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gridSpan w:val="3"/>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2" w:type="dxa"/>
            <w:gridSpan w:val="3"/>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$7,537</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55,331</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669</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Corporate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13,022</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Recovery of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(777)</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37,337</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Unconsolidated real estate venture allocated share of above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4,720</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Net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$67,271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$117,839</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Adjustments to Net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Straight-line rent and other non-cash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(15)</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Amortization of above-/below-market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(1,006)</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Amortization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(3,625)</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Unconsolidated real estate venture allocated share of above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r>
      <w:tr>
        <w:trPr/>
        <w:tc>
          <w:tcPr>
            <w:tcW w:w="50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Net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$113,243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tbl>
      <w:tblPr>
        <w:tblW w:w="5112" w:type="dxa"/>
        <w:jc w:val="left"/>
        <w:tblInd w:w="0" w:type="dxa"/>
        <w:tblLayout w:type="fixed"/>
        <w:tblCellMar>
          <w:top w:w="28" w:type="dxa"/>
          <w:left w:w="28" w:type="dxa"/>
          <w:bottom w:w="28" w:type="dxa"/>
          <w:right w:w="28" w:type="dxa"/>
        </w:tblCellMar>
      </w:tblPr>
      <w:tblGrid>
        <w:gridCol w:w="2626"/>
        <w:gridCol w:w="2486"/>
      </w:tblGrid>
      <w:tr>
        <w:trPr/>
        <w:tc>
          <w:tcPr>
            <w:tcW w:w="262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jc w:val="left"/>
              <w:rPr>
                <w:color w:val="2B4B86"/>
              </w:rPr>
            </w:pPr>
            <w:r>
              <w:rPr>
                <w:color w:val="2B4B86"/>
              </w:rPr>
              <w:t> </w:t>
            </w:r>
            <w:r>
              <w:rPr>
                <w:rFonts w:ascii="Arial" w:hAnsi="Arial"/>
                <w:color w:val="2B4B86"/>
                <w:sz w:val="36"/>
              </w:rPr>
              <w:t>EBITDA</w:t>
            </w:r>
          </w:p>
          <w:p>
            <w:pPr>
              <w:pStyle w:val="TableContents"/>
              <w:bidi w:val="0"/>
              <w:spacing w:before="0" w:after="283"/>
              <w:jc w:val="left"/>
              <w:rPr>
                <w:rFonts w:ascii="Arial" w:hAnsi="Arial"/>
                <w:color w:val="2B4B86"/>
                <w:sz w:val="22"/>
              </w:rPr>
            </w:pPr>
            <w:r>
              <w:rPr>
                <w:rFonts w:ascii="Arial" w:hAnsi="Arial"/>
                <w:color w:val="2B4B86"/>
                <w:sz w:val="22"/>
              </w:rPr>
              <w:t>(Unaudited, in thousands)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95425" cy="542925"/>
                          </a:xfrm>
                          <a:prstGeom prst="rect">
                            <a:avLst/>
                          </a:prstGeom>
                        </pic:spPr>
                      </pic:pic>
                    </a:graphicData>
                  </a:graphic>
                </wp:inline>
              </w:drawing>
            </w:r>
          </w:p>
        </w:tc>
      </w:tr>
      <w:tr>
        <w:trPr/>
        <w:tc>
          <w:tcPr>
            <w:tcW w:w="511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12" w:name="ebitda"/>
      <w:bookmarkEnd w:id="12"/>
      <w:r>
        <w:rPr/>
        <w:t> </w:t>
      </w:r>
    </w:p>
    <w:tbl>
      <w:tblPr>
        <w:tblW w:w="10205" w:type="dxa"/>
        <w:jc w:val="left"/>
        <w:tblInd w:w="0" w:type="dxa"/>
        <w:tblLayout w:type="fixed"/>
        <w:tblCellMar>
          <w:top w:w="28" w:type="dxa"/>
          <w:left w:w="28" w:type="dxa"/>
          <w:bottom w:w="28" w:type="dxa"/>
          <w:right w:w="28" w:type="dxa"/>
        </w:tblCellMar>
      </w:tblPr>
      <w:tblGrid>
        <w:gridCol w:w="5005"/>
        <w:gridCol w:w="246"/>
        <w:gridCol w:w="1112"/>
        <w:gridCol w:w="146"/>
        <w:gridCol w:w="1112"/>
        <w:gridCol w:w="146"/>
        <w:gridCol w:w="1123"/>
        <w:gridCol w:w="146"/>
        <w:gridCol w:w="1169"/>
      </w:tblGrid>
      <w:tr>
        <w:trPr/>
        <w:tc>
          <w:tcPr>
            <w:tcW w:w="500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50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3"/>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8" w:type="dxa"/>
            <w:gridSpan w:val="3"/>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r>
      <w:tr>
        <w:trPr/>
        <w:tc>
          <w:tcPr>
            <w:tcW w:w="50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r>
      <w:tr>
        <w:trPr/>
        <w:tc>
          <w:tcPr>
            <w:tcW w:w="50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$7,537</w:t>
            </w:r>
          </w:p>
        </w:tc>
      </w:tr>
      <w:tr>
        <w:trPr/>
        <w:tc>
          <w:tcPr>
            <w:tcW w:w="50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55,331</w:t>
            </w:r>
          </w:p>
        </w:tc>
      </w:tr>
      <w:tr>
        <w:trPr/>
        <w:tc>
          <w:tcPr>
            <w:tcW w:w="50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37,337</w:t>
            </w:r>
          </w:p>
        </w:tc>
      </w:tr>
      <w:tr>
        <w:trPr/>
        <w:tc>
          <w:tcPr>
            <w:tcW w:w="50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Tax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356</w:t>
            </w:r>
          </w:p>
        </w:tc>
      </w:tr>
      <w:tr>
        <w:trPr/>
        <w:tc>
          <w:tcPr>
            <w:tcW w:w="50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Unconsolidated real estate venture allocated share of above 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4,682</w:t>
            </w:r>
          </w:p>
        </w:tc>
      </w:tr>
      <w:tr>
        <w:trPr/>
        <w:tc>
          <w:tcPr>
            <w:tcW w:w="5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EBITDA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$115,641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$105,243</w:t>
            </w:r>
          </w:p>
        </w:tc>
      </w:tr>
      <w:tr>
        <w:trPr/>
        <w:tc>
          <w:tcPr>
            <w:tcW w:w="50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tbl>
      <w:tblPr>
        <w:tblW w:w="8817" w:type="dxa"/>
        <w:jc w:val="left"/>
        <w:tblInd w:w="0" w:type="dxa"/>
        <w:tblLayout w:type="fixed"/>
        <w:tblCellMar>
          <w:top w:w="28" w:type="dxa"/>
          <w:left w:w="28" w:type="dxa"/>
          <w:bottom w:w="28" w:type="dxa"/>
          <w:right w:w="28" w:type="dxa"/>
        </w:tblCellMar>
      </w:tblPr>
      <w:tblGrid>
        <w:gridCol w:w="6331"/>
        <w:gridCol w:w="2486"/>
      </w:tblGrid>
      <w:tr>
        <w:trPr/>
        <w:tc>
          <w:tcPr>
            <w:tcW w:w="633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6331" w:type="dxa"/>
            <w:tcBorders/>
            <w:tcMar>
              <w:top w:w="0" w:type="dxa"/>
              <w:left w:w="0" w:type="dxa"/>
              <w:bottom w:w="0" w:type="dxa"/>
              <w:right w:w="0" w:type="dxa"/>
            </w:tcMar>
            <w:vAlign w:val="center"/>
          </w:tcPr>
          <w:p>
            <w:pPr>
              <w:pStyle w:val="TableContents"/>
              <w:bidi w:val="0"/>
              <w:jc w:val="left"/>
              <w:rPr>
                <w:rFonts w:ascii="Arial" w:hAnsi="Arial"/>
                <w:color w:val="2B4B86"/>
                <w:sz w:val="36"/>
              </w:rPr>
            </w:pPr>
            <w:r>
              <w:rPr>
                <w:rFonts w:ascii="Arial" w:hAnsi="Arial"/>
                <w:color w:val="2B4B86"/>
                <w:sz w:val="36"/>
              </w:rPr>
              <w:t>FFO and CAD</w:t>
            </w:r>
          </w:p>
          <w:p>
            <w:pPr>
              <w:pStyle w:val="TableContents"/>
              <w:bidi w:val="0"/>
              <w:spacing w:before="0" w:after="283"/>
              <w:jc w:val="left"/>
              <w:rPr>
                <w:rFonts w:ascii="Arial" w:hAnsi="Arial"/>
                <w:color w:val="2B4B86"/>
                <w:sz w:val="22"/>
              </w:rPr>
            </w:pPr>
            <w:r>
              <w:rPr>
                <w:rFonts w:ascii="Arial" w:hAnsi="Arial"/>
                <w:color w:val="2B4B86"/>
                <w:sz w:val="22"/>
              </w:rPr>
              <w:t>(Unaudited, in thousands, except share and per share amounts)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95425" cy="542925"/>
                          </a:xfrm>
                          <a:prstGeom prst="rect">
                            <a:avLst/>
                          </a:prstGeom>
                        </pic:spPr>
                      </pic:pic>
                    </a:graphicData>
                  </a:graphic>
                </wp:inline>
              </w:drawing>
            </w:r>
          </w:p>
        </w:tc>
      </w:tr>
      <w:tr>
        <w:trPr/>
        <w:tc>
          <w:tcPr>
            <w:tcW w:w="8817"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13" w:name="ffo_and_cad"/>
      <w:bookmarkEnd w:id="13"/>
      <w:r>
        <w:rPr/>
        <w:t> </w:t>
      </w:r>
    </w:p>
    <w:tbl>
      <w:tblPr>
        <w:tblW w:w="10205" w:type="dxa"/>
        <w:jc w:val="left"/>
        <w:tblInd w:w="0" w:type="dxa"/>
        <w:tblLayout w:type="fixed"/>
        <w:tblCellMar>
          <w:top w:w="28" w:type="dxa"/>
          <w:left w:w="28" w:type="dxa"/>
          <w:bottom w:w="28" w:type="dxa"/>
          <w:right w:w="28" w:type="dxa"/>
        </w:tblCellMar>
      </w:tblPr>
      <w:tblGrid>
        <w:gridCol w:w="4866"/>
        <w:gridCol w:w="246"/>
        <w:gridCol w:w="1131"/>
        <w:gridCol w:w="146"/>
        <w:gridCol w:w="1131"/>
        <w:gridCol w:w="146"/>
        <w:gridCol w:w="1131"/>
        <w:gridCol w:w="146"/>
        <w:gridCol w:w="1262"/>
      </w:tblGrid>
      <w:tr>
        <w:trPr/>
        <w:tc>
          <w:tcPr>
            <w:tcW w:w="48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8" w:type="dxa"/>
            <w:gridSpan w:val="3"/>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9" w:type="dxa"/>
            <w:gridSpan w:val="3"/>
            <w:tcBorders>
              <w:bottom w:val="single" w:sz="18" w:space="0" w:color="2B4B86"/>
            </w:tcBorders>
            <w:shd w:fill="FFFFFF"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000000"/>
                <w:sz w:val="16"/>
              </w:rPr>
            </w:pPr>
            <w:r>
              <w:rPr>
                <w:rFonts w:ascii="Arial" w:hAnsi="Arial"/>
                <w:b/>
                <w:color w:val="000000"/>
                <w:sz w:val="16"/>
              </w:rPr>
              <w:t>Six Months Ended</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18" w:space="0" w:color="2B4B86"/>
            </w:tcBorders>
            <w:shd w:fill="FFFFFF" w:val="clear"/>
            <w:tcMar>
              <w:top w:w="0" w:type="dxa"/>
              <w:left w:w="0" w:type="dxa"/>
              <w:right w:w="0" w:type="dxa"/>
            </w:tcMar>
            <w:vAlign w:val="center"/>
          </w:tcPr>
          <w:p>
            <w:pPr>
              <w:pStyle w:val="TableContents"/>
              <w:bidi w:val="0"/>
              <w:spacing w:before="0" w:after="283"/>
              <w:ind w:left="0" w:right="0" w:firstLine="100"/>
              <w:jc w:val="center"/>
              <w:rPr>
                <w:rFonts w:ascii="Arial" w:hAnsi="Arial"/>
                <w:b/>
                <w:color w:val="000000"/>
                <w:sz w:val="16"/>
              </w:rPr>
            </w:pPr>
            <w:r>
              <w:rPr>
                <w:rFonts w:ascii="Arial" w:hAnsi="Arial"/>
                <w:b/>
                <w:color w:val="000000"/>
                <w:sz w:val="16"/>
              </w:rPr>
              <w:t>June 30, 2025</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$7,537</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of real estate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54,828</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Unconsolidated real estate venture allocated share of above 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4,559</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FFO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$73,981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$66,924</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Adjustments to FFO: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Loss on extinguishment of debt and modification costs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900</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Recovery of credit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(777)</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Natural disaster event expense, net of recovery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70</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of non-real estate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503</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Unconsolidated real estate venture allocated share of above 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Core FFO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$67,653</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FFO, per share - fully diluted basis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Core FFO, per share - fully diluted basis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Core FFO</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67,653</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Straight-line rent and other non-cash 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(49)</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Amortization of above-/below-market leases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(1,006)</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Amortization of 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(3,625)</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Non-cash 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1,614</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Non-cash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2,816</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Natural disaster event expense, net of recovery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(70)</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Principal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(2,264)</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Maintenance capital expenditures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(4,005)</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Contractual tenant improvements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(612)</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Unconsolidated real estate venture allocated share of above adjustments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Available for Distribution (CAD)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$60,443</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 - fully diluted basis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48,161,107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47,043,923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48,079,226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46,236,779</w:t>
            </w:r>
          </w:p>
        </w:tc>
      </w:tr>
    </w:tbl>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tbl>
      <w:tblPr>
        <w:tblW w:w="8397" w:type="dxa"/>
        <w:jc w:val="left"/>
        <w:tblInd w:w="0" w:type="dxa"/>
        <w:tblLayout w:type="fixed"/>
        <w:tblCellMar>
          <w:top w:w="28" w:type="dxa"/>
          <w:left w:w="28" w:type="dxa"/>
          <w:bottom w:w="28" w:type="dxa"/>
          <w:right w:w="28" w:type="dxa"/>
        </w:tblCellMar>
      </w:tblPr>
      <w:tblGrid>
        <w:gridCol w:w="5911"/>
        <w:gridCol w:w="2486"/>
      </w:tblGrid>
      <w:tr>
        <w:trPr/>
        <w:tc>
          <w:tcPr>
            <w:tcW w:w="591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5911" w:type="dxa"/>
            <w:tcBorders/>
            <w:tcMar>
              <w:top w:w="0" w:type="dxa"/>
              <w:left w:w="0" w:type="dxa"/>
              <w:bottom w:w="0" w:type="dxa"/>
              <w:right w:w="0" w:type="dxa"/>
            </w:tcMar>
            <w:vAlign w:val="center"/>
          </w:tcPr>
          <w:p>
            <w:pPr>
              <w:pStyle w:val="TableContents"/>
              <w:bidi w:val="0"/>
              <w:jc w:val="left"/>
              <w:rPr>
                <w:color w:val="2B4B86"/>
              </w:rPr>
            </w:pPr>
            <w:r>
              <w:rPr>
                <w:color w:val="2B4B86"/>
              </w:rPr>
              <w:t> </w:t>
            </w:r>
            <w:r>
              <w:rPr>
                <w:rFonts w:ascii="Arial" w:hAnsi="Arial"/>
                <w:color w:val="2B4B86"/>
                <w:sz w:val="36"/>
              </w:rPr>
              <w:t>Unconsolidated Real Estate Venture</w:t>
            </w:r>
          </w:p>
          <w:p>
            <w:pPr>
              <w:pStyle w:val="TableContents"/>
              <w:bidi w:val="0"/>
              <w:spacing w:before="0" w:after="283"/>
              <w:jc w:val="left"/>
              <w:rPr>
                <w:rFonts w:ascii="Arial" w:hAnsi="Arial"/>
                <w:color w:val="2B4B86"/>
                <w:sz w:val="22"/>
              </w:rPr>
            </w:pPr>
            <w:r>
              <w:rPr>
                <w:rFonts w:ascii="Arial" w:hAnsi="Arial"/>
                <w:color w:val="2B4B86"/>
                <w:sz w:val="22"/>
              </w:rPr>
              <w:t>(Unaudited, in thousands)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495425" cy="542925"/>
                          </a:xfrm>
                          <a:prstGeom prst="rect">
                            <a:avLst/>
                          </a:prstGeom>
                        </pic:spPr>
                      </pic:pic>
                    </a:graphicData>
                  </a:graphic>
                </wp:inline>
              </w:drawing>
            </w:r>
          </w:p>
        </w:tc>
      </w:tr>
      <w:tr>
        <w:trPr/>
        <w:tc>
          <w:tcPr>
            <w:tcW w:w="8397"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14" w:name="unconsolidated_real_estate_venture"/>
      <w:bookmarkEnd w:id="14"/>
      <w:r>
        <w:rPr/>
        <w:t> </w:t>
      </w:r>
    </w:p>
    <w:tbl>
      <w:tblPr>
        <w:tblW w:w="5609" w:type="dxa"/>
        <w:jc w:val="left"/>
        <w:tblInd w:w="0" w:type="dxa"/>
        <w:tblLayout w:type="fixed"/>
        <w:tblCellMar>
          <w:top w:w="28" w:type="dxa"/>
          <w:left w:w="28" w:type="dxa"/>
          <w:bottom w:w="28" w:type="dxa"/>
          <w:right w:w="28" w:type="dxa"/>
        </w:tblCellMar>
      </w:tblPr>
      <w:tblGrid>
        <w:gridCol w:w="2701"/>
        <w:gridCol w:w="1231"/>
        <w:gridCol w:w="146"/>
        <w:gridCol w:w="1531"/>
      </w:tblGrid>
      <w:tr>
        <w:trPr/>
        <w:tc>
          <w:tcPr>
            <w:tcW w:w="27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Balance Sheet Information</w:t>
            </w:r>
          </w:p>
        </w:tc>
        <w:tc>
          <w:tcPr>
            <w:tcW w:w="123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Balance Sheet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Easterly's Share</w:t>
            </w:r>
            <w:r>
              <w:rPr>
                <w:rFonts w:ascii="Arial" w:hAnsi="Arial"/>
                <w:b/>
                <w:color w:val="000000"/>
                <w:sz w:val="11"/>
              </w:rPr>
              <w:t>(2)</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Real estate properties - net</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$256,339</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578,160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306,424</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6,747</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preferred stockholders' equity</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common stockholders' equity</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299,611</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Basis difference</w:t>
            </w:r>
            <w:r>
              <w:rPr>
                <w:rFonts w:ascii="Arial" w:hAnsi="Arial"/>
                <w:color w:val="000000"/>
                <w:sz w:val="11"/>
              </w:rPr>
              <w:t>(1)</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375</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equity</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$299,986</w:t>
            </w:r>
          </w:p>
        </w:tc>
      </w:tr>
    </w:tbl>
    <w:p>
      <w:pPr>
        <w:pStyle w:val="TextBody"/>
        <w:bidi w:val="0"/>
        <w:spacing w:before="80" w:after="283"/>
        <w:jc w:val="left"/>
        <w:rPr>
          <w:rFonts w:ascii="Times New Roman" w:hAnsi="Times New Roman"/>
          <w:sz w:val="20"/>
        </w:rPr>
      </w:pPr>
      <w:r>
        <w:rPr>
          <w:rFonts w:ascii="Arial" w:hAnsi="Arial"/>
          <w:color w:val="53565A"/>
          <w:sz w:val="11"/>
        </w:rPr>
        <w:t xml:space="preserve">(1) </w:t>
      </w:r>
      <w:r>
        <w:rPr>
          <w:rFonts w:ascii="Arial" w:hAnsi="Arial"/>
          <w:color w:val="53565A"/>
          <w:sz w:val="16"/>
        </w:rPr>
        <w:t>This amount represents the aggregate difference between the Company’s historical cost basis and basis reflected at the joint venture level.</w:t>
      </w:r>
    </w:p>
    <w:p>
      <w:pPr>
        <w:pStyle w:val="TextBody"/>
        <w:bidi w:val="0"/>
        <w:spacing w:before="80" w:after="283"/>
        <w:jc w:val="left"/>
        <w:rPr>
          <w:rFonts w:ascii="Times New Roman" w:hAnsi="Times New Roman"/>
          <w:sz w:val="20"/>
        </w:rPr>
      </w:pPr>
      <w:r>
        <w:rPr>
          <w:rFonts w:ascii="Arial" w:hAnsi="Arial"/>
          <w:color w:val="53565A"/>
          <w:sz w:val="11"/>
        </w:rPr>
        <w:t xml:space="preserve">(2) </w:t>
      </w:r>
      <w:r>
        <w:rPr>
          <w:rFonts w:ascii="Arial" w:hAnsi="Arial"/>
          <w:color w:val="53565A"/>
          <w:sz w:val="16"/>
        </w:rPr>
        <w:t>The Company owns 53.0% of the properties through the unconsolidated joint venture.</w:t>
      </w:r>
    </w:p>
    <w:p>
      <w:pPr>
        <w:pStyle w:val="TextBody"/>
        <w:bidi w:val="0"/>
        <w:spacing w:before="240" w:after="283"/>
        <w:jc w:val="right"/>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tbl>
      <w:tblPr>
        <w:tblW w:w="9597" w:type="dxa"/>
        <w:jc w:val="left"/>
        <w:tblInd w:w="0" w:type="dxa"/>
        <w:tblLayout w:type="fixed"/>
        <w:tblCellMar>
          <w:top w:w="28" w:type="dxa"/>
          <w:left w:w="28" w:type="dxa"/>
          <w:bottom w:w="28" w:type="dxa"/>
          <w:right w:w="28" w:type="dxa"/>
        </w:tblCellMar>
      </w:tblPr>
      <w:tblGrid>
        <w:gridCol w:w="7111"/>
        <w:gridCol w:w="2486"/>
      </w:tblGrid>
      <w:tr>
        <w:trPr/>
        <w:tc>
          <w:tcPr>
            <w:tcW w:w="7111"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7111" w:type="dxa"/>
            <w:tcBorders/>
            <w:tcMar>
              <w:top w:w="0" w:type="dxa"/>
              <w:left w:w="0" w:type="dxa"/>
              <w:bottom w:w="0" w:type="dxa"/>
              <w:right w:w="0" w:type="dxa"/>
            </w:tcMar>
            <w:vAlign w:val="center"/>
          </w:tcPr>
          <w:p>
            <w:pPr>
              <w:pStyle w:val="TableContents"/>
              <w:bidi w:val="0"/>
              <w:jc w:val="left"/>
              <w:rPr>
                <w:color w:val="2B4B86"/>
              </w:rPr>
            </w:pPr>
            <w:r>
              <w:rPr>
                <w:color w:val="2B4B86"/>
              </w:rPr>
              <w:t> </w:t>
            </w:r>
            <w:r>
              <w:rPr>
                <w:rFonts w:ascii="Arial" w:hAnsi="Arial"/>
                <w:color w:val="2B4B86"/>
                <w:sz w:val="36"/>
              </w:rPr>
              <w:t>Unconsolidated Real Estate Venture (Cont.)</w:t>
            </w:r>
          </w:p>
          <w:p>
            <w:pPr>
              <w:pStyle w:val="TableContents"/>
              <w:bidi w:val="0"/>
              <w:spacing w:before="0" w:after="283"/>
              <w:jc w:val="left"/>
              <w:rPr>
                <w:rFonts w:ascii="Arial" w:hAnsi="Arial"/>
                <w:color w:val="2B4B86"/>
                <w:sz w:val="22"/>
              </w:rPr>
            </w:pPr>
            <w:r>
              <w:rPr>
                <w:rFonts w:ascii="Arial" w:hAnsi="Arial"/>
                <w:color w:val="2B4B86"/>
                <w:sz w:val="22"/>
              </w:rPr>
              <w:t>(Unaudited, in thousands)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95425" cy="542925"/>
                          </a:xfrm>
                          <a:prstGeom prst="rect">
                            <a:avLst/>
                          </a:prstGeom>
                        </pic:spPr>
                      </pic:pic>
                    </a:graphicData>
                  </a:graphic>
                </wp:inline>
              </w:drawing>
            </w:r>
          </w:p>
        </w:tc>
      </w:tr>
      <w:tr>
        <w:trPr/>
        <w:tc>
          <w:tcPr>
            <w:tcW w:w="9597"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3"/>
        <w:gridCol w:w="1690"/>
        <w:gridCol w:w="146"/>
        <w:gridCol w:w="1447"/>
        <w:gridCol w:w="146"/>
        <w:gridCol w:w="1493"/>
        <w:gridCol w:w="146"/>
        <w:gridCol w:w="1494"/>
      </w:tblGrid>
      <w:tr>
        <w:trPr/>
        <w:tc>
          <w:tcPr>
            <w:tcW w:w="3643"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Income Statement Information</w:t>
            </w:r>
          </w:p>
        </w:tc>
        <w:tc>
          <w:tcPr>
            <w:tcW w:w="1690"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7"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Easterly's Share</w:t>
            </w:r>
            <w:r>
              <w:rPr>
                <w:rFonts w:ascii="Arial" w:hAnsi="Arial"/>
                <w:b/>
                <w:color w:val="000000"/>
                <w:sz w:val="11"/>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4"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Easterly's Share</w:t>
            </w:r>
            <w:r>
              <w:rPr>
                <w:rFonts w:ascii="Arial" w:hAnsi="Arial"/>
                <w:b/>
                <w:color w:val="000000"/>
                <w:sz w:val="11"/>
              </w:rPr>
              <w:t>(1)</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7"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4"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Revenues</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Rental income</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$13,438</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 income</w:t>
            </w:r>
          </w:p>
        </w:tc>
        <w:tc>
          <w:tcPr>
            <w:tcW w:w="1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41</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Total Revenues</w:t>
            </w:r>
          </w:p>
        </w:tc>
        <w:tc>
          <w:tcPr>
            <w:tcW w:w="1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$13,479</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expenses</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Property operating</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3,018</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Real estate taxes</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1,791</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and amortization</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4,597</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Asset management fees</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631</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Corporate general and administrative</w:t>
            </w:r>
          </w:p>
        </w:tc>
        <w:tc>
          <w:tcPr>
            <w:tcW w:w="1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140</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16"/>
              </w:rPr>
            </w:pPr>
            <w:r>
              <w:rPr>
                <w:rFonts w:ascii="Arial" w:hAnsi="Arial"/>
                <w:b/>
                <w:color w:val="000000"/>
                <w:sz w:val="16"/>
              </w:rPr>
              <w:t>Total expenses</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$10,177</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Other expenses</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expense</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16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$6,154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$3,258</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and amortization</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4,597</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Interest expense</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44</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Tax expense</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EBITDA</w:t>
            </w:r>
          </w:p>
        </w:tc>
        <w:tc>
          <w:tcPr>
            <w:tcW w:w="16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$7,432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$14,985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$7,940</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income</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$3,258</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of real estate assets</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4,563</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FFO</w:t>
            </w:r>
          </w:p>
        </w:tc>
        <w:tc>
          <w:tcPr>
            <w:tcW w:w="16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$14,765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$7,821</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Adjustments to FFO:</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Depreciation of non-real estate assets</w:t>
            </w:r>
          </w:p>
        </w:tc>
        <w:tc>
          <w:tcPr>
            <w:tcW w:w="1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Core FFO</w:t>
            </w:r>
          </w:p>
        </w:tc>
        <w:tc>
          <w:tcPr>
            <w:tcW w:w="1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$7,854</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Adjustments to Core FFO:</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Straight-line rent and other non-cash adjustments</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48</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Non-cash interest expense</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Arial" w:hAnsi="Arial"/>
                <w:color w:val="000000"/>
                <w:sz w:val="16"/>
              </w:rPr>
            </w:pPr>
            <w:r>
              <w:rPr>
                <w:rFonts w:ascii="Arial" w:hAnsi="Arial"/>
                <w:color w:val="000000"/>
                <w:sz w:val="16"/>
              </w:rPr>
              <w:t>44</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Maintenance capital expenditures</w:t>
            </w:r>
          </w:p>
        </w:tc>
        <w:tc>
          <w:tcPr>
            <w:tcW w:w="16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Available for Distribution (CAD)</w:t>
            </w:r>
          </w:p>
        </w:tc>
        <w:tc>
          <w:tcPr>
            <w:tcW w:w="16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$7,383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$14,911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$7,899</w:t>
            </w:r>
          </w:p>
        </w:tc>
      </w:tr>
    </w:tbl>
    <w:p>
      <w:pPr>
        <w:pStyle w:val="TextBody"/>
        <w:bidi w:val="0"/>
        <w:spacing w:before="80" w:after="283"/>
        <w:jc w:val="left"/>
        <w:rPr>
          <w:rFonts w:ascii="Times New Roman" w:hAnsi="Times New Roman"/>
          <w:sz w:val="20"/>
        </w:rPr>
      </w:pPr>
      <w:r>
        <w:rPr>
          <w:rFonts w:ascii="Arial" w:hAnsi="Arial"/>
          <w:color w:val="53565A"/>
          <w:sz w:val="11"/>
        </w:rPr>
        <w:t xml:space="preserve">(1) </w:t>
      </w:r>
      <w:r>
        <w:rPr>
          <w:rFonts w:ascii="Arial" w:hAnsi="Arial"/>
          <w:color w:val="53565A"/>
          <w:sz w:val="16"/>
        </w:rPr>
        <w:t>The Company owns 53.0% of the properties through the unconsolidated joint venture.</w:t>
      </w:r>
    </w:p>
    <w:p>
      <w:pPr>
        <w:pStyle w:val="TextBody"/>
        <w:bidi w:val="0"/>
        <w:spacing w:before="240" w:after="283"/>
        <w:jc w:val="right"/>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tbl>
      <w:tblPr>
        <w:tblW w:w="5212" w:type="dxa"/>
        <w:jc w:val="left"/>
        <w:tblInd w:w="0" w:type="dxa"/>
        <w:tblLayout w:type="fixed"/>
        <w:tblCellMar>
          <w:top w:w="28" w:type="dxa"/>
          <w:left w:w="28" w:type="dxa"/>
          <w:bottom w:w="28" w:type="dxa"/>
          <w:right w:w="28" w:type="dxa"/>
        </w:tblCellMar>
      </w:tblPr>
      <w:tblGrid>
        <w:gridCol w:w="2726"/>
        <w:gridCol w:w="2486"/>
      </w:tblGrid>
      <w:tr>
        <w:trPr/>
        <w:tc>
          <w:tcPr>
            <w:tcW w:w="272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72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Debt Schedules</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(Unaudited, in thousands)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495425" cy="542925"/>
                          </a:xfrm>
                          <a:prstGeom prst="rect">
                            <a:avLst/>
                          </a:prstGeom>
                        </pic:spPr>
                      </pic:pic>
                    </a:graphicData>
                  </a:graphic>
                </wp:inline>
              </w:drawing>
            </w:r>
          </w:p>
        </w:tc>
      </w:tr>
      <w:tr>
        <w:trPr/>
        <w:tc>
          <w:tcPr>
            <w:tcW w:w="521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8451" w:type="dxa"/>
        <w:jc w:val="left"/>
        <w:tblInd w:w="0" w:type="dxa"/>
        <w:tblLayout w:type="fixed"/>
        <w:tblCellMar>
          <w:top w:w="28" w:type="dxa"/>
          <w:left w:w="28" w:type="dxa"/>
          <w:bottom w:w="28" w:type="dxa"/>
          <w:right w:w="28" w:type="dxa"/>
        </w:tblCellMar>
      </w:tblPr>
      <w:tblGrid>
        <w:gridCol w:w="2516"/>
        <w:gridCol w:w="1576"/>
        <w:gridCol w:w="146"/>
        <w:gridCol w:w="1216"/>
        <w:gridCol w:w="224"/>
        <w:gridCol w:w="946"/>
        <w:gridCol w:w="146"/>
        <w:gridCol w:w="1681"/>
      </w:tblGrid>
      <w:tr>
        <w:trPr/>
        <w:tc>
          <w:tcPr>
            <w:tcW w:w="251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516"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bookmarkStart w:id="15" w:name="debt_schedules"/>
            <w:bookmarkEnd w:id="15"/>
            <w:r>
              <w:rPr>
                <w:rFonts w:ascii="Arial" w:hAnsi="Arial"/>
                <w:b/>
                <w:color w:val="000000"/>
                <w:sz w:val="16"/>
              </w:rPr>
              <w:t>Debt Instrument</w:t>
            </w:r>
          </w:p>
        </w:tc>
        <w:tc>
          <w:tcPr>
            <w:tcW w:w="1576"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Maturity Date</w:t>
            </w:r>
          </w:p>
        </w:tc>
        <w:tc>
          <w:tcPr>
            <w:tcW w:w="146"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br/>
              <w:t>Interest Rate</w:t>
            </w:r>
          </w:p>
        </w:tc>
        <w:tc>
          <w:tcPr>
            <w:tcW w:w="1170" w:type="dxa"/>
            <w:gridSpan w:val="2"/>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June 30, 2026</w:t>
              <w:br/>
              <w:t>Balance</w:t>
            </w:r>
            <w:r>
              <w:rPr>
                <w:rFonts w:ascii="Arial" w:hAnsi="Arial"/>
                <w:b/>
                <w:color w:val="000000"/>
                <w:sz w:val="11"/>
              </w:rPr>
              <w:t>(1)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2026</w:t>
              <w:br/>
              <w:t xml:space="preserve">Percent of </w:t>
              <w:br/>
              <w:t>Total Indebtedness</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Unsecured debt</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2024 Revolving Credit facility</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3-Jun-28</w:t>
            </w:r>
            <w:r>
              <w:rPr>
                <w:rFonts w:ascii="sans-serif" w:hAnsi="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S + 145 bps</w:t>
            </w:r>
            <w:r>
              <w:rPr>
                <w:rFonts w:ascii="Arial" w:hAnsi="Arial"/>
                <w:color w:val="000000"/>
                <w:sz w:val="11"/>
              </w:rPr>
              <w:t>(3)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2.5%</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2016 Term Loan facility</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28-Jan-28</w:t>
            </w:r>
            <w:r>
              <w:rPr>
                <w:rFonts w:ascii="Arial" w:hAnsi="Arial"/>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5.21%</w:t>
            </w:r>
            <w:r>
              <w:rPr>
                <w:rFonts w:ascii="Arial" w:hAnsi="Arial"/>
                <w:color w:val="000000"/>
                <w:sz w:val="11"/>
              </w:rPr>
              <w:t>(5)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5.8%</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2018 Term Loan facility</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21-Aug-28</w:t>
            </w:r>
            <w:r>
              <w:rPr>
                <w:rFonts w:ascii="Arial" w:hAnsi="Arial"/>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5.09%</w:t>
            </w:r>
            <w:r>
              <w:rPr>
                <w:rFonts w:ascii="Arial" w:hAnsi="Arial"/>
                <w:color w:val="000000"/>
                <w:sz w:val="11"/>
              </w:rPr>
              <w:t>(7)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11.6%</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2026 Term Loan facility</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25-Jun-31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 + 130 bps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11.6%</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2017 Series A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25-May-27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4.05%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5.5%</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2017 Series B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25-May-29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4.15%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2.9%</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2017 Series C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25-May-32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4.30%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1.7%</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2019 Series A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12-Sep-29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3.73%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4.9%</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2019 Series B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12-Sep-31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3.83%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5.8%</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2019 Series C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12-Sep-34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3.98%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5.2%</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2021 Series A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14-Oct-28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2.62%</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2.9%</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2021 Series B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14-Oct-30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2.89%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11.6%</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2024 Series A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28-May-33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6.56%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8.7%</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2024 Series B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13-Aug-33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6.56%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2.9%</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2025 Series A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20-Mar-30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6.13%</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1.6%</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2025 Series B Senior Notes</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20-Mar-32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6.33%</w:t>
            </w:r>
            <w:r>
              <w:rPr>
                <w:rFonts w:ascii="Arial" w:hAnsi="Arial"/>
                <w:color w:val="000000"/>
                <w:sz w:val="11"/>
              </w:rPr>
              <w:t>(8)</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5.9%</w:t>
            </w:r>
          </w:p>
        </w:tc>
      </w:tr>
      <w:tr>
        <w:trPr/>
        <w:tc>
          <w:tcPr>
            <w:tcW w:w="2516" w:type="dxa"/>
            <w:tcBorders/>
            <w:shd w:fill="E7E6E6"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Total unsecured debt</w:t>
            </w:r>
          </w:p>
        </w:tc>
        <w:tc>
          <w:tcPr>
            <w:tcW w:w="1576" w:type="dxa"/>
            <w:tcBorders/>
            <w:shd w:fill="E7E6E6"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4.2 years</w:t>
            </w:r>
            <w:r>
              <w:rPr>
                <w:rFonts w:ascii="Arial" w:hAnsi="Arial"/>
                <w:color w:val="000000"/>
                <w:sz w:val="11"/>
              </w:rPr>
              <w:t>(9)</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7E6E6"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4.67%</w:t>
            </w:r>
          </w:p>
        </w:tc>
        <w:tc>
          <w:tcPr>
            <w:tcW w:w="224"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946"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1,568,050</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E7E6E6"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b/>
                <w:color w:val="000000"/>
                <w:sz w:val="16"/>
              </w:rPr>
            </w:pPr>
            <w:r>
              <w:rPr>
                <w:rFonts w:ascii="Arial" w:hAnsi="Arial"/>
                <w:b/>
                <w:color w:val="000000"/>
                <w:sz w:val="16"/>
              </w:rPr>
              <w:t>91.1%</w:t>
            </w:r>
          </w:p>
        </w:tc>
      </w:tr>
      <w:tr>
        <w:trPr/>
        <w:tc>
          <w:tcPr>
            <w:tcW w:w="2516" w:type="dxa"/>
            <w:tcBorders/>
            <w:shd w:fill="E7E6E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76" w:type="dxa"/>
            <w:tcBorders/>
            <w:shd w:fill="E7E6E6"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(wtd-avg maturity)</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7E6E6"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(wtd-avg rate)</w:t>
            </w:r>
          </w:p>
        </w:tc>
        <w:tc>
          <w:tcPr>
            <w:tcW w:w="1170" w:type="dxa"/>
            <w:gridSpan w:val="2"/>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Secured mortgage debt</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USFS II - Albuquerque</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14-Jul-26</w:t>
            </w:r>
            <w:r>
              <w:rPr>
                <w:rFonts w:ascii="Arial" w:hAnsi="Arial"/>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4.46%</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0.4%</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ICE - Charleston</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15-Jan-27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4.21%</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0.5%</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VA - Loma Linda</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6-Jul-27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3.59%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7.5%</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CBP - Savannah</w:t>
            </w:r>
          </w:p>
        </w:tc>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10-Jul-33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3.40%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6"/>
              </w:rPr>
            </w:pPr>
            <w:r>
              <w:rPr>
                <w:rFonts w:ascii="Arial" w:hAnsi="Arial"/>
                <w:color w:val="000000"/>
                <w:sz w:val="16"/>
              </w:rPr>
              <w:t>0.5%</w:t>
            </w:r>
          </w:p>
        </w:tc>
      </w:tr>
      <w:tr>
        <w:trPr/>
        <w:tc>
          <w:tcPr>
            <w:tcW w:w="2516" w:type="dxa"/>
            <w:tcBorders/>
            <w:shd w:fill="E7E6E6"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Total secured mortgage debt</w:t>
            </w:r>
          </w:p>
        </w:tc>
        <w:tc>
          <w:tcPr>
            <w:tcW w:w="1576" w:type="dxa"/>
            <w:tcBorders/>
            <w:shd w:fill="E7E6E6"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1.2 years</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7E6E6"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3.65%</w:t>
            </w:r>
          </w:p>
        </w:tc>
        <w:tc>
          <w:tcPr>
            <w:tcW w:w="224"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946"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149,308</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E7E6E6"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b/>
                <w:color w:val="000000"/>
                <w:sz w:val="16"/>
              </w:rPr>
            </w:pPr>
            <w:r>
              <w:rPr>
                <w:rFonts w:ascii="Arial" w:hAnsi="Arial"/>
                <w:b/>
                <w:color w:val="000000"/>
                <w:sz w:val="16"/>
              </w:rPr>
              <w:t>8.9%</w:t>
            </w:r>
          </w:p>
        </w:tc>
      </w:tr>
      <w:tr>
        <w:trPr/>
        <w:tc>
          <w:tcPr>
            <w:tcW w:w="2516" w:type="dxa"/>
            <w:tcBorders/>
            <w:shd w:fill="E7E6E6"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76" w:type="dxa"/>
            <w:tcBorders/>
            <w:shd w:fill="E7E6E6"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(wtd-avg maturity)</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tcBorders/>
            <w:shd w:fill="E7E6E6"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(wtd-avg rate)</w:t>
            </w:r>
          </w:p>
        </w:tc>
        <w:tc>
          <w:tcPr>
            <w:tcW w:w="1170" w:type="dxa"/>
            <w:gridSpan w:val="2"/>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Arial" w:hAnsi="Arial"/>
          <w:color w:val="53565A"/>
          <w:sz w:val="10"/>
        </w:rPr>
        <w:t xml:space="preserve">(1) </w:t>
      </w:r>
      <w:r>
        <w:rPr>
          <w:rFonts w:ascii="Arial" w:hAnsi="Arial"/>
          <w:color w:val="53565A"/>
          <w:sz w:val="15"/>
        </w:rPr>
        <w:t>Excludes unamortized premiums / discounts and deferred financing fees.</w:t>
      </w:r>
    </w:p>
    <w:p>
      <w:pPr>
        <w:pStyle w:val="TextBody"/>
        <w:bidi w:val="0"/>
        <w:spacing w:before="80" w:after="283"/>
        <w:jc w:val="left"/>
        <w:rPr>
          <w:rFonts w:ascii="Times New Roman" w:hAnsi="Times New Roman"/>
          <w:sz w:val="20"/>
        </w:rPr>
      </w:pPr>
      <w:r>
        <w:rPr>
          <w:rFonts w:ascii="Arial" w:hAnsi="Arial"/>
          <w:color w:val="53565A"/>
          <w:sz w:val="10"/>
        </w:rPr>
        <w:t xml:space="preserve">(2) </w:t>
      </w:r>
      <w:r>
        <w:rPr>
          <w:rFonts w:ascii="Arial" w:hAnsi="Arial"/>
          <w:color w:val="53565A"/>
          <w:sz w:val="15"/>
        </w:rPr>
        <w:t>2024 revolving credit facility has two six-month as-of-right extension options, subject to certain conditions and the payment of an extension fee.</w:t>
      </w:r>
      <w:r>
        <w:rPr>
          <w:rFonts w:ascii="Times New Roman" w:hAnsi="Times New Roman"/>
          <w:color w:val="53565A"/>
          <w:sz w:val="20"/>
        </w:rPr>
        <w:t xml:space="preserve"> </w:t>
      </w:r>
    </w:p>
    <w:p>
      <w:pPr>
        <w:pStyle w:val="TextBody"/>
        <w:bidi w:val="0"/>
        <w:spacing w:before="80" w:after="283"/>
        <w:jc w:val="left"/>
        <w:rPr>
          <w:rFonts w:ascii="Times New Roman" w:hAnsi="Times New Roman"/>
          <w:sz w:val="20"/>
        </w:rPr>
      </w:pPr>
      <w:r>
        <w:rPr>
          <w:rFonts w:ascii="Arial" w:hAnsi="Arial"/>
          <w:color w:val="53565A"/>
          <w:sz w:val="10"/>
        </w:rPr>
        <w:t xml:space="preserve">(3) </w:t>
      </w:r>
      <w:r>
        <w:rPr>
          <w:rFonts w:ascii="Arial" w:hAnsi="Arial"/>
          <w:color w:val="53565A"/>
          <w:sz w:val="15"/>
        </w:rPr>
        <w:t>At June 30, 2026, the USD SOFR with a five day lookback ("SOFR" or "S") was 3.62%. The spread over the applicable rate for our 2024 revolving credit facility is based on the Company's current consolidated leverage ratio.</w:t>
      </w:r>
      <w:r>
        <w:rPr>
          <w:rFonts w:ascii="Times New Roman" w:hAnsi="Times New Roman"/>
          <w:color w:val="53565A"/>
          <w:sz w:val="20"/>
        </w:rPr>
        <w:t xml:space="preserve"> </w:t>
      </w:r>
    </w:p>
    <w:p>
      <w:pPr>
        <w:pStyle w:val="TextBody"/>
        <w:bidi w:val="0"/>
        <w:spacing w:before="80" w:after="283"/>
        <w:jc w:val="left"/>
        <w:rPr>
          <w:rFonts w:ascii="Times New Roman" w:hAnsi="Times New Roman"/>
          <w:sz w:val="20"/>
        </w:rPr>
      </w:pPr>
      <w:r>
        <w:rPr>
          <w:rFonts w:ascii="Arial" w:hAnsi="Arial"/>
          <w:color w:val="53565A"/>
          <w:sz w:val="10"/>
        </w:rPr>
        <w:t>(4)</w:t>
      </w:r>
      <w:r>
        <w:rPr>
          <w:rFonts w:ascii="Times New Roman" w:hAnsi="Times New Roman"/>
          <w:color w:val="53565A"/>
          <w:sz w:val="20"/>
        </w:rPr>
        <w:t xml:space="preserve"> </w:t>
      </w:r>
      <w:r>
        <w:rPr>
          <w:rFonts w:ascii="Arial" w:hAnsi="Arial"/>
          <w:color w:val="53565A"/>
          <w:sz w:val="15"/>
        </w:rPr>
        <w:t>2016 term loan facility has two one-year as-of-right extension options, subject to certain conditions and the payment of an extension fee.</w:t>
      </w:r>
    </w:p>
    <w:p>
      <w:pPr>
        <w:pStyle w:val="TextBody"/>
        <w:bidi w:val="0"/>
        <w:spacing w:before="80" w:after="283"/>
        <w:jc w:val="left"/>
        <w:rPr>
          <w:rFonts w:ascii="Times New Roman" w:hAnsi="Times New Roman"/>
          <w:sz w:val="20"/>
        </w:rPr>
      </w:pPr>
      <w:r>
        <w:rPr>
          <w:rFonts w:ascii="Arial" w:hAnsi="Arial"/>
          <w:color w:val="53565A"/>
          <w:sz w:val="10"/>
        </w:rPr>
        <w:t>(5)</w:t>
      </w:r>
      <w:r>
        <w:rPr>
          <w:rFonts w:ascii="Times New Roman" w:hAnsi="Times New Roman"/>
          <w:color w:val="53565A"/>
          <w:sz w:val="20"/>
        </w:rPr>
        <w:t xml:space="preserve"> </w:t>
      </w:r>
      <w:r>
        <w:rPr>
          <w:rFonts w:ascii="Arial" w:hAnsi="Arial"/>
          <w:color w:val="53565A"/>
          <w:sz w:val="15"/>
        </w:rPr>
        <w:t>Calculated based on three interest rate swaps with a total notional value of $100.0 million, which effectively fixes the interest rate at 5.31% annually based on the Company’s current consolidated leverage ratio. The interest rate swaps mature on December 23, 2027, which is not coterminous with the maturity date of the 2016 term loan facility.</w:t>
      </w:r>
    </w:p>
    <w:p>
      <w:pPr>
        <w:pStyle w:val="TextBody"/>
        <w:bidi w:val="0"/>
        <w:spacing w:before="80" w:after="283"/>
        <w:jc w:val="left"/>
        <w:rPr>
          <w:rFonts w:ascii="Times New Roman" w:hAnsi="Times New Roman"/>
          <w:sz w:val="20"/>
        </w:rPr>
      </w:pPr>
      <w:r>
        <w:rPr>
          <w:rFonts w:ascii="Arial" w:hAnsi="Arial"/>
          <w:color w:val="53565A"/>
          <w:sz w:val="10"/>
        </w:rPr>
        <w:t>(6)</w:t>
      </w:r>
      <w:r>
        <w:rPr>
          <w:rFonts w:ascii="Times New Roman" w:hAnsi="Times New Roman"/>
          <w:color w:val="53565A"/>
          <w:sz w:val="20"/>
        </w:rPr>
        <w:t xml:space="preserve"> </w:t>
      </w:r>
      <w:r>
        <w:rPr>
          <w:rFonts w:ascii="Arial" w:hAnsi="Arial"/>
          <w:color w:val="53565A"/>
          <w:sz w:val="15"/>
        </w:rPr>
        <w:t>2018 term loan facility has two one-year as-of-right extension options, subject to certain conditions and the payment of an extension fee.</w:t>
      </w:r>
    </w:p>
    <w:p>
      <w:pPr>
        <w:pStyle w:val="TextBody"/>
        <w:bidi w:val="0"/>
        <w:spacing w:before="80" w:after="283"/>
        <w:jc w:val="left"/>
        <w:rPr>
          <w:rFonts w:ascii="Times New Roman" w:hAnsi="Times New Roman"/>
          <w:sz w:val="20"/>
        </w:rPr>
      </w:pPr>
      <w:r>
        <w:rPr>
          <w:rFonts w:ascii="Arial" w:hAnsi="Arial"/>
          <w:color w:val="53565A"/>
          <w:sz w:val="10"/>
        </w:rPr>
        <w:t xml:space="preserve">(7) </w:t>
      </w:r>
      <w:r>
        <w:rPr>
          <w:rFonts w:ascii="Arial" w:hAnsi="Arial"/>
          <w:color w:val="53565A"/>
          <w:sz w:val="15"/>
        </w:rPr>
        <w:t>Calculated based on three interest rate swaps with an aggregate notional value of $200.0 million, which effectively fixes the interest rate at 5.09% annually based on the Company’s current consolidated leverage ratio. One of the interest rate swaps matures on April 1, 2028 and the other two interest rate swaps mature on July 1, 2028, none of which are coterminous with the maturity date of the 2018 term loan facility.</w:t>
      </w:r>
    </w:p>
    <w:p>
      <w:pPr>
        <w:pStyle w:val="TextBody"/>
        <w:bidi w:val="0"/>
        <w:spacing w:before="80" w:after="283"/>
        <w:jc w:val="left"/>
        <w:rPr>
          <w:rFonts w:ascii="Times New Roman" w:hAnsi="Times New Roman"/>
          <w:sz w:val="20"/>
        </w:rPr>
      </w:pPr>
      <w:r>
        <w:rPr>
          <w:rFonts w:ascii="Arial" w:hAnsi="Arial"/>
          <w:color w:val="53565A"/>
          <w:sz w:val="10"/>
        </w:rPr>
        <w:t>(8)</w:t>
      </w:r>
      <w:r>
        <w:rPr>
          <w:rFonts w:ascii="Times New Roman" w:hAnsi="Times New Roman"/>
          <w:color w:val="53565A"/>
          <w:sz w:val="20"/>
        </w:rPr>
        <w:t xml:space="preserve"> </w:t>
      </w:r>
      <w:r>
        <w:rPr>
          <w:rFonts w:ascii="Arial" w:hAnsi="Arial"/>
          <w:color w:val="53565A"/>
          <w:sz w:val="15"/>
        </w:rPr>
        <w:t>We entered into two $50.0 million treasury lock agreements to fix the Treasury rate of our 2025 series B senior notes.</w:t>
      </w:r>
      <w:r>
        <w:rPr>
          <w:rFonts w:ascii="Times New Roman" w:hAnsi="Times New Roman"/>
          <w:color w:val="53565A"/>
          <w:sz w:val="20"/>
        </w:rPr>
        <w:t xml:space="preserve"> </w:t>
      </w:r>
    </w:p>
    <w:p>
      <w:pPr>
        <w:pStyle w:val="TextBody"/>
        <w:bidi w:val="0"/>
        <w:spacing w:before="80" w:after="283"/>
        <w:jc w:val="left"/>
        <w:rPr>
          <w:rFonts w:ascii="Times New Roman" w:hAnsi="Times New Roman"/>
          <w:sz w:val="20"/>
        </w:rPr>
      </w:pPr>
      <w:r>
        <w:rPr>
          <w:rFonts w:ascii="Arial" w:hAnsi="Arial"/>
          <w:color w:val="53565A"/>
          <w:sz w:val="10"/>
        </w:rPr>
        <w:t>(9)</w:t>
      </w:r>
      <w:r>
        <w:rPr>
          <w:rFonts w:ascii="Times New Roman" w:hAnsi="Times New Roman"/>
          <w:color w:val="53565A"/>
          <w:sz w:val="20"/>
        </w:rPr>
        <w:t xml:space="preserve"> </w:t>
      </w:r>
      <w:r>
        <w:rPr>
          <w:rFonts w:ascii="Arial" w:hAnsi="Arial"/>
          <w:color w:val="53565A"/>
          <w:sz w:val="15"/>
        </w:rPr>
        <w:t>Assuming the as-of-right extension options are exercised on our 2024 revolving credit facility, 2016 term loan facility and 2018 term loan facility, the weighted-average maturity of our unsecured debt is 4.6 years.</w:t>
      </w:r>
      <w:r>
        <w:rPr>
          <w:rFonts w:ascii="Times New Roman" w:hAnsi="Times New Roman"/>
          <w:color w:val="53565A"/>
          <w:sz w:val="20"/>
        </w:rPr>
        <w:t xml:space="preserve"> </w:t>
      </w:r>
    </w:p>
    <w:p>
      <w:pPr>
        <w:pStyle w:val="TextBody"/>
        <w:bidi w:val="0"/>
        <w:spacing w:before="80" w:after="283"/>
        <w:jc w:val="left"/>
        <w:rPr>
          <w:rFonts w:ascii="Times New Roman" w:hAnsi="Times New Roman"/>
          <w:sz w:val="20"/>
        </w:rPr>
      </w:pPr>
      <w:r>
        <w:rPr>
          <w:rFonts w:ascii="Arial" w:hAnsi="Arial"/>
          <w:color w:val="53565A"/>
          <w:sz w:val="10"/>
        </w:rPr>
        <w:t xml:space="preserve">(10) </w:t>
      </w:r>
      <w:r>
        <w:rPr>
          <w:rFonts w:ascii="Arial" w:hAnsi="Arial"/>
          <w:color w:val="53565A"/>
          <w:sz w:val="15"/>
        </w:rPr>
        <w:t>On July 14, 2026, we used $6.4 million of available cash to extinguish the mortgage note obligation on USFS II — Albuquerque.</w:t>
      </w:r>
    </w:p>
    <w:p>
      <w:pPr>
        <w:pStyle w:val="TextBody"/>
        <w:bidi w:val="0"/>
        <w:spacing w:before="240" w:after="283"/>
        <w:jc w:val="right"/>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tbl>
      <w:tblPr>
        <w:tblW w:w="6412" w:type="dxa"/>
        <w:jc w:val="left"/>
        <w:tblInd w:w="0" w:type="dxa"/>
        <w:tblLayout w:type="fixed"/>
        <w:tblCellMar>
          <w:top w:w="28" w:type="dxa"/>
          <w:left w:w="28" w:type="dxa"/>
          <w:bottom w:w="28" w:type="dxa"/>
          <w:right w:w="28" w:type="dxa"/>
        </w:tblCellMar>
      </w:tblPr>
      <w:tblGrid>
        <w:gridCol w:w="3926"/>
        <w:gridCol w:w="2486"/>
      </w:tblGrid>
      <w:tr>
        <w:trPr/>
        <w:tc>
          <w:tcPr>
            <w:tcW w:w="392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92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Debt Schedules (Cont.)</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(Unaudited, in thousands)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495425" cy="542925"/>
                          </a:xfrm>
                          <a:prstGeom prst="rect">
                            <a:avLst/>
                          </a:prstGeom>
                        </pic:spPr>
                      </pic:pic>
                    </a:graphicData>
                  </a:graphic>
                </wp:inline>
              </w:drawing>
            </w:r>
          </w:p>
        </w:tc>
      </w:tr>
      <w:tr>
        <w:trPr/>
        <w:tc>
          <w:tcPr>
            <w:tcW w:w="641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7694" w:type="dxa"/>
        <w:jc w:val="left"/>
        <w:tblInd w:w="0" w:type="dxa"/>
        <w:tblLayout w:type="fixed"/>
        <w:tblCellMar>
          <w:top w:w="28" w:type="dxa"/>
          <w:left w:w="28" w:type="dxa"/>
          <w:bottom w:w="28" w:type="dxa"/>
          <w:right w:w="28" w:type="dxa"/>
        </w:tblCellMar>
      </w:tblPr>
      <w:tblGrid>
        <w:gridCol w:w="2716"/>
        <w:gridCol w:w="1171"/>
        <w:gridCol w:w="146"/>
        <w:gridCol w:w="1221"/>
        <w:gridCol w:w="1224"/>
        <w:gridCol w:w="1216"/>
      </w:tblGrid>
      <w:tr>
        <w:trPr/>
        <w:tc>
          <w:tcPr>
            <w:tcW w:w="271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Debt Statistics</w:t>
            </w:r>
          </w:p>
        </w:tc>
        <w:tc>
          <w:tcPr>
            <w:tcW w:w="117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June 30,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1"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right"/>
              <w:rPr/>
            </w:pPr>
            <w:r>
              <w:rPr/>
              <w:t> </w:t>
            </w:r>
          </w:p>
        </w:tc>
        <w:tc>
          <w:tcPr>
            <w:tcW w:w="1224"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18" w:space="0" w:color="2B4B86"/>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June 30, 2026</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Variable rate debt - unhedged</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Variable rate debt - unhedged</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Fixed rate debt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1,474,308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Fixed rate debt</w:t>
            </w:r>
            <w:r>
              <w:rPr>
                <w:rFonts w:ascii="Arial" w:hAnsi="Arial"/>
                <w:color w:val="000000"/>
                <w:sz w:val="11"/>
              </w:rPr>
              <w:t>(3)</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85.8%</w:t>
            </w:r>
          </w:p>
        </w:tc>
      </w:tr>
      <w:tr>
        <w:trPr/>
        <w:tc>
          <w:tcPr>
            <w:tcW w:w="2716" w:type="dxa"/>
            <w:tcBorders/>
            <w:shd w:fill="E7E6E6"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b/>
                <w:color w:val="000000"/>
                <w:sz w:val="16"/>
              </w:rPr>
              <w:t>Total Debt</w:t>
            </w:r>
            <w:r>
              <w:rPr>
                <w:rFonts w:ascii="sans-serif" w:hAnsi="sans-serif"/>
                <w:color w:val="000000"/>
                <w:sz w:val="11"/>
              </w:rPr>
              <w:t>(1)</w:t>
            </w:r>
          </w:p>
        </w:tc>
        <w:tc>
          <w:tcPr>
            <w:tcW w:w="1171"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$1,717,358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cash and cash equivalents</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maturity</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 years</w:t>
            </w:r>
          </w:p>
        </w:tc>
      </w:tr>
      <w:tr>
        <w:trPr/>
        <w:tc>
          <w:tcPr>
            <w:tcW w:w="2716"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Debt</w:t>
            </w:r>
          </w:p>
        </w:tc>
        <w:tc>
          <w:tcPr>
            <w:tcW w:w="1171"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$1,712,733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interest rate</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Less: Adjustment for development</w:t>
            </w:r>
            <w:r>
              <w:rPr>
                <w:rFonts w:ascii="Arial" w:hAnsi="Arial"/>
                <w:color w:val="000000"/>
                <w:sz w:val="11"/>
              </w:rPr>
              <w:t>(2)</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Adjusted Net Debt</w:t>
            </w:r>
          </w:p>
        </w:tc>
        <w:tc>
          <w:tcPr>
            <w:tcW w:w="1171" w:type="dxa"/>
            <w:tcBorders/>
            <w:shd w:fill="E7E6E6"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$1,653,451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80" w:after="283"/>
        <w:jc w:val="left"/>
        <w:rPr>
          <w:rFonts w:ascii="Times New Roman" w:hAnsi="Times New Roman"/>
          <w:sz w:val="20"/>
        </w:rPr>
      </w:pPr>
      <w:r>
        <w:rPr>
          <w:rFonts w:ascii="Arial" w:hAnsi="Arial"/>
          <w:color w:val="53565A"/>
          <w:sz w:val="11"/>
        </w:rPr>
        <w:t xml:space="preserve">(1) </w:t>
      </w:r>
      <w:r>
        <w:rPr>
          <w:rFonts w:ascii="Arial" w:hAnsi="Arial"/>
          <w:color w:val="53565A"/>
          <w:sz w:val="16"/>
        </w:rPr>
        <w:t>Excludes unamortized premiums / discounts and deferred financing fees.</w:t>
      </w:r>
    </w:p>
    <w:p>
      <w:pPr>
        <w:pStyle w:val="TextBody"/>
        <w:bidi w:val="0"/>
        <w:spacing w:before="80" w:after="283"/>
        <w:jc w:val="left"/>
        <w:rPr>
          <w:rFonts w:ascii="Times New Roman" w:hAnsi="Times New Roman"/>
          <w:sz w:val="20"/>
        </w:rPr>
      </w:pPr>
      <w:r>
        <w:rPr>
          <w:rFonts w:ascii="Arial" w:hAnsi="Arial"/>
          <w:color w:val="53565A"/>
          <w:sz w:val="11"/>
        </w:rPr>
        <w:t xml:space="preserve">(2) </w:t>
      </w:r>
      <w:r>
        <w:rPr>
          <w:rFonts w:ascii="Arial" w:hAnsi="Arial"/>
          <w:color w:val="53565A"/>
          <w:sz w:val="16"/>
        </w:rPr>
        <w:t>See definition of Adjusted Net Debt on Page 4.</w:t>
      </w:r>
    </w:p>
    <w:p>
      <w:pPr>
        <w:pStyle w:val="TextBody"/>
        <w:bidi w:val="0"/>
        <w:spacing w:before="80" w:after="283"/>
        <w:jc w:val="left"/>
        <w:rPr>
          <w:rFonts w:ascii="Times New Roman" w:hAnsi="Times New Roman"/>
          <w:sz w:val="20"/>
        </w:rPr>
      </w:pPr>
      <w:r>
        <w:rPr>
          <w:rFonts w:ascii="Arial" w:hAnsi="Arial"/>
          <w:color w:val="53565A"/>
          <w:sz w:val="11"/>
        </w:rPr>
        <w:t xml:space="preserve">(3) </w:t>
      </w:r>
      <w:r>
        <w:rPr>
          <w:rFonts w:ascii="Arial" w:hAnsi="Arial"/>
          <w:color w:val="53565A"/>
          <w:sz w:val="16"/>
        </w:rPr>
        <w:t>Includes the Company's secured mortgage debt and 2016 and 2018 term loan facilities, which are effectively swapped to fixed interest rates. Note the associated swaps are not coterminous with maturity dates of the respective term loan facilities. See Page 16 for further detail.</w:t>
      </w:r>
    </w:p>
    <w:p>
      <w:pPr>
        <w:pStyle w:val="TextBody"/>
        <w:bidi w:val="0"/>
        <w:spacing w:before="8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tbl>
      <w:tblPr>
        <w:tblW w:w="5212" w:type="dxa"/>
        <w:jc w:val="left"/>
        <w:tblInd w:w="0" w:type="dxa"/>
        <w:tblLayout w:type="fixed"/>
        <w:tblCellMar>
          <w:top w:w="28" w:type="dxa"/>
          <w:left w:w="28" w:type="dxa"/>
          <w:bottom w:w="28" w:type="dxa"/>
          <w:right w:w="28" w:type="dxa"/>
        </w:tblCellMar>
      </w:tblPr>
      <w:tblGrid>
        <w:gridCol w:w="2726"/>
        <w:gridCol w:w="2486"/>
      </w:tblGrid>
      <w:tr>
        <w:trPr/>
        <w:tc>
          <w:tcPr>
            <w:tcW w:w="272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72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Debt Maturities</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(Unaudited, in thousands)</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495425" cy="542925"/>
                          </a:xfrm>
                          <a:prstGeom prst="rect">
                            <a:avLst/>
                          </a:prstGeom>
                        </pic:spPr>
                      </pic:pic>
                    </a:graphicData>
                  </a:graphic>
                </wp:inline>
              </w:drawing>
            </w:r>
          </w:p>
        </w:tc>
      </w:tr>
      <w:tr>
        <w:trPr/>
        <w:tc>
          <w:tcPr>
            <w:tcW w:w="521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16" w:name="debt_maturities"/>
      <w:bookmarkEnd w:id="16"/>
      <w:r>
        <w:rPr/>
        <w:t> </w:t>
      </w:r>
    </w:p>
    <w:tbl>
      <w:tblPr>
        <w:tblW w:w="9248" w:type="dxa"/>
        <w:jc w:val="left"/>
        <w:tblInd w:w="0" w:type="dxa"/>
        <w:tblLayout w:type="fixed"/>
        <w:tblCellMar>
          <w:top w:w="28" w:type="dxa"/>
          <w:left w:w="28" w:type="dxa"/>
          <w:bottom w:w="28" w:type="dxa"/>
          <w:right w:w="28" w:type="dxa"/>
        </w:tblCellMar>
      </w:tblPr>
      <w:tblGrid>
        <w:gridCol w:w="526"/>
        <w:gridCol w:w="146"/>
        <w:gridCol w:w="1141"/>
        <w:gridCol w:w="146"/>
        <w:gridCol w:w="946"/>
        <w:gridCol w:w="146"/>
        <w:gridCol w:w="1381"/>
        <w:gridCol w:w="146"/>
        <w:gridCol w:w="1116"/>
        <w:gridCol w:w="346"/>
        <w:gridCol w:w="1246"/>
        <w:gridCol w:w="146"/>
        <w:gridCol w:w="1816"/>
      </w:tblGrid>
      <w:tr>
        <w:trPr/>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3" w:type="dxa"/>
            <w:gridSpan w:val="3"/>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Secured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Unsecured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Scheduled</w:t>
              <w:br/>
              <w:t>Amortization</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Scheduled</w:t>
              <w:br/>
              <w:t>Maturities</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Scheduled</w:t>
              <w:br/>
              <w:t>Maturities</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11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Percentage of </w:t>
              <w:br/>
              <w:t>Debt Maturing</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w:t>
              <w:br/>
              <w:t>Interest Rate of</w:t>
              <w:br/>
              <w:t>Scheduled Maturities</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$7,662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230,733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394,033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136,016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3.89%</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226,049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301,081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4.56%</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131,116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5.86%</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200,668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6.45%</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90,000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w:t>
            </w:r>
          </w:p>
        </w:tc>
      </w:tr>
      <w:tr>
        <w:trPr/>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Arial" w:hAnsi="Arial"/>
                <w:color w:val="000000"/>
                <w:sz w:val="16"/>
              </w:rPr>
            </w:pPr>
            <w:r>
              <w:rPr>
                <w:rFonts w:ascii="Arial" w:hAnsi="Arial"/>
                <w:color w:val="000000"/>
                <w:sz w:val="16"/>
              </w:rPr>
              <w:t>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0.00%</w:t>
            </w:r>
          </w:p>
        </w:tc>
      </w:tr>
      <w:tr>
        <w:trPr/>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$141,008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$1,568,050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b/>
                <w:color w:val="000000"/>
                <w:sz w:val="16"/>
              </w:rPr>
            </w:pPr>
            <w:r>
              <w:rPr>
                <w:rFonts w:ascii="Arial" w:hAnsi="Arial"/>
                <w:b/>
                <w:color w:val="000000"/>
                <w:sz w:val="16"/>
              </w:rPr>
              <w:t>$1,717,358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Arial" w:hAnsi="Arial"/>
                <w:b/>
                <w:color w:val="000000"/>
                <w:sz w:val="16"/>
              </w:rPr>
            </w:pPr>
            <w:r>
              <w:rPr>
                <w:rFonts w:ascii="Arial" w:hAnsi="Arial"/>
                <w:b/>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9144000" cy="27432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2743200"/>
                    </a:xfrm>
                    <a:prstGeom prst="rect">
                      <a:avLst/>
                    </a:prstGeom>
                  </pic:spPr>
                </pic:pic>
              </a:graphicData>
            </a:graphic>
          </wp:inline>
        </w:drawing>
      </w:r>
    </w:p>
    <w:p>
      <w:pPr>
        <w:pStyle w:val="TextBody"/>
        <w:bidi w:val="0"/>
        <w:spacing w:before="240" w:after="283"/>
        <w:jc w:val="right"/>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tbl>
      <w:tblPr>
        <w:tblW w:w="8572" w:type="dxa"/>
        <w:jc w:val="left"/>
        <w:tblInd w:w="0" w:type="dxa"/>
        <w:tblLayout w:type="fixed"/>
        <w:tblCellMar>
          <w:top w:w="28" w:type="dxa"/>
          <w:left w:w="28" w:type="dxa"/>
          <w:bottom w:w="28" w:type="dxa"/>
          <w:right w:w="28" w:type="dxa"/>
        </w:tblCellMar>
      </w:tblPr>
      <w:tblGrid>
        <w:gridCol w:w="6086"/>
        <w:gridCol w:w="2486"/>
      </w:tblGrid>
      <w:tr>
        <w:trPr/>
        <w:tc>
          <w:tcPr>
            <w:tcW w:w="60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08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Leased Operating Property Overview</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(As of June 30, 2026, unaudited)</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495425" cy="542925"/>
                          </a:xfrm>
                          <a:prstGeom prst="rect">
                            <a:avLst/>
                          </a:prstGeom>
                        </pic:spPr>
                      </pic:pic>
                    </a:graphicData>
                  </a:graphic>
                </wp:inline>
              </w:drawing>
            </w:r>
          </w:p>
        </w:tc>
      </w:tr>
      <w:tr>
        <w:trPr/>
        <w:tc>
          <w:tcPr>
            <w:tcW w:w="85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898" w:type="dxa"/>
        <w:jc w:val="left"/>
        <w:tblInd w:w="0" w:type="dxa"/>
        <w:tblLayout w:type="fixed"/>
        <w:tblCellMar>
          <w:top w:w="28" w:type="dxa"/>
          <w:left w:w="28" w:type="dxa"/>
          <w:bottom w:w="28" w:type="dxa"/>
          <w:right w:w="28" w:type="dxa"/>
        </w:tblCellMar>
      </w:tblPr>
      <w:tblGrid>
        <w:gridCol w:w="1141"/>
        <w:gridCol w:w="146"/>
        <w:gridCol w:w="1066"/>
        <w:gridCol w:w="146"/>
        <w:gridCol w:w="946"/>
        <w:gridCol w:w="146"/>
        <w:gridCol w:w="916"/>
        <w:gridCol w:w="146"/>
        <w:gridCol w:w="961"/>
        <w:gridCol w:w="146"/>
        <w:gridCol w:w="146"/>
        <w:gridCol w:w="691"/>
        <w:gridCol w:w="146"/>
        <w:gridCol w:w="146"/>
        <w:gridCol w:w="196"/>
        <w:gridCol w:w="916"/>
        <w:gridCol w:w="146"/>
        <w:gridCol w:w="146"/>
        <w:gridCol w:w="307"/>
        <w:gridCol w:w="699"/>
        <w:gridCol w:w="256"/>
        <w:gridCol w:w="146"/>
        <w:gridCol w:w="278"/>
        <w:gridCol w:w="728"/>
        <w:gridCol w:w="19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bookmarkStart w:id="17" w:name="leased_operating_property_overview"/>
            <w:bookmarkEnd w:id="17"/>
            <w:r>
              <w:rPr>
                <w:rFonts w:ascii="Arial" w:hAnsi="Arial"/>
                <w:b/>
                <w:color w:val="000000"/>
                <w:sz w:val="16"/>
              </w:rPr>
              <w:t>Property Name</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Location</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Type</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Tenant</w:t>
              <w:br/>
              <w:t>Lease</w:t>
              <w:br/>
              <w:t>Expiration</w:t>
              <w:br/>
              <w:t>Year</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Built /</w:t>
              <w:br/>
              <w:t>Renovated</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Leased</w:t>
              <w:br/>
              <w:t>Square</w:t>
              <w:br/>
              <w:t>Feet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Percentage </w:t>
              <w:br/>
              <w:t>of Total</w:t>
              <w:br/>
              <w:t>Annualized</w:t>
              <w:br/>
              <w:t>Lease</w:t>
              <w:br/>
              <w:t>Income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w:t>
              <w:br/>
              <w:t>Income per</w:t>
              <w:br/>
              <w:t>Leased</w:t>
              <w:br/>
              <w:t>Square Foot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07" w:type="dxa"/>
            <w:gridSpan w:val="24"/>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Wholly Owned U.S. Government Leased Properties</w:t>
            </w:r>
          </w:p>
        </w:tc>
        <w:tc>
          <w:tcPr>
            <w:tcW w:w="19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 - Loma Linda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Loma Linda,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16,892,383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USCIS - Kansas 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Lee's Summit, MO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2027 - 2042</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1969 / 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10,340,464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JSC - Suffolk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Suffolk,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2028</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1993 / 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8,632,697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Various GSA - Chicago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Des Plaines,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1971 / 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7,925,559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FDA - Atlanta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Atlanta, 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7,064,454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IRS - Fresno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Fresno,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6,992,321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Salt Lake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Salt Lake City, 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6,841,021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Various GSA - Buffalo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Buffalo,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2026 - 2039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6,603,538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Various GSA - Portland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Portland, 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2027 - 2039</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5,932,795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 - San Jose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San Jose,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5,812,834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EPA - Lenexa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Lenexa, 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2027</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2007 / 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5,798,381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Tampa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Tampa,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5,385,768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PTO - Arlington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Arlington,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5,333,993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FDA - Alameda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Alameda,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5,025,605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USCIS - Lincoln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Lincoln, 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4,886,231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San Antonio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San Antonio,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4,865,675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DEA - El Paso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El Paso,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1998 - 2005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4,784,123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FEMA - Tracy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Tracy,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4,668,336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TREAS - Parkersburg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Parkersburg, WV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2004 / 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4,435,584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Mobile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Mobile, 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2029</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4,350,464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FDA - Lenexa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Lenexa, 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4,286,244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ICE - Dallas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Irving,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2032 / 2040</w:t>
            </w:r>
            <w:r>
              <w:rPr>
                <w:rFonts w:ascii="Arial" w:hAnsi="Arial"/>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2000 /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Pittsburgh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Pittsburgh, 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4,265,951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Knoxville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Knoxville, TN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4,208,887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 - South Bend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Mishawaka,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4,109,078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Omaha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Omaha, 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3,981,453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 - Mobile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Mobile, 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3,874,491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New Orleans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New Orleans, 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2029</w:t>
            </w: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1999 / 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137,679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3,861,871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Birmingham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Birmingham, 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3,621,989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DOT - Lakewood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Lakewood,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3,610,074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EPA - Kansas 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Kansas City, 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3,604,599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Albany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Albany,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3,597,252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USFS II - Albuquerque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Albuquerque, 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3,526,118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 - Chico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Chico,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3,376,899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Richmond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Richmond,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3,369,152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ICE - Charleston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North Charleston, 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1994 / 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3,262,630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FBI - Little Rock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Little Rock, 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tbl>
      <w:tblPr>
        <w:tblW w:w="9772" w:type="dxa"/>
        <w:jc w:val="left"/>
        <w:tblInd w:w="0" w:type="dxa"/>
        <w:tblLayout w:type="fixed"/>
        <w:tblCellMar>
          <w:top w:w="28" w:type="dxa"/>
          <w:left w:w="28" w:type="dxa"/>
          <w:bottom w:w="28" w:type="dxa"/>
          <w:right w:w="28" w:type="dxa"/>
        </w:tblCellMar>
      </w:tblPr>
      <w:tblGrid>
        <w:gridCol w:w="7286"/>
        <w:gridCol w:w="2486"/>
      </w:tblGrid>
      <w:tr>
        <w:trPr/>
        <w:tc>
          <w:tcPr>
            <w:tcW w:w="72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728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Leased Operating Property Overview (Cont.)</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(As of June 30, 2026, unaudited)</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95425" cy="542925"/>
                          </a:xfrm>
                          <a:prstGeom prst="rect">
                            <a:avLst/>
                          </a:prstGeom>
                        </pic:spPr>
                      </pic:pic>
                    </a:graphicData>
                  </a:graphic>
                </wp:inline>
              </w:drawing>
            </w:r>
          </w:p>
        </w:tc>
      </w:tr>
      <w:tr>
        <w:trPr/>
        <w:tc>
          <w:tcPr>
            <w:tcW w:w="97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823" w:type="dxa"/>
        <w:jc w:val="left"/>
        <w:tblInd w:w="0" w:type="dxa"/>
        <w:tblLayout w:type="fixed"/>
        <w:tblCellMar>
          <w:top w:w="28" w:type="dxa"/>
          <w:left w:w="28" w:type="dxa"/>
          <w:bottom w:w="28" w:type="dxa"/>
          <w:right w:w="28" w:type="dxa"/>
        </w:tblCellMar>
      </w:tblPr>
      <w:tblGrid>
        <w:gridCol w:w="1141"/>
        <w:gridCol w:w="146"/>
        <w:gridCol w:w="1066"/>
        <w:gridCol w:w="146"/>
        <w:gridCol w:w="961"/>
        <w:gridCol w:w="146"/>
        <w:gridCol w:w="916"/>
        <w:gridCol w:w="146"/>
        <w:gridCol w:w="961"/>
        <w:gridCol w:w="146"/>
        <w:gridCol w:w="146"/>
        <w:gridCol w:w="691"/>
        <w:gridCol w:w="146"/>
        <w:gridCol w:w="146"/>
        <w:gridCol w:w="196"/>
        <w:gridCol w:w="826"/>
        <w:gridCol w:w="146"/>
        <w:gridCol w:w="146"/>
        <w:gridCol w:w="307"/>
        <w:gridCol w:w="699"/>
        <w:gridCol w:w="256"/>
        <w:gridCol w:w="146"/>
        <w:gridCol w:w="278"/>
        <w:gridCol w:w="728"/>
        <w:gridCol w:w="19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Name</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Location</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Type</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Tenant</w:t>
              <w:br/>
              <w:t>Lease</w:t>
              <w:br/>
              <w:t>Expiration</w:t>
              <w:br/>
              <w:t>Year</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Built /</w:t>
              <w:br/>
              <w:t>Renovated</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Leased</w:t>
              <w:br/>
              <w:t>Square</w:t>
              <w:br/>
              <w:t>Feet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Percentage </w:t>
              <w:br/>
              <w:t>of Total</w:t>
              <w:br/>
              <w:t>Annualized</w:t>
              <w:br/>
              <w:t>Lease</w:t>
              <w:br/>
              <w:t>Income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w:t>
              <w:br/>
              <w:t>Income per</w:t>
              <w:br/>
              <w:t>Leased</w:t>
              <w:br/>
              <w:t>Square Foot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32" w:type="dxa"/>
            <w:gridSpan w:val="24"/>
            <w:tcBorders/>
            <w:shd w:fill="E7E6E6"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b/>
                <w:color w:val="000000"/>
                <w:sz w:val="16"/>
              </w:rPr>
              <w:t>Wholly Owned U.S.</w:t>
            </w:r>
            <w:r>
              <w:rPr>
                <w:rFonts w:ascii="Times New Roman" w:hAnsi="Times New Roman"/>
                <w:color w:val="000000"/>
                <w:sz w:val="16"/>
              </w:rPr>
              <w:t xml:space="preserve"> </w:t>
            </w:r>
            <w:r>
              <w:rPr>
                <w:rFonts w:ascii="Arial" w:hAnsi="Arial"/>
                <w:b/>
                <w:color w:val="000000"/>
                <w:sz w:val="16"/>
              </w:rPr>
              <w:t>Government Leased Properties (Cont.)</w:t>
            </w:r>
          </w:p>
        </w:tc>
        <w:tc>
          <w:tcPr>
            <w:tcW w:w="19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Sterling,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3,238,759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 - Del Rio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Del Rio,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Courthouse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1992 / 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3,216,180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USCIS - Tustin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Tustin,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1979 /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3,176,673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Vista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Vista,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3,175,630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 - Indianapolis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Brownsburg,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3,051,338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 - Orange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Orange, 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2,978,003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SSA - Charleston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Charleston, WV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1959 / 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2,930,337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ICE - Albuquerque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Albuquerque, 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2,886,242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 - El Centro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El Centro,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Courthouse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2,843,403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Dallas 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Dallas,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2,840,424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Pleasanton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Pleasanton,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2,803,986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Upper Marlboro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Upper Marlboro,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2,786,816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DHS - Burlington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Williston, VT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2031</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2,776,462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Dallas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Dallas,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2,742,744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NARA - Broomfield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Broomfield,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2,684,946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 - Jackson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Jackson, TN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Courthouse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2,654,729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TREAS - Birmingham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Birmingham, 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2,646,636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DHS - Atlanta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Atlanta, 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2031 - 2038</w:t>
            </w:r>
            <w:r>
              <w:rPr>
                <w:rFonts w:ascii="Arial" w:hAnsi="Arial"/>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2008 /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2,609,190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USAO - Louisville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Louisville, KY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2,566,248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 - Charleston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Charleston, 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Courthouse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2,491,927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IRS - Ogden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Ogden, 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2029</w:t>
            </w:r>
            <w:r>
              <w:rPr>
                <w:rFonts w:ascii="Arial" w:hAnsi="Arial"/>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2,394,006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CBP - Savannah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Savannah, 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2,326,337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Various GSA - Cleveland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Brooklyn Heights, OH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2028 - 2040</w:t>
            </w:r>
            <w:r>
              <w:rPr>
                <w:rFonts w:ascii="Arial" w:hAnsi="Arial"/>
                <w:color w:val="000000"/>
                <w:sz w:val="11"/>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1981 /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2,250,021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NWS - Kansas City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Kansas City, MO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2033</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1998 /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2,180,190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Santa Ana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Santa Ana,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2,053,919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GSA - Clarksburg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Clarksburg, WV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2039</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1,958,511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 - Aberdeen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Aberdeen, 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Courthouse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1,948,572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North Highlands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Sacramento,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1,907,525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Riverside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Riverside,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NPS - Omaha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Omaha, 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ICE - Orlando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Orlando,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1996 / 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1,796,130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 - Golden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Golden,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2036</w:t>
            </w:r>
            <w:r>
              <w:rPr>
                <w:rFonts w:ascii="Arial" w:hAnsi="Arial"/>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1996 / 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1,784,573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 - Newport News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Newport News,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Courthouse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1,693,655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USCG - Martinsburg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Martinsburg, WV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1,646,454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VA - Charleston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North Charleston, 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1,519,642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USAO - Springfield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Springfield, 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1,408,680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 - Council Bluffs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Council Bluffs, 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Courthouse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2041</w:t>
            </w:r>
            <w:r>
              <w:rPr>
                <w:rFonts w:ascii="Arial" w:hAnsi="Arial"/>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1,369,479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tbl>
      <w:tblPr>
        <w:tblW w:w="9772" w:type="dxa"/>
        <w:jc w:val="left"/>
        <w:tblInd w:w="0" w:type="dxa"/>
        <w:tblLayout w:type="fixed"/>
        <w:tblCellMar>
          <w:top w:w="28" w:type="dxa"/>
          <w:left w:w="28" w:type="dxa"/>
          <w:bottom w:w="28" w:type="dxa"/>
          <w:right w:w="28" w:type="dxa"/>
        </w:tblCellMar>
      </w:tblPr>
      <w:tblGrid>
        <w:gridCol w:w="7286"/>
        <w:gridCol w:w="2486"/>
      </w:tblGrid>
      <w:tr>
        <w:trPr/>
        <w:tc>
          <w:tcPr>
            <w:tcW w:w="72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728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Leased Operating Property Overview (Cont.)</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(As of June 30, 2026, unaudited)</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495425" cy="542925"/>
                          </a:xfrm>
                          <a:prstGeom prst="rect">
                            <a:avLst/>
                          </a:prstGeom>
                        </pic:spPr>
                      </pic:pic>
                    </a:graphicData>
                  </a:graphic>
                </wp:inline>
              </w:drawing>
            </w:r>
          </w:p>
        </w:tc>
      </w:tr>
      <w:tr>
        <w:trPr/>
        <w:tc>
          <w:tcPr>
            <w:tcW w:w="97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1138" w:type="dxa"/>
        <w:jc w:val="left"/>
        <w:tblInd w:w="0" w:type="dxa"/>
        <w:tblLayout w:type="fixed"/>
        <w:tblCellMar>
          <w:top w:w="28" w:type="dxa"/>
          <w:left w:w="28" w:type="dxa"/>
          <w:bottom w:w="28" w:type="dxa"/>
          <w:right w:w="28" w:type="dxa"/>
        </w:tblCellMar>
      </w:tblPr>
      <w:tblGrid>
        <w:gridCol w:w="1141"/>
        <w:gridCol w:w="146"/>
        <w:gridCol w:w="1066"/>
        <w:gridCol w:w="146"/>
        <w:gridCol w:w="961"/>
        <w:gridCol w:w="146"/>
        <w:gridCol w:w="916"/>
        <w:gridCol w:w="146"/>
        <w:gridCol w:w="961"/>
        <w:gridCol w:w="146"/>
        <w:gridCol w:w="146"/>
        <w:gridCol w:w="826"/>
        <w:gridCol w:w="146"/>
        <w:gridCol w:w="146"/>
        <w:gridCol w:w="196"/>
        <w:gridCol w:w="1006"/>
        <w:gridCol w:w="146"/>
        <w:gridCol w:w="146"/>
        <w:gridCol w:w="259"/>
        <w:gridCol w:w="747"/>
        <w:gridCol w:w="256"/>
        <w:gridCol w:w="146"/>
        <w:gridCol w:w="278"/>
        <w:gridCol w:w="728"/>
        <w:gridCol w:w="191"/>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Name</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Location</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Type</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Tenant</w:t>
              <w:br/>
              <w:t>Lease</w:t>
              <w:br/>
              <w:t>Expiration</w:t>
              <w:br/>
              <w:t>Year</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Built /</w:t>
              <w:br/>
              <w:t>Renovated</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Leased</w:t>
              <w:br/>
              <w:t>Square</w:t>
              <w:br/>
              <w:t>Feet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Percentage </w:t>
              <w:br/>
              <w:t>of Total</w:t>
              <w:br/>
              <w:t>Annualized</w:t>
              <w:br/>
              <w:t>Lease</w:t>
              <w:br/>
              <w:t>Income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w:t>
              <w:br/>
              <w:t>Income per</w:t>
              <w:br/>
              <w:t>Leased</w:t>
              <w:br/>
              <w:t>Square Foot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47" w:type="dxa"/>
            <w:gridSpan w:val="24"/>
            <w:tcBorders/>
            <w:shd w:fill="E7E6E6"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b/>
                <w:color w:val="000000"/>
                <w:sz w:val="16"/>
              </w:rPr>
              <w:t>Wholly Owned U.S.</w:t>
            </w:r>
            <w:r>
              <w:rPr>
                <w:rFonts w:ascii="Times New Roman" w:hAnsi="Times New Roman"/>
                <w:color w:val="000000"/>
                <w:sz w:val="16"/>
              </w:rPr>
              <w:t xml:space="preserve"> </w:t>
            </w:r>
            <w:r>
              <w:rPr>
                <w:rFonts w:ascii="Arial" w:hAnsi="Arial"/>
                <w:b/>
                <w:color w:val="000000"/>
                <w:sz w:val="16"/>
              </w:rPr>
              <w:t>Government Leased Properties (Cont.)</w:t>
            </w:r>
          </w:p>
        </w:tc>
        <w:tc>
          <w:tcPr>
            <w:tcW w:w="19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Birmingham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Birmingham, 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Albany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Albany, 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1,193,758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HSI - Orlando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Orlando,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1,123,185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SSA - Dallas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Dallas,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1,073,581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 - South Bend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South Bend,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Courthouse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1996 / 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838,740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ICE - Louisville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Louisville, KY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782,609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San Diego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San Diego,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560,959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DEA - Bakersfield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Bakersfield,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502,549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SSA - San Diego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San Diego,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458,847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8,056,577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293,579,677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947" w:type="dxa"/>
            <w:gridSpan w:val="24"/>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Wholly Owned State and Local Government Leased Property</w:t>
            </w:r>
          </w:p>
        </w:tc>
        <w:tc>
          <w:tcPr>
            <w:tcW w:w="19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DC - Capitol Plaza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Washington, 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2026 - 2038</w:t>
            </w:r>
            <w:r>
              <w:rPr>
                <w:rFonts w:ascii="Arial" w:hAnsi="Arial"/>
                <w:color w:val="000000"/>
                <w:sz w:val="11"/>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18,174,631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Wake County III - Cary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Cary, 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2027 / 2034</w:t>
            </w:r>
            <w:r>
              <w:rPr>
                <w:rFonts w:ascii="Arial" w:hAnsi="Arial"/>
                <w:color w:val="000000"/>
                <w:sz w:val="11"/>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3,501,324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 - Anaheim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Anaheim, 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2033 / 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1991 /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3,364,379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SVA - Glen Allen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Glen Allen,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2034</w:t>
            </w:r>
            <w:r>
              <w:rPr>
                <w:rFonts w:ascii="Arial" w:hAnsi="Arial"/>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3,107,163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Wake County II - Cary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Cary, 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2034</w:t>
            </w:r>
            <w:r>
              <w:rPr>
                <w:rFonts w:ascii="Arial" w:hAnsi="Arial"/>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2,948,356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NM - Albuquerque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Albuquerque, NM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2036</w:t>
            </w:r>
            <w:r>
              <w:rPr>
                <w:rFonts w:ascii="Arial" w:hAnsi="Arial"/>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2,343,773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Wake County I - Cary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Cary, 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2034</w:t>
            </w:r>
            <w:r>
              <w:rPr>
                <w:rFonts w:ascii="Arial" w:hAnsi="Arial"/>
                <w:color w:val="000000"/>
                <w:sz w:val="11"/>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2,227,705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SVA - Glen Allen 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Glen Allen,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2036</w:t>
            </w:r>
            <w:r>
              <w:rPr>
                <w:rFonts w:ascii="Arial" w:hAnsi="Arial"/>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1,092,427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922,494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36,759,758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39.85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tbl>
      <w:tblPr>
        <w:tblW w:w="9772" w:type="dxa"/>
        <w:jc w:val="left"/>
        <w:tblInd w:w="0" w:type="dxa"/>
        <w:tblLayout w:type="fixed"/>
        <w:tblCellMar>
          <w:top w:w="28" w:type="dxa"/>
          <w:left w:w="28" w:type="dxa"/>
          <w:bottom w:w="28" w:type="dxa"/>
          <w:right w:w="28" w:type="dxa"/>
        </w:tblCellMar>
      </w:tblPr>
      <w:tblGrid>
        <w:gridCol w:w="7286"/>
        <w:gridCol w:w="2486"/>
      </w:tblGrid>
      <w:tr>
        <w:trPr/>
        <w:tc>
          <w:tcPr>
            <w:tcW w:w="72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728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Leased Operating Property Overview (Cont.)</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(As of June 30, 2026, unaudited)</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495425" cy="542925"/>
                          </a:xfrm>
                          <a:prstGeom prst="rect">
                            <a:avLst/>
                          </a:prstGeom>
                        </pic:spPr>
                      </pic:pic>
                    </a:graphicData>
                  </a:graphic>
                </wp:inline>
              </w:drawing>
            </w:r>
          </w:p>
        </w:tc>
      </w:tr>
      <w:tr>
        <w:trPr/>
        <w:tc>
          <w:tcPr>
            <w:tcW w:w="97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1288" w:type="dxa"/>
        <w:jc w:val="left"/>
        <w:tblInd w:w="0" w:type="dxa"/>
        <w:tblLayout w:type="fixed"/>
        <w:tblCellMar>
          <w:top w:w="28" w:type="dxa"/>
          <w:left w:w="28" w:type="dxa"/>
          <w:bottom w:w="28" w:type="dxa"/>
          <w:right w:w="28" w:type="dxa"/>
        </w:tblCellMar>
      </w:tblPr>
      <w:tblGrid>
        <w:gridCol w:w="1186"/>
        <w:gridCol w:w="146"/>
        <w:gridCol w:w="1096"/>
        <w:gridCol w:w="146"/>
        <w:gridCol w:w="946"/>
        <w:gridCol w:w="146"/>
        <w:gridCol w:w="916"/>
        <w:gridCol w:w="146"/>
        <w:gridCol w:w="961"/>
        <w:gridCol w:w="146"/>
        <w:gridCol w:w="146"/>
        <w:gridCol w:w="916"/>
        <w:gridCol w:w="146"/>
        <w:gridCol w:w="146"/>
        <w:gridCol w:w="196"/>
        <w:gridCol w:w="1006"/>
        <w:gridCol w:w="146"/>
        <w:gridCol w:w="146"/>
        <w:gridCol w:w="223"/>
        <w:gridCol w:w="783"/>
        <w:gridCol w:w="256"/>
        <w:gridCol w:w="146"/>
        <w:gridCol w:w="278"/>
        <w:gridCol w:w="728"/>
        <w:gridCol w:w="19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8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Name</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Location</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Type</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Tenant</w:t>
              <w:br/>
              <w:t>Lease</w:t>
              <w:br/>
              <w:t>Expiration</w:t>
              <w:br/>
              <w:t>Year</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Built /</w:t>
              <w:br/>
              <w:t>Renovated</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Leased</w:t>
              <w:br/>
              <w:t>Square</w:t>
              <w:br/>
              <w:t>Feet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Percentage </w:t>
              <w:br/>
              <w:t>of Total</w:t>
              <w:br/>
              <w:t>Annualized</w:t>
              <w:br/>
              <w:t>Lease</w:t>
              <w:br/>
              <w:t>Income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w:t>
              <w:br/>
              <w:t>Income per</w:t>
              <w:br/>
              <w:t>Leased</w:t>
              <w:br/>
              <w:t>Square Foot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97" w:type="dxa"/>
            <w:gridSpan w:val="24"/>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Wholly Owned Privately Leased Property</w:t>
            </w:r>
          </w:p>
        </w:tc>
        <w:tc>
          <w:tcPr>
            <w:tcW w:w="19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York Space Systems - Greenwood Village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Greenwood Village,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2031</w:t>
            </w:r>
            <w:r>
              <w:rPr>
                <w:rFonts w:ascii="Arial" w:hAnsi="Arial"/>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1982 / 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4,719,587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SVA - Glen Allen 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Glen Allen,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2027 - 2031</w:t>
            </w:r>
            <w:r>
              <w:rPr>
                <w:rFonts w:ascii="Arial" w:hAnsi="Arial"/>
                <w:color w:val="000000"/>
                <w:sz w:val="11"/>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2,886,196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Northrop Grumman - Dayton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Beavercreek, OH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2029</w:t>
            </w:r>
            <w:r>
              <w:rPr>
                <w:rFonts w:ascii="Arial" w:hAnsi="Arial"/>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2,588,312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Northrop Grumman - Aurora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Aurora,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Specialized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2032</w:t>
            </w:r>
            <w:r>
              <w:rPr>
                <w:rFonts w:ascii="Arial" w:hAnsi="Arial"/>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2,368,386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501 East Hunter Street - Lummus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Lubbock,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Warehouse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2028</w:t>
            </w:r>
            <w:r>
              <w:rPr>
                <w:rFonts w:ascii="Arial" w:hAnsi="Arial"/>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535,651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12,972,645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24.22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Wholly Owned Properties Total / 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9,514,722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343,312,080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87.2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097" w:type="dxa"/>
            <w:gridSpan w:val="24"/>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Government Leased to Unconsolidated Real Estate Venture</w:t>
            </w:r>
          </w:p>
        </w:tc>
        <w:tc>
          <w:tcPr>
            <w:tcW w:w="191"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VA - Phoenix</w:t>
            </w:r>
            <w:r>
              <w:rPr>
                <w:rFonts w:ascii="Arial" w:hAnsi="Arial"/>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Phoenix, 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10,919,720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VA - San Antonio</w:t>
            </w:r>
            <w:r>
              <w:rPr>
                <w:rFonts w:ascii="Arial" w:hAnsi="Arial"/>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San Antonio,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9,217,375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VA - Jacksonville</w:t>
            </w:r>
            <w:r>
              <w:rPr>
                <w:rFonts w:ascii="Arial" w:hAnsi="Arial"/>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Jacksonville,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7,634,166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VA - Chattanooga</w:t>
            </w:r>
            <w:r>
              <w:rPr>
                <w:rFonts w:ascii="Arial" w:hAnsi="Arial"/>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Chattanooga, TN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4,310,316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VA - Lubbock</w:t>
            </w:r>
            <w:r>
              <w:rPr>
                <w:rFonts w:ascii="Arial" w:hAnsi="Arial"/>
                <w:color w:val="000000"/>
                <w:sz w:val="11"/>
              </w:rPr>
              <w:t>(13)(14)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Lubbock,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4,270,224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VA - Marietta</w:t>
            </w:r>
            <w:r>
              <w:rPr>
                <w:rFonts w:ascii="Arial" w:hAnsi="Arial"/>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Marietta, 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3,848,808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VA - Birmingham</w:t>
            </w:r>
            <w:r>
              <w:rPr>
                <w:rFonts w:ascii="Arial" w:hAnsi="Arial"/>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Irondale, 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3,212,592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VA - Corpus Christi</w:t>
            </w:r>
            <w:r>
              <w:rPr>
                <w:rFonts w:ascii="Arial" w:hAnsi="Arial"/>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Corpus Christi, 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2,994,312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VA - Columbus</w:t>
            </w:r>
            <w:r>
              <w:rPr>
                <w:rFonts w:ascii="Arial" w:hAnsi="Arial"/>
                <w:color w:val="000000"/>
                <w:sz w:val="11"/>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Columbus, GA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2,953,771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VA - Lenexa</w:t>
            </w:r>
            <w:r>
              <w:rPr>
                <w:rFonts w:ascii="Arial" w:hAnsi="Arial"/>
                <w:color w:val="000000"/>
                <w:sz w:val="11"/>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Lenexa, 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Outpatient Clinic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1,344,162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1,214,165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50,705,446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41.76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89" w:type="dxa"/>
            <w:gridSpan w:val="9"/>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 Weighted Average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10,728,887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394,017,526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520" w:type="dxa"/>
            <w:gridSpan w:val="5"/>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 Weighted Average at Easterly's Share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10,158,228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370,185,967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Arial" w:hAnsi="Arial"/>
          <w:color w:val="404040"/>
          <w:sz w:val="11"/>
        </w:rPr>
        <w:t xml:space="preserve">(1) </w:t>
      </w:r>
      <w:r>
        <w:rPr>
          <w:rFonts w:ascii="Arial" w:hAnsi="Arial"/>
          <w:color w:val="53565A"/>
          <w:sz w:val="16"/>
        </w:rPr>
        <w:t>316,318 square feet leased to U.S. Citizenship and Immigration Services ("USCIS") will expire on February 19, 2042 and contains two five-year renewal options. 62,165 square feet leased to three private tenants will expire between 2027-2030 and each contains renewal options.</w:t>
      </w:r>
    </w:p>
    <w:p>
      <w:pPr>
        <w:pStyle w:val="TextBody"/>
        <w:bidi w:val="0"/>
        <w:spacing w:before="80" w:after="283"/>
        <w:jc w:val="left"/>
        <w:rPr>
          <w:rFonts w:ascii="Times New Roman" w:hAnsi="Times New Roman"/>
          <w:sz w:val="20"/>
        </w:rPr>
      </w:pPr>
      <w:r>
        <w:rPr>
          <w:rFonts w:ascii="Arial" w:hAnsi="Arial"/>
          <w:color w:val="53565A"/>
          <w:sz w:val="11"/>
        </w:rPr>
        <w:t xml:space="preserve">(2) </w:t>
      </w:r>
      <w:r>
        <w:rPr>
          <w:rFonts w:ascii="Arial" w:hAnsi="Arial"/>
          <w:color w:val="53565A"/>
          <w:sz w:val="16"/>
        </w:rPr>
        <w:t>Lease contains one five-year renewal option.</w:t>
      </w:r>
      <w:r>
        <w:rPr>
          <w:rFonts w:ascii="Times New Roman" w:hAnsi="Times New Roman"/>
          <w:color w:val="53565A"/>
          <w:sz w:val="20"/>
        </w:rPr>
        <w:t xml:space="preserve"> </w:t>
      </w:r>
    </w:p>
    <w:p>
      <w:pPr>
        <w:pStyle w:val="TextBody"/>
        <w:bidi w:val="0"/>
        <w:spacing w:before="80" w:after="283"/>
        <w:jc w:val="left"/>
        <w:rPr>
          <w:rFonts w:ascii="Times New Roman" w:hAnsi="Times New Roman"/>
          <w:sz w:val="20"/>
        </w:rPr>
      </w:pPr>
      <w:r>
        <w:rPr>
          <w:rFonts w:ascii="Arial" w:hAnsi="Arial"/>
          <w:color w:val="53565A"/>
          <w:sz w:val="11"/>
        </w:rPr>
        <w:t xml:space="preserve">(3) </w:t>
      </w:r>
      <w:r>
        <w:rPr>
          <w:rFonts w:ascii="Arial" w:hAnsi="Arial"/>
          <w:color w:val="53565A"/>
          <w:sz w:val="16"/>
        </w:rPr>
        <w:t>33,407 square feet leased to the U.S. Army Corps of Engineers ("ACOE") will expire on February 19, 2030 and contains one five-year renewal options. 21,646 square feet leased to the Federal Bureau of Investigation ("FBI") will expire on December 31, 2029 and contains one five-year renewal option. 9,357 square feet leased to four private tenants will expire between 2027-2036 and each contains renewal options. 4,846 square feet leased to the Department of Energy ("DOE") will expire on April 14, 2033 and contains one ten-year renewal option.</w:t>
      </w:r>
    </w:p>
    <w:p>
      <w:pPr>
        <w:pStyle w:val="TextBody"/>
        <w:bidi w:val="0"/>
        <w:spacing w:before="240" w:after="283"/>
        <w:jc w:val="right"/>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tbl>
      <w:tblPr>
        <w:tblW w:w="9772" w:type="dxa"/>
        <w:jc w:val="left"/>
        <w:tblInd w:w="0" w:type="dxa"/>
        <w:tblLayout w:type="fixed"/>
        <w:tblCellMar>
          <w:top w:w="28" w:type="dxa"/>
          <w:left w:w="28" w:type="dxa"/>
          <w:bottom w:w="28" w:type="dxa"/>
          <w:right w:w="28" w:type="dxa"/>
        </w:tblCellMar>
      </w:tblPr>
      <w:tblGrid>
        <w:gridCol w:w="7286"/>
        <w:gridCol w:w="2486"/>
      </w:tblGrid>
      <w:tr>
        <w:trPr/>
        <w:tc>
          <w:tcPr>
            <w:tcW w:w="72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728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Leased Operating Property Overview (Cont.)</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(As of June 30, 2026, unaudited)</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495425" cy="542925"/>
                          </a:xfrm>
                          <a:prstGeom prst="rect">
                            <a:avLst/>
                          </a:prstGeom>
                        </pic:spPr>
                      </pic:pic>
                    </a:graphicData>
                  </a:graphic>
                </wp:inline>
              </w:drawing>
            </w:r>
          </w:p>
        </w:tc>
      </w:tr>
      <w:tr>
        <w:trPr/>
        <w:tc>
          <w:tcPr>
            <w:tcW w:w="97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color w:val="53565A"/>
          <w:sz w:val="11"/>
        </w:rPr>
        <w:t xml:space="preserve">(4) </w:t>
      </w:r>
      <w:r>
        <w:rPr>
          <w:rFonts w:ascii="Arial" w:hAnsi="Arial"/>
          <w:color w:val="53565A"/>
          <w:sz w:val="16"/>
        </w:rPr>
        <w:t>80,523 square feet leased to the U.S. Immigration and Customs Enforcement ("ICE") will expire on September 14, 2040. 29,074 square feet leased to a private tenant will expire on September 30, 2032 and contains one five-year renewal option. 25,603 square feet leased to a private tenant will expire on January 31, 2032 and contains one five-year renewal option.</w:t>
      </w:r>
    </w:p>
    <w:p>
      <w:pPr>
        <w:pStyle w:val="TextBody"/>
        <w:bidi w:val="0"/>
        <w:spacing w:before="80" w:after="283"/>
        <w:jc w:val="left"/>
        <w:rPr>
          <w:rFonts w:ascii="Times New Roman" w:hAnsi="Times New Roman"/>
          <w:sz w:val="20"/>
        </w:rPr>
      </w:pPr>
      <w:r>
        <w:rPr>
          <w:rFonts w:ascii="Arial" w:hAnsi="Arial"/>
          <w:color w:val="53565A"/>
          <w:sz w:val="11"/>
        </w:rPr>
        <w:t xml:space="preserve">(5) </w:t>
      </w:r>
      <w:r>
        <w:rPr>
          <w:rFonts w:ascii="Arial" w:hAnsi="Arial"/>
          <w:color w:val="53565A"/>
          <w:sz w:val="16"/>
        </w:rPr>
        <w:t>Lease contains one ten-year renewal option.</w:t>
      </w:r>
    </w:p>
    <w:p>
      <w:pPr>
        <w:pStyle w:val="TextBody"/>
        <w:bidi w:val="0"/>
        <w:spacing w:before="80" w:after="283"/>
        <w:jc w:val="left"/>
        <w:rPr>
          <w:rFonts w:ascii="Times New Roman" w:hAnsi="Times New Roman"/>
          <w:sz w:val="20"/>
        </w:rPr>
      </w:pPr>
      <w:r>
        <w:rPr>
          <w:rFonts w:ascii="Arial" w:hAnsi="Arial"/>
          <w:color w:val="53565A"/>
          <w:sz w:val="11"/>
        </w:rPr>
        <w:t xml:space="preserve">(6) </w:t>
      </w:r>
      <w:r>
        <w:rPr>
          <w:rFonts w:ascii="Arial" w:hAnsi="Arial"/>
          <w:color w:val="53565A"/>
          <w:sz w:val="16"/>
        </w:rPr>
        <w:t>29,737 square feet leased to the U.S. Customs and Border Protection ("CBP") will expire on April 30, 2038. 17,373 square feet leased to a private tenant will expire on December 31, 2031 and contains two five-year renewal options. 49,125 square feet leased to the Transportation Security Administration ("TSA") will expire on December 14, 2038 and contains one five-year renewal option.</w:t>
      </w:r>
    </w:p>
    <w:p>
      <w:pPr>
        <w:pStyle w:val="TextBody"/>
        <w:bidi w:val="0"/>
        <w:spacing w:before="80" w:after="283"/>
        <w:jc w:val="left"/>
        <w:rPr>
          <w:rFonts w:ascii="Times New Roman" w:hAnsi="Times New Roman"/>
          <w:sz w:val="20"/>
        </w:rPr>
      </w:pPr>
      <w:r>
        <w:rPr>
          <w:rFonts w:ascii="Arial" w:hAnsi="Arial"/>
          <w:color w:val="404040"/>
          <w:sz w:val="11"/>
        </w:rPr>
        <w:t xml:space="preserve">(7) </w:t>
      </w:r>
      <w:r>
        <w:rPr>
          <w:rFonts w:ascii="Arial" w:hAnsi="Arial"/>
          <w:color w:val="53565A"/>
          <w:sz w:val="16"/>
        </w:rPr>
        <w:t>Lease contains two five-year renewal options.</w:t>
      </w:r>
    </w:p>
    <w:p>
      <w:pPr>
        <w:pStyle w:val="TextBody"/>
        <w:bidi w:val="0"/>
        <w:spacing w:before="80" w:after="283"/>
        <w:jc w:val="left"/>
        <w:rPr>
          <w:rFonts w:ascii="Times New Roman" w:hAnsi="Times New Roman"/>
          <w:sz w:val="20"/>
        </w:rPr>
      </w:pPr>
      <w:r>
        <w:rPr>
          <w:rFonts w:ascii="Arial" w:hAnsi="Arial"/>
          <w:color w:val="404040"/>
          <w:sz w:val="11"/>
        </w:rPr>
        <w:t xml:space="preserve">(8) </w:t>
      </w:r>
      <w:r>
        <w:rPr>
          <w:rFonts w:ascii="Arial" w:hAnsi="Arial"/>
          <w:color w:val="404040"/>
          <w:sz w:val="16"/>
        </w:rPr>
        <w:t xml:space="preserve">40,502 square feet leased to the U.S. </w:t>
      </w:r>
      <w:r>
        <w:rPr>
          <w:rFonts w:ascii="Arial" w:hAnsi="Arial"/>
          <w:color w:val="53565A"/>
          <w:sz w:val="16"/>
        </w:rPr>
        <w:t>Immigration and Customs Enforcement ("ICE") will expire on August 31, 2031. 11,402 square feet leased to a private tenant will expire on December 31, 2028 and contains two five-year renewal options. 9,480 square feet leased to the U.S. National Oceanic and Atmospheric Administration ("NOAA") will expire on September 13, 2040.</w:t>
      </w:r>
    </w:p>
    <w:p>
      <w:pPr>
        <w:pStyle w:val="TextBody"/>
        <w:bidi w:val="0"/>
        <w:spacing w:before="80" w:after="283"/>
        <w:jc w:val="left"/>
        <w:rPr>
          <w:rFonts w:ascii="Times New Roman" w:hAnsi="Times New Roman"/>
          <w:sz w:val="20"/>
        </w:rPr>
      </w:pPr>
      <w:r>
        <w:rPr>
          <w:rFonts w:ascii="Arial" w:hAnsi="Arial"/>
          <w:color w:val="404040"/>
          <w:sz w:val="11"/>
        </w:rPr>
        <w:t xml:space="preserve">(9) </w:t>
      </w:r>
      <w:r>
        <w:rPr>
          <w:rFonts w:ascii="Arial" w:hAnsi="Arial"/>
          <w:color w:val="404040"/>
          <w:sz w:val="16"/>
        </w:rPr>
        <w:t>237,118 square feet leased to the District of Columbia Government will expire on February 28, 2038 and contains one five-year renewal option. 16,096 square feet leased to three private tenants will expire between 2027-2031 and each contains renewal options</w:t>
      </w:r>
      <w:r>
        <w:rPr>
          <w:rFonts w:ascii="Arial" w:hAnsi="Arial"/>
          <w:color w:val="53565A"/>
          <w:sz w:val="16"/>
        </w:rPr>
        <w:t>. 26,327 square feet leased to the Internal Revenue Service ("IRS") will expire on December 21, 2029.</w:t>
      </w:r>
    </w:p>
    <w:p>
      <w:pPr>
        <w:pStyle w:val="TextBody"/>
        <w:bidi w:val="0"/>
        <w:spacing w:before="80" w:after="283"/>
        <w:jc w:val="left"/>
        <w:rPr>
          <w:rFonts w:ascii="Times New Roman" w:hAnsi="Times New Roman"/>
          <w:sz w:val="20"/>
        </w:rPr>
      </w:pPr>
      <w:r>
        <w:rPr>
          <w:rFonts w:ascii="Arial" w:hAnsi="Arial"/>
          <w:color w:val="404040"/>
          <w:sz w:val="11"/>
        </w:rPr>
        <w:t xml:space="preserve">(10) </w:t>
      </w:r>
      <w:r>
        <w:rPr>
          <w:rFonts w:ascii="Arial" w:hAnsi="Arial"/>
          <w:color w:val="53565A"/>
          <w:sz w:val="16"/>
        </w:rPr>
        <w:t>75,864 square feet leased to Wake County Public School System will expire on June 30, 2034 and contains two eight-year renewal options. 37,858 square feet leased to a private tenant will expire on December 31, 2027 and contains one five-year renewal option.</w:t>
      </w:r>
    </w:p>
    <w:p>
      <w:pPr>
        <w:pStyle w:val="TextBody"/>
        <w:bidi w:val="0"/>
        <w:spacing w:before="80" w:after="283"/>
        <w:jc w:val="left"/>
        <w:rPr>
          <w:rFonts w:ascii="Times New Roman" w:hAnsi="Times New Roman"/>
          <w:sz w:val="20"/>
        </w:rPr>
      </w:pPr>
      <w:r>
        <w:rPr>
          <w:rFonts w:ascii="Arial" w:hAnsi="Arial"/>
          <w:color w:val="53565A"/>
          <w:sz w:val="11"/>
        </w:rPr>
        <w:t>(11)</w:t>
      </w:r>
      <w:r>
        <w:rPr>
          <w:rFonts w:ascii="Times New Roman" w:hAnsi="Times New Roman"/>
          <w:color w:val="53565A"/>
          <w:sz w:val="20"/>
        </w:rPr>
        <w:t xml:space="preserve"> </w:t>
      </w:r>
      <w:r>
        <w:rPr>
          <w:rFonts w:ascii="Arial" w:hAnsi="Arial"/>
          <w:color w:val="53565A"/>
          <w:sz w:val="16"/>
        </w:rPr>
        <w:t>Lease contains two eight-year renewal options.</w:t>
      </w:r>
    </w:p>
    <w:p>
      <w:pPr>
        <w:pStyle w:val="TextBody"/>
        <w:bidi w:val="0"/>
        <w:spacing w:before="80" w:after="283"/>
        <w:jc w:val="left"/>
        <w:rPr>
          <w:rFonts w:ascii="Times New Roman" w:hAnsi="Times New Roman"/>
          <w:sz w:val="20"/>
        </w:rPr>
      </w:pPr>
      <w:r>
        <w:rPr>
          <w:rFonts w:ascii="Arial" w:hAnsi="Arial"/>
          <w:color w:val="404040"/>
          <w:sz w:val="11"/>
        </w:rPr>
        <w:t xml:space="preserve">(12) </w:t>
      </w:r>
      <w:r>
        <w:rPr>
          <w:rFonts w:ascii="Arial" w:hAnsi="Arial"/>
          <w:color w:val="404040"/>
          <w:sz w:val="16"/>
        </w:rPr>
        <w:t>124,066 square feet leased to three private tenants will expire between 2027-2031 and each contains renewal options.</w:t>
      </w:r>
      <w:r>
        <w:rPr>
          <w:rFonts w:ascii="Times New Roman" w:hAnsi="Times New Roman"/>
          <w:color w:val="404040"/>
          <w:sz w:val="20"/>
        </w:rPr>
        <w:t xml:space="preserve"> </w:t>
      </w:r>
    </w:p>
    <w:p>
      <w:pPr>
        <w:pStyle w:val="TextBody"/>
        <w:bidi w:val="0"/>
        <w:spacing w:before="80" w:after="283"/>
        <w:jc w:val="left"/>
        <w:rPr>
          <w:rFonts w:ascii="Times New Roman" w:hAnsi="Times New Roman"/>
          <w:sz w:val="20"/>
        </w:rPr>
      </w:pPr>
      <w:r>
        <w:rPr>
          <w:rFonts w:ascii="Arial" w:hAnsi="Arial"/>
          <w:color w:val="404040"/>
          <w:sz w:val="11"/>
        </w:rPr>
        <w:t xml:space="preserve">(13) </w:t>
      </w:r>
      <w:r>
        <w:rPr>
          <w:rFonts w:ascii="Arial" w:hAnsi="Arial"/>
          <w:color w:val="53565A"/>
          <w:sz w:val="16"/>
        </w:rPr>
        <w:t>The Company owns 53.0% of the property through an unconsolidated joint venture.</w:t>
      </w:r>
    </w:p>
    <w:p>
      <w:pPr>
        <w:pStyle w:val="TextBody"/>
        <w:bidi w:val="0"/>
        <w:spacing w:before="80" w:after="283"/>
        <w:jc w:val="left"/>
        <w:rPr>
          <w:rFonts w:ascii="Times New Roman" w:hAnsi="Times New Roman"/>
          <w:sz w:val="20"/>
        </w:rPr>
      </w:pPr>
      <w:r>
        <w:rPr>
          <w:rFonts w:ascii="Arial" w:hAnsi="Arial"/>
          <w:color w:val="53565A"/>
          <w:sz w:val="11"/>
        </w:rPr>
        <w:t>(14)</w:t>
      </w:r>
      <w:r>
        <w:rPr>
          <w:rFonts w:ascii="Times New Roman" w:hAnsi="Times New Roman"/>
          <w:color w:val="53565A"/>
          <w:sz w:val="20"/>
        </w:rPr>
        <w:t xml:space="preserve"> </w:t>
      </w:r>
      <w:r>
        <w:rPr>
          <w:rFonts w:ascii="Arial" w:hAnsi="Arial"/>
          <w:color w:val="53565A"/>
          <w:sz w:val="16"/>
        </w:rPr>
        <w:t>Asset is subject to a ground lease where the unconsolidated joint venture is the lessee.</w:t>
      </w:r>
    </w:p>
    <w:p>
      <w:pPr>
        <w:pStyle w:val="TextBody"/>
        <w:bidi w:val="0"/>
        <w:spacing w:before="240" w:after="283"/>
        <w:jc w:val="right"/>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tbl>
      <w:tblPr>
        <w:tblW w:w="5872" w:type="dxa"/>
        <w:jc w:val="left"/>
        <w:tblInd w:w="0" w:type="dxa"/>
        <w:tblLayout w:type="fixed"/>
        <w:tblCellMar>
          <w:top w:w="28" w:type="dxa"/>
          <w:left w:w="28" w:type="dxa"/>
          <w:bottom w:w="28" w:type="dxa"/>
          <w:right w:w="28" w:type="dxa"/>
        </w:tblCellMar>
      </w:tblPr>
      <w:tblGrid>
        <w:gridCol w:w="3386"/>
        <w:gridCol w:w="2486"/>
      </w:tblGrid>
      <w:tr>
        <w:trPr/>
        <w:tc>
          <w:tcPr>
            <w:tcW w:w="33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38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Tenants</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(As of June 30, 2026, unaudited)</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495425" cy="542925"/>
                          </a:xfrm>
                          <a:prstGeom prst="rect">
                            <a:avLst/>
                          </a:prstGeom>
                        </pic:spPr>
                      </pic:pic>
                    </a:graphicData>
                  </a:graphic>
                </wp:inline>
              </w:drawing>
            </w:r>
          </w:p>
        </w:tc>
      </w:tr>
      <w:tr>
        <w:trPr/>
        <w:tc>
          <w:tcPr>
            <w:tcW w:w="58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5"/>
        <w:gridCol w:w="146"/>
        <w:gridCol w:w="1112"/>
        <w:gridCol w:w="146"/>
        <w:gridCol w:w="1015"/>
        <w:gridCol w:w="146"/>
        <w:gridCol w:w="1041"/>
        <w:gridCol w:w="146"/>
        <w:gridCol w:w="1169"/>
        <w:gridCol w:w="146"/>
        <w:gridCol w:w="1053"/>
      </w:tblGrid>
      <w:tr>
        <w:trPr/>
        <w:tc>
          <w:tcPr>
            <w:tcW w:w="4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4085"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Tenant</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Weighted</w:t>
              <w:br/>
              <w:t>Average</w:t>
              <w:br/>
              <w:t>Remaining</w:t>
              <w:br/>
              <w:t>Lease Term</w:t>
            </w:r>
            <w:r>
              <w:rPr>
                <w:rFonts w:ascii="Arial" w:hAnsi="Arial"/>
                <w:b/>
                <w:color w:val="000000"/>
                <w:sz w:val="11"/>
              </w:rPr>
              <w:t>(1)</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Leased</w:t>
              <w:br/>
              <w:t>Square Feet</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pPr>
            <w:r>
              <w:rPr/>
              <w:t> </w:t>
            </w:r>
          </w:p>
        </w:tc>
        <w:tc>
          <w:tcPr>
            <w:tcW w:w="1041"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br/>
              <w:t>of Leased</w:t>
              <w:br/>
              <w:t>Square Feet</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 Income</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br/>
              <w:t>of Total</w:t>
              <w:br/>
              <w:t>Annualized</w:t>
              <w:br/>
              <w:t>Lease</w:t>
              <w:br/>
              <w:t>Income</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5"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Government</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Department of Veteran Affairs ("VA")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2,251,131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$97,425,391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Bureau of Investigation ("FBI")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1,498,607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55,341,407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Drug Enforcement Administration ("DEA")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28,983,625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Judiciary of the U.S. ("JUD")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17,056,685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Food and Drug Administration ("FDA")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16,376,303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Citizenship and Immigration Services ("USCIS")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16,204,285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Immigration and Customs Enforcement ("ICE")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15,123,581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Internal Revenue Service ("IRS")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359,661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12,027,807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Environmental Protection Agency ("EPA")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9,402,980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Joint Staff Command ("JSC")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8,632,697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Aviation Administration ("FAA")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7,925,559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Bureau of the Fiscal Service ("BFS")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7,082,220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Social Security Administration ("SSA")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5,710,875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Patent and Trademark Office ("PTO")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5,333,993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Emergency Management Agency ("FEMA")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4,668,336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Attorney Office ("USAO")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4,174,297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Department of Transportation ("DOT")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3,610,074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Forest Service ("USFS")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3,526,118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Customs and Border Protection ("CBP")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3,274,539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National Archives and Records Administration ("NARA")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2,684,946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National Weather Service ("NWS")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2,180,190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Department of Agriculture ("USDA")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1,891,647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National Park Service ("NPS")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Coast Guard ("USCG")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1,646,454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National Oceanic and Atmospheric Administration ("NOAA")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1,417,212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Transportation Security Administration ("TSA")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1,180,378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Homeland Security Investigations ("HSI")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1,123,185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 Business Administration ("SBA")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Army Corps of Engineers ("ACOE")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972,322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Services Administration -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840,955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r>
      <w:tr>
        <w:trPr/>
        <w:tc>
          <w:tcPr>
            <w:tcW w:w="40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Bureau of Alcohol, Tobacco, Firearms and Explosives ("ATF")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r>
    </w:tbl>
    <w:p>
      <w:pPr>
        <w:pStyle w:val="TextBody"/>
        <w:bidi w:val="0"/>
        <w:jc w:val="left"/>
        <w:rPr/>
      </w:pPr>
      <w:bookmarkStart w:id="18" w:name="tenants"/>
      <w:bookmarkEnd w:id="18"/>
      <w:r>
        <w:rPr/>
        <w:t> </w:t>
      </w:r>
    </w:p>
    <w:p>
      <w:pPr>
        <w:pStyle w:val="TextBody"/>
        <w:bidi w:val="0"/>
        <w:spacing w:before="240" w:after="283"/>
        <w:jc w:val="right"/>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tbl>
      <w:tblPr>
        <w:tblW w:w="5872" w:type="dxa"/>
        <w:jc w:val="left"/>
        <w:tblInd w:w="0" w:type="dxa"/>
        <w:tblLayout w:type="fixed"/>
        <w:tblCellMar>
          <w:top w:w="28" w:type="dxa"/>
          <w:left w:w="28" w:type="dxa"/>
          <w:bottom w:w="28" w:type="dxa"/>
          <w:right w:w="28" w:type="dxa"/>
        </w:tblCellMar>
      </w:tblPr>
      <w:tblGrid>
        <w:gridCol w:w="3386"/>
        <w:gridCol w:w="2486"/>
      </w:tblGrid>
      <w:tr>
        <w:trPr/>
        <w:tc>
          <w:tcPr>
            <w:tcW w:w="33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38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Tenants (Cont.)</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(As of June 30, 2026, unaudited)</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495425" cy="542925"/>
                          </a:xfrm>
                          <a:prstGeom prst="rect">
                            <a:avLst/>
                          </a:prstGeom>
                        </pic:spPr>
                      </pic:pic>
                    </a:graphicData>
                  </a:graphic>
                </wp:inline>
              </w:drawing>
            </w:r>
          </w:p>
        </w:tc>
      </w:tr>
      <w:tr>
        <w:trPr/>
        <w:tc>
          <w:tcPr>
            <w:tcW w:w="58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92"/>
        <w:gridCol w:w="146"/>
        <w:gridCol w:w="1136"/>
        <w:gridCol w:w="146"/>
        <w:gridCol w:w="1047"/>
        <w:gridCol w:w="146"/>
        <w:gridCol w:w="1049"/>
        <w:gridCol w:w="146"/>
        <w:gridCol w:w="1198"/>
        <w:gridCol w:w="146"/>
        <w:gridCol w:w="1053"/>
      </w:tblGrid>
      <w:tr>
        <w:trPr/>
        <w:tc>
          <w:tcPr>
            <w:tcW w:w="3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992"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Tenant</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Weighted</w:t>
              <w:br/>
              <w:t>Average</w:t>
              <w:br/>
              <w:t>Remaining</w:t>
              <w:br/>
              <w:t>Lease Term</w:t>
            </w:r>
            <w:r>
              <w:rPr>
                <w:rFonts w:ascii="Arial" w:hAnsi="Arial"/>
                <w:b/>
                <w:color w:val="000000"/>
                <w:sz w:val="11"/>
              </w:rPr>
              <w:t>(1)</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Leased</w:t>
              <w:br/>
              <w:t>Square Feet</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br/>
              <w:t>of Leased</w:t>
              <w:br/>
              <w:t>Square Feet</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 Income</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br/>
              <w:t>of Total</w:t>
              <w:br/>
              <w:t>Annualized</w:t>
              <w:br/>
              <w:t>Lease</w:t>
              <w:br/>
              <w:t>Income</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2"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U.S. Government (Cont.)</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E7E6E6"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Department of Energy ("DOE")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Federal Energy Regulatory Commission ("FERC")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Probation Office ("USPO")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 Marshals Service ("USMS")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Department of Labor ("DOL")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w:t>
            </w:r>
          </w:p>
        </w:tc>
      </w:tr>
      <w:tr>
        <w:trPr/>
        <w:tc>
          <w:tcPr>
            <w:tcW w:w="3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9,083,330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$340,238,563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86.3%</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2"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State and Local Government</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District of Columbia 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$15,150,064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Wake County Public Schools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7,547,846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Commonwealth of Virginia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173,647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4,199,590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State of New Mexico Health Care Authority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81,423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2,343,773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State of California Employee Development Department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2,296,631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State of California Department of Industrial Relations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1,067,748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New York State Court of Claims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377,008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r>
      <w:tr>
        <w:trPr/>
        <w:tc>
          <w:tcPr>
            <w:tcW w:w="3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852,284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$32,982,660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8.4%</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2" w:type="dxa"/>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Private Tenants</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E7E6E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Northrop Grumman Systems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$4,956,698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York Space Systems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4,719,587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Private Tenants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2,586,395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ChemTreat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Caremark,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1,241,399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Jacobs Engineering Group,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1,129,539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Intercontinental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Pate Rehabilitation Endeavors,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862,947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HUB International Midwest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844,637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Saint Luke's Health System,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748,217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University of Central Missouri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467,945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Lummus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410,164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r>
      <w:tr>
        <w:trPr/>
        <w:tc>
          <w:tcPr>
            <w:tcW w:w="3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793,273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$20,796,303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5.3%</w:t>
            </w:r>
          </w:p>
        </w:tc>
      </w:tr>
      <w:tr>
        <w:trPr/>
        <w:tc>
          <w:tcPr>
            <w:tcW w:w="3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 Weighted Average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10,728,887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$394,017,526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53565A"/>
          <w:sz w:val="11"/>
        </w:rPr>
        <w:t xml:space="preserve">(1) </w:t>
      </w:r>
      <w:r>
        <w:rPr>
          <w:rFonts w:ascii="Arial" w:hAnsi="Arial"/>
          <w:color w:val="53565A"/>
          <w:sz w:val="16"/>
        </w:rPr>
        <w:t>Weighted based on leased square feet.</w:t>
      </w:r>
    </w:p>
    <w:p>
      <w:pPr>
        <w:pStyle w:val="TextBody"/>
        <w:bidi w:val="0"/>
        <w:jc w:val="left"/>
        <w:rPr/>
      </w:pPr>
      <w:r>
        <w:rPr/>
        <w:t> </w:t>
      </w:r>
    </w:p>
    <w:p>
      <w:pPr>
        <w:pStyle w:val="TextBody"/>
        <w:bidi w:val="0"/>
        <w:spacing w:before="240" w:after="283"/>
        <w:jc w:val="right"/>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tbl>
      <w:tblPr>
        <w:tblW w:w="5872" w:type="dxa"/>
        <w:jc w:val="left"/>
        <w:tblInd w:w="0" w:type="dxa"/>
        <w:tblLayout w:type="fixed"/>
        <w:tblCellMar>
          <w:top w:w="28" w:type="dxa"/>
          <w:left w:w="28" w:type="dxa"/>
          <w:bottom w:w="28" w:type="dxa"/>
          <w:right w:w="28" w:type="dxa"/>
        </w:tblCellMar>
      </w:tblPr>
      <w:tblGrid>
        <w:gridCol w:w="3386"/>
        <w:gridCol w:w="2486"/>
      </w:tblGrid>
      <w:tr>
        <w:trPr/>
        <w:tc>
          <w:tcPr>
            <w:tcW w:w="33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38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Lease Expirations</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(As of June 30, 2026, unaudited)</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495425" cy="542925"/>
                          </a:xfrm>
                          <a:prstGeom prst="rect">
                            <a:avLst/>
                          </a:prstGeom>
                        </pic:spPr>
                      </pic:pic>
                    </a:graphicData>
                  </a:graphic>
                </wp:inline>
              </w:drawing>
            </w:r>
          </w:p>
        </w:tc>
      </w:tr>
      <w:tr>
        <w:trPr/>
        <w:tc>
          <w:tcPr>
            <w:tcW w:w="58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19" w:name="lease_expirations"/>
      <w:bookmarkEnd w:id="19"/>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2"/>
        <w:gridCol w:w="146"/>
        <w:gridCol w:w="912"/>
        <w:gridCol w:w="146"/>
        <w:gridCol w:w="1150"/>
        <w:gridCol w:w="146"/>
        <w:gridCol w:w="1470"/>
        <w:gridCol w:w="146"/>
        <w:gridCol w:w="1164"/>
        <w:gridCol w:w="146"/>
        <w:gridCol w:w="1299"/>
        <w:gridCol w:w="146"/>
        <w:gridCol w:w="1562"/>
      </w:tblGrid>
      <w:tr>
        <w:trPr/>
        <w:tc>
          <w:tcPr>
            <w:tcW w:w="1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1772"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Arial" w:hAnsi="Arial"/>
                <w:b/>
                <w:color w:val="000000"/>
                <w:sz w:val="16"/>
              </w:rPr>
              <w:t xml:space="preserve">Year of Lease Expiration </w:t>
            </w:r>
            <w:r>
              <w:rPr>
                <w:rFonts w:ascii="Arial" w:hAnsi="Arial"/>
                <w:b/>
                <w:color w:val="000000"/>
                <w:sz w:val="11"/>
              </w:rPr>
              <w:t>(1)</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Number of </w:t>
              <w:br/>
              <w:t xml:space="preserve">Leases </w:t>
              <w:br/>
              <w:t>Expiring</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Leased Square</w:t>
              <w:br/>
              <w:t>Footage</w:t>
              <w:br/>
              <w:t>Expiring</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470"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 of</w:t>
              <w:br/>
              <w:t>Total Leased Square</w:t>
              <w:br/>
              <w:t>Footage</w:t>
              <w:br/>
              <w:t>Expiring</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164"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Annualized </w:t>
              <w:br/>
              <w:t>Lease Income</w:t>
              <w:br/>
              <w:t>Expiring</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299"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Percentage of</w:t>
              <w:br/>
              <w:t>Total</w:t>
            </w:r>
            <w:r>
              <w:rPr>
                <w:rFonts w:ascii="Times New Roman" w:hAnsi="Times New Roman"/>
                <w:color w:val="000000"/>
                <w:sz w:val="16"/>
              </w:rPr>
              <w:t xml:space="preserve"> </w:t>
            </w:r>
            <w:r>
              <w:rPr>
                <w:rFonts w:ascii="Arial" w:hAnsi="Arial"/>
                <w:b/>
                <w:color w:val="000000"/>
                <w:sz w:val="16"/>
              </w:rPr>
              <w:t>Annualized</w:t>
              <w:br/>
              <w:t>Lease Income</w:t>
              <w:br/>
              <w:t>Expiring</w:t>
            </w:r>
          </w:p>
        </w:tc>
        <w:tc>
          <w:tcPr>
            <w:tcW w:w="146"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pPr>
            <w:r>
              <w:rPr/>
              <w:t> </w:t>
            </w:r>
          </w:p>
        </w:tc>
        <w:tc>
          <w:tcPr>
            <w:tcW w:w="1562" w:type="dxa"/>
            <w:tcBorders>
              <w:bottom w:val="single" w:sz="4" w:space="0" w:color="2B4B86"/>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Annualized</w:t>
              <w:br/>
              <w:t>Lease Income</w:t>
              <w:br/>
              <w:t>per Leased</w:t>
              <w:br/>
              <w:t>Square Foot Expiring</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344,916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$13,759,566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$39.89</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20,870,925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36.45</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905,036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22,229,969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24.56</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757,363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24,856,952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32.82</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2,657,995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27.72</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18,102,846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33.96</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712,188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22,269,734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31.27</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570,028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22,447,666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39.38</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635,293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24,443,778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38.48</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17,538,461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39.82</w:t>
            </w:r>
          </w:p>
        </w:tc>
      </w:tr>
      <w:tr>
        <w:trPr/>
        <w:tc>
          <w:tcPr>
            <w:tcW w:w="1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5,162,018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204,839,634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39.68</w:t>
            </w:r>
          </w:p>
        </w:tc>
      </w:tr>
      <w:tr>
        <w:trPr/>
        <w:tc>
          <w:tcPr>
            <w:tcW w:w="1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 / Weighted Average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10,728,887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$394,017,526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$36.72</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53565A"/>
          <w:sz w:val="11"/>
        </w:rPr>
        <w:t xml:space="preserve">(1) </w:t>
      </w:r>
      <w:r>
        <w:rPr>
          <w:rFonts w:ascii="Arial" w:hAnsi="Arial"/>
          <w:color w:val="53565A"/>
          <w:sz w:val="16"/>
        </w:rPr>
        <w:t>The year of lease expiration is pursuant to current contract terms. Some U.S. government tenants have the right to vacate their space during a specified period, or "soft term," before the stated terms of their leases expire. As of June 30, 2026, eight U.S. government tenants occupying approximately 4.0% of our leased square feet and contributing approximately 4.3% of our annualized lease income are currently operating under lease provisions that allow them to exercise their right to terminate their lease before the stated term of their respective lease expires.</w:t>
      </w:r>
    </w:p>
    <w:p>
      <w:pPr>
        <w:pStyle w:val="TextBody"/>
        <w:bidi w:val="0"/>
        <w:spacing w:before="240" w:after="283"/>
        <w:jc w:val="right"/>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tbl>
      <w:tblPr>
        <w:tblW w:w="5872" w:type="dxa"/>
        <w:jc w:val="left"/>
        <w:tblInd w:w="0" w:type="dxa"/>
        <w:tblLayout w:type="fixed"/>
        <w:tblCellMar>
          <w:top w:w="28" w:type="dxa"/>
          <w:left w:w="28" w:type="dxa"/>
          <w:bottom w:w="28" w:type="dxa"/>
          <w:right w:w="28" w:type="dxa"/>
        </w:tblCellMar>
      </w:tblPr>
      <w:tblGrid>
        <w:gridCol w:w="3386"/>
        <w:gridCol w:w="2486"/>
      </w:tblGrid>
      <w:tr>
        <w:trPr/>
        <w:tc>
          <w:tcPr>
            <w:tcW w:w="33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38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Lease Expirations</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(As of June 30, 2026, unaudited)</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495425" cy="542925"/>
                          </a:xfrm>
                          <a:prstGeom prst="rect">
                            <a:avLst/>
                          </a:prstGeom>
                        </pic:spPr>
                      </pic:pic>
                    </a:graphicData>
                  </a:graphic>
                </wp:inline>
              </w:drawing>
            </w:r>
          </w:p>
        </w:tc>
      </w:tr>
      <w:tr>
        <w:trPr/>
        <w:tc>
          <w:tcPr>
            <w:tcW w:w="58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drawing>
          <wp:inline distT="0" distB="0" distL="0" distR="0">
            <wp:extent cx="9144000" cy="34766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3476625"/>
                    </a:xfrm>
                    <a:prstGeom prst="rect">
                      <a:avLst/>
                    </a:prstGeom>
                  </pic:spPr>
                </pic:pic>
              </a:graphicData>
            </a:graphic>
          </wp:inline>
        </w:drawing>
      </w:r>
    </w:p>
    <w:p>
      <w:pPr>
        <w:pStyle w:val="TextBody"/>
        <w:bidi w:val="0"/>
        <w:spacing w:before="240" w:after="283"/>
        <w:jc w:val="right"/>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tbl>
      <w:tblPr>
        <w:tblW w:w="9172" w:type="dxa"/>
        <w:jc w:val="left"/>
        <w:tblInd w:w="0" w:type="dxa"/>
        <w:tblLayout w:type="fixed"/>
        <w:tblCellMar>
          <w:top w:w="28" w:type="dxa"/>
          <w:left w:w="28" w:type="dxa"/>
          <w:bottom w:w="28" w:type="dxa"/>
          <w:right w:w="28" w:type="dxa"/>
        </w:tblCellMar>
      </w:tblPr>
      <w:tblGrid>
        <w:gridCol w:w="6686"/>
        <w:gridCol w:w="2486"/>
      </w:tblGrid>
      <w:tr>
        <w:trPr/>
        <w:tc>
          <w:tcPr>
            <w:tcW w:w="66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686" w:type="dxa"/>
            <w:tcBorders/>
            <w:tcMar>
              <w:top w:w="0" w:type="dxa"/>
              <w:left w:w="0" w:type="dxa"/>
              <w:bottom w:w="0" w:type="dxa"/>
              <w:right w:w="0" w:type="dxa"/>
            </w:tcMar>
            <w:vAlign w:val="center"/>
          </w:tcPr>
          <w:p>
            <w:pPr>
              <w:pStyle w:val="TableContents"/>
              <w:bidi w:val="0"/>
              <w:ind w:left="0" w:right="0" w:firstLine="100"/>
              <w:jc w:val="left"/>
              <w:rPr>
                <w:rFonts w:ascii="Arial" w:hAnsi="Arial"/>
                <w:color w:val="2B4B86"/>
                <w:sz w:val="36"/>
              </w:rPr>
            </w:pPr>
            <w:r>
              <w:rPr>
                <w:rFonts w:ascii="Arial" w:hAnsi="Arial"/>
                <w:color w:val="2B4B86"/>
                <w:sz w:val="36"/>
              </w:rPr>
              <w:t>Summary of Re/Development Projects</w:t>
            </w:r>
          </w:p>
          <w:p>
            <w:pPr>
              <w:pStyle w:val="TableContents"/>
              <w:bidi w:val="0"/>
              <w:spacing w:before="0" w:after="283"/>
              <w:ind w:left="0" w:right="0" w:firstLine="100"/>
              <w:jc w:val="left"/>
              <w:rPr>
                <w:rFonts w:ascii="Arial" w:hAnsi="Arial"/>
                <w:color w:val="2B4B86"/>
                <w:sz w:val="22"/>
              </w:rPr>
            </w:pPr>
            <w:r>
              <w:rPr>
                <w:rFonts w:ascii="Arial" w:hAnsi="Arial"/>
                <w:color w:val="2B4B86"/>
                <w:sz w:val="22"/>
              </w:rPr>
              <w:t>(As of June 30, 2026, unaudited, in thousands, except square feet)</w:t>
            </w:r>
          </w:p>
        </w:tc>
        <w:tc>
          <w:tcPr>
            <w:tcW w:w="248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495425" cy="5429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495425" cy="542925"/>
                          </a:xfrm>
                          <a:prstGeom prst="rect">
                            <a:avLst/>
                          </a:prstGeom>
                        </pic:spPr>
                      </pic:pic>
                    </a:graphicData>
                  </a:graphic>
                </wp:inline>
              </w:drawing>
            </w:r>
          </w:p>
        </w:tc>
      </w:tr>
      <w:tr>
        <w:trPr/>
        <w:tc>
          <w:tcPr>
            <w:tcW w:w="9172" w:type="dxa"/>
            <w:gridSpan w:val="2"/>
            <w:tcBorders>
              <w:bottom w:val="single" w:sz="18" w:space="0" w:color="53565A"/>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bookmarkStart w:id="20" w:name="development"/>
      <w:bookmarkEnd w:id="20"/>
      <w:r>
        <w:rPr/>
        <w:t> </w:t>
      </w:r>
    </w:p>
    <w:tbl>
      <w:tblPr>
        <w:tblW w:w="10657" w:type="dxa"/>
        <w:jc w:val="left"/>
        <w:tblInd w:w="0" w:type="dxa"/>
        <w:tblLayout w:type="fixed"/>
        <w:tblCellMar>
          <w:top w:w="28" w:type="dxa"/>
          <w:left w:w="28" w:type="dxa"/>
          <w:bottom w:w="28" w:type="dxa"/>
          <w:right w:w="28" w:type="dxa"/>
        </w:tblCellMar>
      </w:tblPr>
      <w:tblGrid>
        <w:gridCol w:w="856"/>
        <w:gridCol w:w="146"/>
        <w:gridCol w:w="811"/>
        <w:gridCol w:w="146"/>
        <w:gridCol w:w="961"/>
        <w:gridCol w:w="146"/>
        <w:gridCol w:w="691"/>
        <w:gridCol w:w="146"/>
        <w:gridCol w:w="571"/>
        <w:gridCol w:w="146"/>
        <w:gridCol w:w="1366"/>
        <w:gridCol w:w="146"/>
        <w:gridCol w:w="1366"/>
        <w:gridCol w:w="146"/>
        <w:gridCol w:w="1411"/>
        <w:gridCol w:w="146"/>
        <w:gridCol w:w="1456"/>
      </w:tblGrid>
      <w:tr>
        <w:trPr/>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0657" w:type="dxa"/>
            <w:gridSpan w:val="17"/>
            <w:tcBorders/>
            <w:shd w:fill="E7E6E6"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b/>
                <w:color w:val="000000"/>
                <w:sz w:val="16"/>
              </w:rPr>
              <w:t xml:space="preserve">Projects Under Construction </w:t>
            </w:r>
            <w:r>
              <w:rPr>
                <w:rFonts w:ascii="Arial" w:hAnsi="Arial"/>
                <w:b/>
                <w:color w:val="000000"/>
                <w:sz w:val="11"/>
              </w:rPr>
              <w:t>(1)</w:t>
            </w:r>
          </w:p>
        </w:tc>
      </w:tr>
      <w:tr>
        <w:trPr/>
        <w:tc>
          <w:tcPr>
            <w:tcW w:w="85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Name</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Location</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Type</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Leased Square Feet</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Lease Term</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 to Date</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Anticipated Lump-Sum Reimbursement </w:t>
            </w:r>
            <w:r>
              <w:rPr>
                <w:rFonts w:ascii="Arial" w:hAnsi="Arial"/>
                <w:b/>
                <w:color w:val="000000"/>
                <w:sz w:val="11"/>
              </w:rPr>
              <w:t>(2)</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Anticipated Completion Date</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Anticipated Lease Commencement</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FL - Fort Myers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Fort Myers, 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Laboratory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64,000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25-Year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4Q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4Q 2026</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 - Flagstaff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Flagstaff, 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Courthouse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50,777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1Q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1Q 2027</w:t>
            </w:r>
          </w:p>
        </w:tc>
      </w:tr>
      <w:tr>
        <w:trPr/>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JUD - Medford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Medford, 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Courthouse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40,035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1H 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1H 2028</w:t>
            </w:r>
          </w:p>
        </w:tc>
      </w:tr>
      <w:tr>
        <w:trPr/>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154,812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$99,314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$53,324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55" w:type="dxa"/>
            <w:gridSpan w:val="15"/>
            <w:tcBorders/>
            <w:shd w:fill="E7E6E6"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Projects Previously Completed with Outstanding Lump-Sum Reimbursements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Name</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Location</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Property Type</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Leased Square Feet</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Lease Term</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Outstanding Lump-Sum Reimbursement </w:t>
            </w:r>
            <w:r>
              <w:rPr>
                <w:rFonts w:ascii="Arial" w:hAnsi="Arial"/>
                <w:b/>
                <w:color w:val="000000"/>
                <w:sz w:val="11"/>
              </w:rPr>
              <w:t>(2)</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Completion Date</w:t>
            </w:r>
          </w:p>
        </w:tc>
        <w:tc>
          <w:tcPr>
            <w:tcW w:w="146"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18" w:space="0" w:color="003399"/>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Lease Commencement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FDA - Atlanta </w:t>
            </w:r>
            <w:r>
              <w:rPr>
                <w:rFonts w:ascii="Arial" w:hAnsi="Arial"/>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Atlanta, GA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Laboratory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162,000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20-Year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4Q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4Q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53565A"/>
          <w:sz w:val="11"/>
        </w:rPr>
        <w:t xml:space="preserve">(1) </w:t>
      </w:r>
      <w:r>
        <w:rPr>
          <w:rFonts w:ascii="Arial" w:hAnsi="Arial"/>
          <w:color w:val="53565A"/>
          <w:sz w:val="16"/>
        </w:rPr>
        <w:t>Includes properties under construction for which design is complete.</w:t>
      </w:r>
    </w:p>
    <w:p>
      <w:pPr>
        <w:pStyle w:val="TextBody"/>
        <w:bidi w:val="0"/>
        <w:spacing w:before="80" w:after="283"/>
        <w:jc w:val="left"/>
        <w:rPr>
          <w:rFonts w:ascii="Times New Roman" w:hAnsi="Times New Roman"/>
          <w:sz w:val="20"/>
        </w:rPr>
      </w:pPr>
      <w:r>
        <w:rPr>
          <w:rFonts w:ascii="Arial" w:hAnsi="Arial"/>
          <w:color w:val="53565A"/>
          <w:sz w:val="11"/>
        </w:rPr>
        <w:t xml:space="preserve">(2) </w:t>
      </w:r>
      <w:r>
        <w:rPr>
          <w:rFonts w:ascii="Arial" w:hAnsi="Arial"/>
          <w:color w:val="53565A"/>
          <w:sz w:val="16"/>
        </w:rPr>
        <w:t>Includes reimbursement of lump-sum tenant improvement costs and development fees.</w:t>
      </w:r>
    </w:p>
    <w:p>
      <w:pPr>
        <w:pStyle w:val="TextBody"/>
        <w:bidi w:val="0"/>
        <w:spacing w:before="80" w:after="283"/>
        <w:jc w:val="left"/>
        <w:rPr>
          <w:rFonts w:ascii="Times New Roman" w:hAnsi="Times New Roman"/>
          <w:sz w:val="20"/>
        </w:rPr>
      </w:pPr>
      <w:r>
        <w:rPr>
          <w:rFonts w:ascii="Arial" w:hAnsi="Arial"/>
          <w:color w:val="53565A"/>
          <w:sz w:val="11"/>
        </w:rPr>
        <w:t xml:space="preserve">(3) </w:t>
      </w:r>
      <w:r>
        <w:rPr>
          <w:rFonts w:ascii="Arial" w:hAnsi="Arial"/>
          <w:color w:val="53565A"/>
          <w:sz w:val="16"/>
        </w:rPr>
        <w:t>Includes projects in the design phase for which project scope is not fully determined.</w:t>
      </w:r>
      <w:r>
        <w:rPr>
          <w:rFonts w:ascii="Times New Roman" w:hAnsi="Times New Roman"/>
          <w:color w:val="53565A"/>
          <w:sz w:val="20"/>
        </w:rPr>
        <w:t xml:space="preserve"> </w:t>
      </w:r>
    </w:p>
    <w:p>
      <w:pPr>
        <w:pStyle w:val="TextBody"/>
        <w:bidi w:val="0"/>
        <w:spacing w:before="80" w:after="283"/>
        <w:jc w:val="left"/>
        <w:rPr>
          <w:rFonts w:ascii="Times New Roman" w:hAnsi="Times New Roman"/>
          <w:sz w:val="20"/>
        </w:rPr>
      </w:pPr>
      <w:r>
        <w:rPr>
          <w:rFonts w:ascii="Arial" w:hAnsi="Arial"/>
          <w:color w:val="53565A"/>
          <w:sz w:val="11"/>
        </w:rPr>
        <w:t xml:space="preserve">(4) </w:t>
      </w:r>
      <w:r>
        <w:rPr>
          <w:rFonts w:ascii="Arial" w:hAnsi="Arial"/>
          <w:color w:val="53565A"/>
          <w:sz w:val="16"/>
        </w:rPr>
        <w:t>Total lump sum reimbursements received for the project as of June 30, 2026 are $150.7 million.</w:t>
      </w:r>
    </w:p>
    <w:p>
      <w:pPr>
        <w:pStyle w:val="TextBody"/>
        <w:bidi w:val="0"/>
        <w:spacing w:before="240" w:after="283"/>
        <w:jc w:val="right"/>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image" Target="media/image3.jpeg"/><Relationship Id="rId15" Type="http://schemas.openxmlformats.org/officeDocument/2006/relationships/image" Target="media/image3.jpeg"/><Relationship Id="rId16" Type="http://schemas.openxmlformats.org/officeDocument/2006/relationships/image" Target="media/image3.jpeg"/><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4.gif"/><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3.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5.gif"/><Relationship Id="rId39" Type="http://schemas.openxmlformats.org/officeDocument/2006/relationships/image" Target="media/image3.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12534</Words>
  <Characters>69215</Characters>
  <CharactersWithSpaces>83207</CharactersWithSpaces>
  <Paragraphs>8473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