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28, 2026</w:t>
      </w:r>
    </w:p>
    <w:p>
      <w:pPr>
        <w:spacing w:after="0" w:line="2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6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Easterly Government Properties,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198"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200" w:type="dxa"/>
            <w:vAlign w:val="bottom"/>
          </w:tcPr>
          <w:p>
            <w:pPr>
              <w:jc w:val="center"/>
              <w:ind w:right="179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80" w:type="dxa"/>
            <w:vAlign w:val="bottom"/>
          </w:tcPr>
          <w:p>
            <w:pPr>
              <w:jc w:val="center"/>
              <w:ind w:left="1771"/>
              <w:spacing w:after="0"/>
              <w:rPr>
                <w:sz w:val="20"/>
                <w:szCs w:val="20"/>
                <w:color w:val="auto"/>
              </w:rPr>
            </w:pPr>
            <w:r>
              <w:rPr>
                <w:rFonts w:ascii="Times New Roman" w:cs="Times New Roman" w:eastAsia="Times New Roman" w:hAnsi="Times New Roman"/>
                <w:sz w:val="18"/>
                <w:szCs w:val="18"/>
                <w:b w:val="1"/>
                <w:bCs w:val="1"/>
                <w:color w:val="auto"/>
                <w:w w:val="98"/>
              </w:rPr>
              <w:t>47-2047728</w:t>
            </w:r>
          </w:p>
        </w:tc>
      </w:tr>
      <w:tr>
        <w:trPr>
          <w:trHeight w:val="214"/>
        </w:trPr>
        <w:tc>
          <w:tcPr>
            <w:tcW w:w="4200" w:type="dxa"/>
            <w:vAlign w:val="bottom"/>
          </w:tcPr>
          <w:p>
            <w:pPr>
              <w:jc w:val="center"/>
              <w:ind w:right="179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r>
      <w:tr>
        <w:trPr>
          <w:trHeight w:val="237"/>
        </w:trPr>
        <w:tc>
          <w:tcPr>
            <w:tcW w:w="4200" w:type="dxa"/>
            <w:vAlign w:val="bottom"/>
          </w:tcPr>
          <w:p>
            <w:pPr>
              <w:jc w:val="center"/>
              <w:ind w:right="179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328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2001 K Street NW, Suite 775 North</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20006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EASTERLY GOVERNMENT PROPERTIES, INC. 2024 EQUITY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9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Darrell W. Crate</w:t>
      </w:r>
    </w:p>
    <w:p>
      <w:pPr>
        <w:spacing w:after="0" w:line="30"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2001 K Street NW, Suite 775 North</w:t>
      </w:r>
    </w:p>
    <w:p>
      <w:pPr>
        <w:spacing w:after="0" w:line="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20006</w:t>
      </w:r>
    </w:p>
    <w:p>
      <w:pPr>
        <w:spacing w:after="0" w:line="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(202) 595-9500</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ind w:left="37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w:t>
      </w:r>
    </w:p>
    <w:p>
      <w:pPr>
        <w:spacing w:after="0" w:line="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Mark S. Opper</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William T. Goldberg</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Caitlin R. Tompkins</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100 Northern Avenue</w:t>
      </w:r>
    </w:p>
    <w:p>
      <w:pPr>
        <w:spacing w:after="0" w:line="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7" w:lineRule="exact"/>
        <w:rPr>
          <w:sz w:val="24"/>
          <w:szCs w:val="24"/>
          <w:color w:val="auto"/>
        </w:rPr>
      </w:pPr>
    </w:p>
    <w:p>
      <w:pPr>
        <w:ind w:left="5500" w:hanging="432"/>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570-1000</w:t>
      </w:r>
    </w:p>
    <w:p>
      <w:pPr>
        <w:spacing w:after="0" w:line="6" w:lineRule="exact"/>
        <w:rPr>
          <w:rFonts w:ascii="Times New Roman" w:cs="Times New Roman" w:eastAsia="Times New Roman" w:hAnsi="Times New Roman"/>
          <w:sz w:val="18"/>
          <w:szCs w:val="18"/>
          <w:b w:val="1"/>
          <w:bCs w:val="1"/>
          <w:color w:val="auto"/>
        </w:rPr>
      </w:pPr>
    </w:p>
    <w:p>
      <w:pPr>
        <w:ind w:left="3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__________________________________________</w:t>
      </w:r>
    </w:p>
    <w:p>
      <w:pPr>
        <w:spacing w:after="0" w:line="95" w:lineRule="exact"/>
        <w:rPr>
          <w:sz w:val="24"/>
          <w:szCs w:val="24"/>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1061720</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06"/>
        </w:trPr>
        <w:tc>
          <w:tcPr>
            <w:tcW w:w="3240" w:type="dxa"/>
            <w:vAlign w:val="bottom"/>
          </w:tcPr>
          <w:p>
            <w:pPr>
              <w:spacing w:after="0"/>
              <w:rPr>
                <w:sz w:val="24"/>
                <w:szCs w:val="24"/>
                <w:color w:val="auto"/>
              </w:rPr>
            </w:pPr>
          </w:p>
        </w:tc>
        <w:tc>
          <w:tcPr>
            <w:tcW w:w="1980" w:type="dxa"/>
            <w:vAlign w:val="bottom"/>
            <w:vMerge w:val="restart"/>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vMerge w:val="restart"/>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1120775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404"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240" w:firstLine="374"/>
        <w:spacing w:after="0" w:line="253" w:lineRule="auto"/>
        <w:rPr>
          <w:sz w:val="20"/>
          <w:szCs w:val="20"/>
          <w:color w:val="auto"/>
        </w:rPr>
      </w:pPr>
      <w:r>
        <w:rPr>
          <w:rFonts w:ascii="Times New Roman" w:cs="Times New Roman" w:eastAsia="Times New Roman" w:hAnsi="Times New Roman"/>
          <w:sz w:val="18"/>
          <w:szCs w:val="18"/>
          <w:color w:val="auto"/>
        </w:rPr>
        <w:t>Easterly Government Properties, Inc. (the “Company”) previously filed a Registration Statement on Form S-8 with the Securities and Exchange Commission (the “Commission”) on May 30, 2024 (File No. 333-279838) (the “Original Filing”) in connection with the Easterly Government Properties, Inc. 2024 Equity Incentive Plan (the “Plan”). This Registration Statement registers additional shares of the Company’s common stock, par value $0.01 per share (“Common Stock”), to be issued pursuant to the Plan, as amended by Amendment No. 1 to the Easterly Government Properties, Inc. 2024 Equity Incentive Plan. The contents of the Original Filing, as updated by the information set forth below, are incorporated by reference into this Registration Statement pursuant to General Instruction E of Form S-8.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100" w:firstLine="374"/>
        <w:spacing w:after="0" w:line="277" w:lineRule="auto"/>
        <w:rPr>
          <w:sz w:val="20"/>
          <w:szCs w:val="20"/>
          <w:color w:val="auto"/>
        </w:rPr>
      </w:pPr>
      <w:r>
        <w:rPr>
          <w:rFonts w:ascii="Times New Roman" w:cs="Times New Roman" w:eastAsia="Times New Roman" w:hAnsi="Times New Roman"/>
          <w:sz w:val="18"/>
          <w:szCs w:val="18"/>
          <w:color w:val="auto"/>
        </w:rPr>
        <w:t>The following documents filed by the Company with the Commission pursuant to the Securities Act of 1933, as amended, and the Securities Exchange Act of 1934, as amended (the “Exchange Act”), are incorporated herein by reference and made a part hereof:</w:t>
      </w:r>
    </w:p>
    <w:p>
      <w:pPr>
        <w:spacing w:after="0" w:line="163" w:lineRule="exact"/>
        <w:rPr>
          <w:sz w:val="20"/>
          <w:szCs w:val="20"/>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0">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on February 23, 2026;</w:t>
      </w:r>
    </w:p>
    <w:p>
      <w:pPr>
        <w:spacing w:after="0" w:line="22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w:t>
      </w:r>
      <w:hyperlink r:id="rId11">
        <w:r>
          <w:rPr>
            <w:rFonts w:ascii="Times New Roman" w:cs="Times New Roman" w:eastAsia="Times New Roman" w:hAnsi="Times New Roman"/>
            <w:sz w:val="18"/>
            <w:szCs w:val="18"/>
            <w:u w:val="single" w:color="auto"/>
            <w:color w:val="0000FF"/>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on April 27, 2026;</w:t>
      </w:r>
    </w:p>
    <w:p>
      <w:pPr>
        <w:spacing w:after="0" w:line="22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Form 8-K filed on </w:t>
      </w:r>
      <w:hyperlink r:id="rId12">
        <w:r>
          <w:rPr>
            <w:rFonts w:ascii="Times New Roman" w:cs="Times New Roman" w:eastAsia="Times New Roman" w:hAnsi="Times New Roman"/>
            <w:sz w:val="18"/>
            <w:szCs w:val="18"/>
            <w:u w:val="single" w:color="auto"/>
            <w:color w:val="0000FF"/>
          </w:rPr>
          <w:t>April 24, 2026</w:t>
        </w:r>
      </w:hyperlink>
      <w:r>
        <w:rPr>
          <w:rFonts w:ascii="Times New Roman" w:cs="Times New Roman" w:eastAsia="Times New Roman" w:hAnsi="Times New Roman"/>
          <w:sz w:val="18"/>
          <w:szCs w:val="18"/>
          <w:color w:val="auto"/>
        </w:rPr>
        <w:t>; and</w:t>
      </w:r>
    </w:p>
    <w:p>
      <w:pPr>
        <w:spacing w:after="0" w:line="220" w:lineRule="exact"/>
        <w:rPr>
          <w:rFonts w:ascii="Times New Roman" w:cs="Times New Roman" w:eastAsia="Times New Roman" w:hAnsi="Times New Roman"/>
          <w:sz w:val="18"/>
          <w:szCs w:val="18"/>
          <w:color w:val="auto"/>
        </w:rPr>
      </w:pPr>
    </w:p>
    <w:p>
      <w:pPr>
        <w:ind w:left="760" w:right="100" w:hanging="379"/>
        <w:spacing w:after="0" w:line="25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$0.01 par value per share, contained in the Company’s Registration Statement on </w:t>
      </w:r>
      <w:hyperlink r:id="rId13">
        <w:r>
          <w:rPr>
            <w:rFonts w:ascii="Times New Roman" w:cs="Times New Roman" w:eastAsia="Times New Roman" w:hAnsi="Times New Roman"/>
            <w:sz w:val="18"/>
            <w:szCs w:val="18"/>
            <w:u w:val="single" w:color="auto"/>
            <w:color w:val="0000FF"/>
          </w:rPr>
          <w:t>Form 8-A</w:t>
        </w:r>
      </w:hyperlink>
      <w:r>
        <w:rPr>
          <w:rFonts w:ascii="Times New Roman" w:cs="Times New Roman" w:eastAsia="Times New Roman" w:hAnsi="Times New Roman"/>
          <w:sz w:val="18"/>
          <w:szCs w:val="18"/>
          <w:color w:val="auto"/>
        </w:rPr>
        <w:t xml:space="preserve"> filed with the Commission under the Exchange Act on February 3, 2015, as updated by </w:t>
      </w:r>
      <w:hyperlink r:id="rId14">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year ended December 31, 2021, filed on February 28, 2022, including any amendments or reports filed for the purpose of updating such description.</w:t>
      </w:r>
    </w:p>
    <w:p>
      <w:pPr>
        <w:spacing w:after="0" w:line="182" w:lineRule="exact"/>
        <w:rPr>
          <w:rFonts w:ascii="Times New Roman" w:cs="Times New Roman" w:eastAsia="Times New Roman" w:hAnsi="Times New Roman"/>
          <w:sz w:val="18"/>
          <w:szCs w:val="18"/>
          <w:color w:val="auto"/>
        </w:rPr>
      </w:pPr>
    </w:p>
    <w:p>
      <w:pPr>
        <w:jc w:val="both"/>
        <w:ind w:right="440" w:firstLine="374"/>
        <w:spacing w:after="0" w:line="262"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or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177" w:lineRule="exact"/>
        <w:rPr>
          <w:rFonts w:ascii="Times New Roman" w:cs="Times New Roman" w:eastAsia="Times New Roman" w:hAnsi="Times New Roman"/>
          <w:sz w:val="18"/>
          <w:szCs w:val="18"/>
          <w:color w:val="auto"/>
        </w:rPr>
      </w:pPr>
    </w:p>
    <w:p>
      <w:pPr>
        <w:ind w:right="100" w:firstLine="374"/>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178"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rFonts w:ascii="Times New Roman" w:cs="Times New Roman" w:eastAsia="Times New Roman" w:hAnsi="Times New Roman"/>
          <w:sz w:val="18"/>
          <w:szCs w:val="18"/>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exhibits listed below represent a complete list of exhibits filed or incorporated by reference as part of this Registration Statement.</w:t>
      </w:r>
    </w:p>
    <w:p>
      <w:pPr>
        <w:spacing w:after="0" w:line="200"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680" w:type="dxa"/>
            <w:vAlign w:val="bottom"/>
            <w:gridSpan w:val="4"/>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7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40" w:type="dxa"/>
            <w:vAlign w:val="bottom"/>
            <w:tcBorders>
              <w:top w:val="single" w:sz="8" w:color="auto"/>
              <w:bottom w:val="single" w:sz="8" w:color="0000FF"/>
            </w:tcBorders>
            <w:gridSpan w:val="2"/>
          </w:tcPr>
          <w:p>
            <w:pPr>
              <w:spacing w:after="0" w:line="167"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Amended and Restated Articles of Amendment and Restatement of Easterly Government Properties, Inc. (incorporated by reference to</w:t>
              </w:r>
            </w:hyperlink>
          </w:p>
        </w:tc>
        <w:tc>
          <w:tcPr>
            <w:tcW w:w="48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2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Exhibit 3.1 to Amendment No. 2 to Easterly Government Properties, Inc.’s Registration Statement on Form S-11 filed with the Commission</w:t>
              </w:r>
            </w:hyperlink>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20" w:type="dxa"/>
            <w:vAlign w:val="bottom"/>
            <w:gridSpan w:val="5"/>
          </w:tcPr>
          <w:p>
            <w:pPr>
              <w:spacing w:after="0" w:line="19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on January 30, 2015).</w:t>
              </w:r>
            </w:hyperlink>
          </w:p>
        </w:tc>
        <w:tc>
          <w:tcPr>
            <w:tcW w:w="0" w:type="dxa"/>
            <w:vAlign w:val="bottom"/>
          </w:tcPr>
          <w:p>
            <w:pPr>
              <w:spacing w:after="0"/>
              <w:rPr>
                <w:sz w:val="1"/>
                <w:szCs w:val="1"/>
                <w:color w:val="auto"/>
              </w:rPr>
            </w:pPr>
          </w:p>
        </w:tc>
      </w:tr>
      <w:tr>
        <w:trPr>
          <w:trHeight w:val="1630"/>
        </w:trPr>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top w:val="single" w:sz="8" w:color="0000FF"/>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tbl>
      <w:tblPr>
        <w:tblLayout w:type="fixed"/>
        <w:tblInd w:w="93"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80" w:type="dxa"/>
            <w:vAlign w:val="bottom"/>
            <w:gridSpan w:val="1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line="167" w:lineRule="exact"/>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bottom w:val="single" w:sz="8" w:color="0000FF"/>
            </w:tcBorders>
            <w:gridSpan w:val="15"/>
          </w:tcPr>
          <w:p>
            <w:pPr>
              <w:spacing w:after="0" w:line="167"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Articles of Amendment to the Amended and Restated Articles of Amendment and Restatement of Easterly Government Properties, Inc.</w:t>
              </w:r>
            </w:hyperlink>
          </w:p>
        </w:tc>
        <w:tc>
          <w:tcPr>
            <w:tcW w:w="4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tcBorders>
              <w:bottom w:val="single" w:sz="8" w:color="0000FF"/>
            </w:tcBorders>
            <w:gridSpan w:val="19"/>
          </w:tcPr>
          <w:p>
            <w:pPr>
              <w:spacing w:after="0" w:line="194"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(incorporated by reference to Exhibit 3.1 to Easterly Government Properties, Inc.’s Current Report on Form 8-K filed with the Commission</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on April 28, 2025</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Articles of Amendment to the Amended and Restated Articles of Amendment and Restatement of Easterly Government Properties, Inc.</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tcBorders>
              <w:bottom w:val="single" w:sz="8" w:color="0000FF"/>
            </w:tcBorders>
            <w:gridSpan w:val="19"/>
          </w:tcPr>
          <w:p>
            <w:pPr>
              <w:spacing w:after="0" w:line="194"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(incorporated by reference to Exhibit 3.2 to Easterly Government Properties, Inc.’s Current Report on Form 8-K filed with the Commission</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on April 28, 2025).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Articles of Amendment to the Amended and Restated Articles of Amendment and Restatement of Easterly Government Properties, Inc.</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tcBorders>
              <w:bottom w:val="single" w:sz="8" w:color="0000FF"/>
            </w:tcBorders>
            <w:gridSpan w:val="19"/>
          </w:tcPr>
          <w:p>
            <w:pPr>
              <w:spacing w:after="0" w:line="194"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(incorporated by reference to Exhibit 3.1 to Easterly Government Properties, Inc.’s Current Report on Form 8-K filed with the Commission</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on May 8, 2025).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Amended and Restated Bylaws of Easterly Government Properties, Inc. (incorporated by reference to Exhibit 3.2 to Amendment No. 2 to</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Easterly Government Properties, Inc.’s Registration Statement on Form S-11 filed with the Commission on January 30, 2015).</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First Amendment to Amended and Restated Bylaws of Easterly Government Properties, Inc. (incorporated by reference to Exhibit 3.1 to</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tcBorders>
              <w:bottom w:val="single" w:sz="8" w:color="0000FF"/>
            </w:tcBorders>
            <w:gridSpan w:val="12"/>
          </w:tcPr>
          <w:p>
            <w:pPr>
              <w:spacing w:after="0" w:line="194" w:lineRule="exact"/>
              <w:rPr>
                <w:rFonts w:ascii="Times New Roman" w:cs="Times New Roman" w:eastAsia="Times New Roman" w:hAnsi="Times New Roman"/>
                <w:sz w:val="18"/>
                <w:szCs w:val="18"/>
                <w:color w:val="0000FF"/>
                <w:w w:val="98"/>
              </w:rPr>
            </w:pPr>
            <w:hyperlink r:id="rId22">
              <w:r>
                <w:rPr>
                  <w:rFonts w:ascii="Times New Roman" w:cs="Times New Roman" w:eastAsia="Times New Roman" w:hAnsi="Times New Roman"/>
                  <w:sz w:val="18"/>
                  <w:szCs w:val="18"/>
                  <w:color w:val="0000FF"/>
                  <w:w w:val="98"/>
                </w:rPr>
                <w:t>Easterly Government Properties, Inc.’s Current Report on Form 8-K filed with the Commission on February 27, 2019).</w:t>
              </w:r>
            </w:hyperlink>
          </w:p>
        </w:tc>
        <w:tc>
          <w:tcPr>
            <w:tcW w:w="16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60" w:type="dxa"/>
            <w:vAlign w:val="bottom"/>
            <w:tcBorders>
              <w:bottom w:val="single" w:sz="8" w:color="0000FF"/>
            </w:tcBorders>
            <w:gridSpan w:val="18"/>
          </w:tcPr>
          <w:p>
            <w:pPr>
              <w:spacing w:after="0" w:line="194"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Second Amendment to Amended and Restated Bylaws of Easterly Government Properties, Inc. (incorporated by reference to Exhibit 3.1 to</w:t>
              </w:r>
            </w:hyperlink>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60" w:type="dxa"/>
            <w:vAlign w:val="bottom"/>
            <w:tcBorders>
              <w:bottom w:val="single" w:sz="8" w:color="0000FF"/>
            </w:tcBorders>
            <w:gridSpan w:val="10"/>
          </w:tcPr>
          <w:p>
            <w:pPr>
              <w:spacing w:after="0" w:line="194" w:lineRule="exact"/>
              <w:rPr>
                <w:rFonts w:ascii="Times New Roman" w:cs="Times New Roman" w:eastAsia="Times New Roman" w:hAnsi="Times New Roman"/>
                <w:sz w:val="18"/>
                <w:szCs w:val="18"/>
                <w:color w:val="0000FF"/>
                <w:w w:val="98"/>
              </w:rPr>
            </w:pPr>
            <w:hyperlink r:id="rId23">
              <w:r>
                <w:rPr>
                  <w:rFonts w:ascii="Times New Roman" w:cs="Times New Roman" w:eastAsia="Times New Roman" w:hAnsi="Times New Roman"/>
                  <w:sz w:val="18"/>
                  <w:szCs w:val="18"/>
                  <w:color w:val="0000FF"/>
                  <w:w w:val="98"/>
                </w:rPr>
                <w:t>Easterly Government Properties, Inc.’s Current Report on Form 8-K filed with the Commission on May 20, 2021).</w:t>
              </w:r>
            </w:hyperlink>
          </w:p>
        </w:tc>
        <w:tc>
          <w:tcPr>
            <w:tcW w:w="19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24">
              <w:r>
                <w:rPr>
                  <w:rFonts w:ascii="Times New Roman" w:cs="Times New Roman" w:eastAsia="Times New Roman" w:hAnsi="Times New Roman"/>
                  <w:sz w:val="18"/>
                  <w:szCs w:val="18"/>
                  <w:color w:val="0000FF"/>
                  <w:w w:val="98"/>
                </w:rPr>
                <w:t>Specimen Certificate of Common Stock of Easterly Government Properties, Inc. (incorporated by reference to Exhibit 4.1 to Amendment No.</w:t>
              </w:r>
            </w:hyperlink>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2 to Easterly Government Properties, Inc.’s Registration Statement on Form S-11 filed on January 30, 2015).</w:t>
              </w:r>
            </w:hyperlink>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Opinion of Goodwin Procter LLP.</w:t>
            </w:r>
          </w:p>
        </w:tc>
        <w:tc>
          <w:tcPr>
            <w:tcW w:w="5300" w:type="dxa"/>
            <w:vAlign w:val="bottom"/>
            <w:tcBorders>
              <w:top w:val="single" w:sz="8" w:color="0000FF"/>
            </w:tcBorders>
            <w:gridSpan w:val="5"/>
          </w:tcPr>
          <w:p>
            <w:pPr>
              <w:spacing w:after="0"/>
              <w:rPr>
                <w:sz w:val="24"/>
                <w:szCs w:val="24"/>
                <w:color w:val="auto"/>
              </w:rPr>
            </w:pPr>
          </w:p>
        </w:tc>
        <w:tc>
          <w:tcPr>
            <w:tcW w:w="2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Consent of Goodwin Procter LLP (included in Exhibit 5.1).</w:t>
            </w:r>
          </w:p>
        </w:tc>
        <w:tc>
          <w:tcPr>
            <w:tcW w:w="58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Power of Attorney (included on the signature page to this Registration Statement).</w:t>
            </w:r>
          </w:p>
        </w:tc>
        <w:tc>
          <w:tcPr>
            <w:tcW w:w="42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Easterly Government Properties, Inc. 2024 Equity Incentive Plan (incorporated by reference to Exhibit 10.2 to Easterly Government</w:t>
              </w:r>
            </w:hyperlink>
          </w:p>
        </w:tc>
        <w:tc>
          <w:tcPr>
            <w:tcW w:w="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tcBorders>
              <w:bottom w:val="single" w:sz="8" w:color="0000FF"/>
            </w:tcBorders>
            <w:gridSpan w:val="8"/>
          </w:tcPr>
          <w:p>
            <w:pPr>
              <w:spacing w:after="0" w:line="194" w:lineRule="exact"/>
              <w:rPr>
                <w:rFonts w:ascii="Times New Roman" w:cs="Times New Roman" w:eastAsia="Times New Roman" w:hAnsi="Times New Roman"/>
                <w:sz w:val="18"/>
                <w:szCs w:val="18"/>
                <w:color w:val="0000FF"/>
                <w:w w:val="98"/>
              </w:rPr>
            </w:pPr>
            <w:hyperlink r:id="rId25">
              <w:r>
                <w:rPr>
                  <w:rFonts w:ascii="Times New Roman" w:cs="Times New Roman" w:eastAsia="Times New Roman" w:hAnsi="Times New Roman"/>
                  <w:sz w:val="18"/>
                  <w:szCs w:val="18"/>
                  <w:color w:val="0000FF"/>
                  <w:w w:val="98"/>
                </w:rPr>
                <w:t>Properties, Inc.’s Quarterly Report on Form 10-Q filed with the Commission on April 29, 2025).</w:t>
              </w:r>
            </w:hyperlink>
          </w:p>
        </w:tc>
        <w:tc>
          <w:tcPr>
            <w:tcW w:w="32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Amendment No. 1 to the Easterly Government Properties, Inc. 2024 Equity Incentive Plan (incorporated by reference to Exhibit 10.1 to</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20"/>
          </w:tcPr>
          <w:p>
            <w:pPr>
              <w:spacing w:after="0" w:line="194"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Easterly Government Properties, Inc.’s Current Report on Form 8-K filed with the Commission on April 24, 2026).</w:t>
              </w:r>
            </w:hyperlink>
          </w:p>
        </w:tc>
        <w:tc>
          <w:tcPr>
            <w:tcW w:w="0" w:type="dxa"/>
            <w:vAlign w:val="bottom"/>
          </w:tcPr>
          <w:p>
            <w:pPr>
              <w:spacing w:after="0"/>
              <w:rPr>
                <w:sz w:val="1"/>
                <w:szCs w:val="1"/>
                <w:color w:val="auto"/>
              </w:rPr>
            </w:pPr>
          </w:p>
        </w:tc>
      </w:tr>
      <w:tr>
        <w:trPr>
          <w:trHeight w:val="30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Calculation of Filing Fee Table.</w:t>
            </w:r>
          </w:p>
        </w:tc>
        <w:tc>
          <w:tcPr>
            <w:tcW w:w="5880" w:type="dxa"/>
            <w:vAlign w:val="bottom"/>
            <w:tcBorders>
              <w:top w:val="single" w:sz="8" w:color="0000FF"/>
            </w:tcBorders>
            <w:gridSpan w:val="8"/>
          </w:tcPr>
          <w:p>
            <w:pPr>
              <w:spacing w:after="0"/>
              <w:rPr>
                <w:sz w:val="24"/>
                <w:szCs w:val="24"/>
                <w:color w:val="auto"/>
              </w:rPr>
            </w:pPr>
          </w:p>
        </w:tc>
        <w:tc>
          <w:tcPr>
            <w:tcW w:w="19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53" w:hanging="353"/>
        <w:spacing w:after="0"/>
        <w:tabs>
          <w:tab w:leader="none" w:pos="353"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869315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33"/>
          </w:cols>
          <w:pgMar w:left="327" w:top="1383"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Washington, District of Columbia, on this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8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200" w:lineRule="exact"/>
        <w:rPr>
          <w:sz w:val="20"/>
          <w:szCs w:val="20"/>
          <w:color w:val="auto"/>
        </w:rPr>
      </w:pPr>
    </w:p>
    <w:p>
      <w:pPr>
        <w:spacing w:after="0" w:line="23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By: /s/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-8890</wp:posOffset>
            </wp:positionV>
            <wp:extent cx="1130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10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Name:</w:t>
            </w: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Darrell W. Crate</w:t>
            </w:r>
          </w:p>
        </w:tc>
      </w:tr>
      <w:tr>
        <w:trPr>
          <w:trHeight w:val="233"/>
        </w:trPr>
        <w:tc>
          <w:tcPr>
            <w:tcW w:w="510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Title:</w:t>
            </w: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95"/>
        </w:trPr>
        <w:tc>
          <w:tcPr>
            <w:tcW w:w="51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KNOW ALL MEN BY THESE PRESENTS, that each of the undersigned constitutes and appoints each of Darrell W. Crate and Allison E. Marino, or any of them, each acting alone, his true and lawful attorney-in-fact and agent, with full power of substitution and resubstitution, for such person and in his name, place and stead, in any and all capacities, to sign this Registration Statement on Form S-8 (including all pre-effective and post-effective amendments),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any such attorney-in-fact and agent, or his substitute or substitutes, may lawfully do or cause to be done by virtue hereof. Pursuant to the requirements of the Securities Act of 1933, as amended, this Registration Statement has been signed by the following persons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2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8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Darrell W. Crate</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Darrell W. Crate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 Allison E. Marino</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85"/>
        </w:trPr>
        <w:tc>
          <w:tcPr>
            <w:tcW w:w="1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Allison E. Marino</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2"/>
        </w:trPr>
        <w:tc>
          <w:tcPr>
            <w:tcW w:w="1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 Brian M. Colantuoni</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85"/>
        </w:trPr>
        <w:tc>
          <w:tcPr>
            <w:tcW w:w="10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Brian M. Colantuoni</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0"/>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Willam H Binnie</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Willam H Binnie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P. Ibe</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 Vice Chairman of the Board of Directors and Executive Vice President –</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Michael P. Ibe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Development and Acquisitions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A. Fisher</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Cynthia A. Fisher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D. Freeman</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Scott D. Freeman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Emil W. Henry Jr.</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Emil W. Henry Jr.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Tara S. Innes</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80" w:type="dxa"/>
            <w:vAlign w:val="bottom"/>
          </w:tcPr>
          <w:p>
            <w:pPr>
              <w:spacing w:after="0"/>
              <w:rPr>
                <w:sz w:val="24"/>
                <w:szCs w:val="2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28, 2026</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Tara S. Innes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5"/>
        </w:trPr>
        <w:tc>
          <w:tcPr>
            <w:tcW w:w="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[Goodwin Procter LLP Letterhead]</w:t>
      </w:r>
    </w:p>
    <w:p>
      <w:pPr>
        <w:spacing w:after="0"/>
        <w:rPr>
          <w:sz w:val="20"/>
          <w:szCs w:val="20"/>
          <w:color w:val="auto"/>
        </w:rPr>
      </w:pPr>
      <w:r>
        <w:rPr>
          <w:rFonts w:ascii="Times New Roman" w:cs="Times New Roman" w:eastAsia="Times New Roman" w:hAnsi="Times New Roman"/>
          <w:sz w:val="21"/>
          <w:szCs w:val="21"/>
          <w:color w:val="auto"/>
        </w:rPr>
        <w:t>April 28,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Easterly Government Properties,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2001 K Street NW, Suite 775 North</w:t>
      </w:r>
    </w:p>
    <w:p>
      <w:pPr>
        <w:spacing w:after="0"/>
        <w:rPr>
          <w:sz w:val="20"/>
          <w:szCs w:val="20"/>
          <w:color w:val="auto"/>
        </w:rPr>
      </w:pPr>
      <w:r>
        <w:rPr>
          <w:rFonts w:ascii="Times New Roman" w:cs="Times New Roman" w:eastAsia="Times New Roman" w:hAnsi="Times New Roman"/>
          <w:sz w:val="21"/>
          <w:szCs w:val="21"/>
          <w:color w:val="auto"/>
        </w:rPr>
        <w:t>Washington, D.C. 20006</w:t>
      </w: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Securities Being Registered under Registration Statement on Form S-8</w:t>
      </w:r>
    </w:p>
    <w:p>
      <w:pPr>
        <w:spacing w:after="0" w:line="239" w:lineRule="exact"/>
        <w:rPr>
          <w:sz w:val="20"/>
          <w:szCs w:val="20"/>
          <w:color w:val="auto"/>
        </w:rPr>
      </w:pPr>
    </w:p>
    <w:p>
      <w:pPr>
        <w:ind w:right="300" w:firstLine="749"/>
        <w:spacing w:after="0" w:line="248" w:lineRule="auto"/>
        <w:rPr>
          <w:sz w:val="20"/>
          <w:szCs w:val="20"/>
          <w:color w:val="auto"/>
        </w:rPr>
      </w:pPr>
      <w:r>
        <w:rPr>
          <w:rFonts w:ascii="Times New Roman" w:cs="Times New Roman" w:eastAsia="Times New Roman" w:hAnsi="Times New Roman"/>
          <w:sz w:val="21"/>
          <w:szCs w:val="21"/>
          <w:color w:val="auto"/>
        </w:rPr>
        <w:t>We have acted as counsel to you in connection with your filing of a Registration Statement on Form S-8 (the “Registration Statement”) pursuant to the Securities Act of 1933, as amended (the “Securities Act”), on or about the date hereof relating to an aggregate of 2,875,000 shares (the “Shares”) of common stock, par value $0.01 per share (“Common Stock”), of Easterly Government Properties, Inc., a Maryland corporation (the “Company”), that may be issued pursuant to the Easterly Government Properties, Inc. 2024 Equity Incentive Plan, as amended by Amendment No. 1 thereto (the “Plan”).</w:t>
      </w:r>
    </w:p>
    <w:p>
      <w:pPr>
        <w:spacing w:after="0" w:line="195"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21"/>
          <w:szCs w:val="21"/>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right="120" w:firstLine="749"/>
        <w:spacing w:after="0" w:line="257" w:lineRule="auto"/>
        <w:rPr>
          <w:sz w:val="20"/>
          <w:szCs w:val="20"/>
          <w:color w:val="auto"/>
        </w:rPr>
      </w:pPr>
      <w:r>
        <w:rPr>
          <w:rFonts w:ascii="Times New Roman" w:cs="Times New Roman" w:eastAsia="Times New Roman" w:hAnsi="Times New Roman"/>
          <w:sz w:val="21"/>
          <w:szCs w:val="21"/>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articles of incorporation.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opinion set forth below is limited to the Maryland General Corporation Law.</w:t>
      </w:r>
    </w:p>
    <w:p>
      <w:pPr>
        <w:spacing w:after="0" w:line="239" w:lineRule="exact"/>
        <w:rPr>
          <w:sz w:val="20"/>
          <w:szCs w:val="20"/>
          <w:color w:val="auto"/>
        </w:rPr>
      </w:pPr>
    </w:p>
    <w:p>
      <w:pPr>
        <w:ind w:right="520" w:firstLine="749"/>
        <w:spacing w:after="0" w:line="275" w:lineRule="auto"/>
        <w:rPr>
          <w:sz w:val="20"/>
          <w:szCs w:val="20"/>
          <w:color w:val="auto"/>
        </w:rPr>
      </w:pPr>
      <w:r>
        <w:rPr>
          <w:rFonts w:ascii="Times New Roman" w:cs="Times New Roman" w:eastAsia="Times New Roman" w:hAnsi="Times New Roman"/>
          <w:sz w:val="21"/>
          <w:szCs w:val="21"/>
          <w:color w:val="auto"/>
        </w:rPr>
        <w:t>Based on the foregoing, we are of the opinion that the Shares have been duly authorized and, when delivered against payment therefor in accordance with the terms of the Plan, will be validly issued, fully paid and nonassessable.</w:t>
      </w:r>
    </w:p>
    <w:p>
      <w:pPr>
        <w:spacing w:after="0" w:line="168" w:lineRule="exact"/>
        <w:rPr>
          <w:sz w:val="20"/>
          <w:szCs w:val="20"/>
          <w:color w:val="auto"/>
        </w:rPr>
      </w:pPr>
    </w:p>
    <w:p>
      <w:pPr>
        <w:ind w:right="540" w:firstLine="749"/>
        <w:spacing w:after="0" w:line="275" w:lineRule="auto"/>
        <w:rPr>
          <w:sz w:val="20"/>
          <w:szCs w:val="20"/>
          <w:color w:val="auto"/>
        </w:rPr>
      </w:pPr>
      <w:r>
        <w:rPr>
          <w:rFonts w:ascii="Times New Roman" w:cs="Times New Roman" w:eastAsia="Times New Roman" w:hAnsi="Times New Roman"/>
          <w:sz w:val="21"/>
          <w:szCs w:val="21"/>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21"/>
          <w:szCs w:val="21"/>
          <w:i w:val="1"/>
          <w:iCs w:val="1"/>
          <w:color w:val="auto"/>
        </w:rPr>
        <w:t>Business Lawyer</w:t>
      </w:r>
      <w:r>
        <w:rPr>
          <w:rFonts w:ascii="Times New Roman" w:cs="Times New Roman" w:eastAsia="Times New Roman" w:hAnsi="Times New Roman"/>
          <w:sz w:val="21"/>
          <w:szCs w:val="21"/>
          <w:color w:val="auto"/>
        </w:rPr>
        <w:t xml:space="preserve"> 815 (Summer 2019).</w:t>
      </w:r>
    </w:p>
    <w:p>
      <w:pPr>
        <w:spacing w:after="0" w:line="168" w:lineRule="exact"/>
        <w:rPr>
          <w:sz w:val="20"/>
          <w:szCs w:val="20"/>
          <w:color w:val="auto"/>
        </w:rPr>
      </w:pPr>
    </w:p>
    <w:p>
      <w:pPr>
        <w:jc w:val="both"/>
        <w:ind w:right="60" w:firstLine="749"/>
        <w:spacing w:after="0" w:line="257" w:lineRule="auto"/>
        <w:rPr>
          <w:sz w:val="20"/>
          <w:szCs w:val="20"/>
          <w:color w:val="auto"/>
        </w:rPr>
      </w:pPr>
      <w:r>
        <w:rPr>
          <w:rFonts w:ascii="Times New Roman" w:cs="Times New Roman" w:eastAsia="Times New Roman" w:hAnsi="Times New Roman"/>
          <w:sz w:val="21"/>
          <w:szCs w:val="21"/>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/s/ GOODWIN PROCTER LLP</w:t>
      </w: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1"/>
          <w:szCs w:val="21"/>
          <w:color w:val="auto"/>
        </w:rPr>
        <w:t xml:space="preserve">GOODWIN PROCTER </w:t>
      </w:r>
      <w:r>
        <w:rPr>
          <w:rFonts w:ascii="Times New Roman" w:cs="Times New Roman" w:eastAsia="Times New Roman" w:hAnsi="Times New Roman"/>
          <w:sz w:val="16"/>
          <w:szCs w:val="16"/>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861060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line="235"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Easterly Government Properties, Inc. of our report dated February 23, 2026 relating to the financial statements,financial statement schedule and the effectiveness of internal control over financial reporting, which appears in Easterly Government Properties, Inc.’s Annual Report on Form 10-K for the year ended December 31,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ind w:left="40"/>
        <w:spacing w:after="0" w:line="235" w:lineRule="auto"/>
        <w:rPr>
          <w:sz w:val="20"/>
          <w:szCs w:val="20"/>
          <w:color w:val="auto"/>
        </w:rPr>
      </w:pPr>
      <w:r>
        <w:rPr>
          <w:rFonts w:ascii="Georgia" w:cs="Georgia" w:eastAsia="Georgia" w:hAnsi="Georgia"/>
          <w:sz w:val="18"/>
          <w:szCs w:val="18"/>
          <w:color w:val="auto"/>
        </w:rPr>
        <w:t>Washington, District of Columbia</w:t>
      </w:r>
    </w:p>
    <w:p>
      <w:pPr>
        <w:ind w:left="40"/>
        <w:spacing w:after="0" w:line="236" w:lineRule="auto"/>
        <w:rPr>
          <w:sz w:val="20"/>
          <w:szCs w:val="20"/>
          <w:color w:val="auto"/>
        </w:rPr>
      </w:pPr>
      <w:r>
        <w:rPr>
          <w:rFonts w:ascii="Georgia" w:cs="Georgia" w:eastAsia="Georgia" w:hAnsi="Georgia"/>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735330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49" w:right="339" w:bottom="1440" w:gutter="0" w:footer="0" w:header="0"/>
        </w:sectPr>
      </w:pPr>
    </w:p>
    <w:bookmarkStart w:id="8" w:name="page9"/>
    <w:bookmarkEnd w:id="8"/>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Easterly Government Properties,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2,875,000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$ 23.24</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$ 9,227.15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66,815,000.00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$ 9,227.15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66,815,000.00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$ 9,227.15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00" w:firstLine="2"/>
        <w:spacing w:after="0" w:line="242" w:lineRule="auto"/>
        <w:tabs>
          <w:tab w:leader="none" w:pos="1121" w:val="left"/>
        </w:tabs>
        <w:numPr>
          <w:ilvl w:val="0"/>
          <w:numId w:val="4"/>
        </w:numPr>
        <w:rPr>
          <w:rFonts w:ascii="Arial" w:cs="Arial" w:eastAsia="Arial" w:hAnsi="Arial"/>
          <w:sz w:val="21"/>
          <w:szCs w:val="21"/>
          <w:color w:val="auto"/>
        </w:rPr>
      </w:pPr>
      <w:r>
        <w:rPr>
          <w:rFonts w:ascii="Arial" w:cs="Arial" w:eastAsia="Arial" w:hAnsi="Arial"/>
          <w:sz w:val="21"/>
          <w:szCs w:val="21"/>
          <w:color w:val="auto"/>
        </w:rPr>
        <w:t>Pursuant to Rule 416(a) promulgated under the Securities Act of 1933, as amended (the "Securities Act"), this Registration Statement shall also cover an indeterminate number of additional shares of common stock, par value $0.01 per share ("Common Stock"), of Easterly Government Properties, Inc. (the "Company") as may be required pursuant to the Easterly Government Properties, Inc. 2024 Equity Incentive Plan (as amended, the "2024 Plan"), in the event of a stock split, stock dividend, recapitalization or similar transactions.</w:t>
      </w:r>
    </w:p>
    <w:p>
      <w:pPr>
        <w:spacing w:after="0" w:line="1" w:lineRule="exact"/>
        <w:rPr>
          <w:rFonts w:ascii="Arial" w:cs="Arial" w:eastAsia="Arial" w:hAnsi="Arial"/>
          <w:sz w:val="21"/>
          <w:szCs w:val="21"/>
          <w:color w:val="auto"/>
        </w:rPr>
      </w:pPr>
    </w:p>
    <w:p>
      <w:pPr>
        <w:ind w:left="800" w:right="1020"/>
        <w:spacing w:after="0" w:line="238" w:lineRule="auto"/>
        <w:rPr>
          <w:rFonts w:ascii="Arial" w:cs="Arial" w:eastAsia="Arial" w:hAnsi="Arial"/>
          <w:sz w:val="21"/>
          <w:szCs w:val="21"/>
          <w:color w:val="auto"/>
        </w:rPr>
      </w:pPr>
      <w:r>
        <w:rPr>
          <w:rFonts w:ascii="Arial" w:cs="Arial" w:eastAsia="Arial" w:hAnsi="Arial"/>
          <w:sz w:val="21"/>
          <w:szCs w:val="21"/>
          <w:color w:val="auto"/>
        </w:rPr>
        <w:t>Represents an additional 2,875,000 shares of Common Stock issuable under the 2024 Plan. The Company previously filed a Registration Statement on Form S-8 (No. 333-279838) with respect to a total of 1,440,000 shares (adjusted for the 1-for-2.5 reverse stock split of the Company's issued and outstanding shares of Common Stock, which reverse stock split became effective on April 28, 2025) issuable under the 2024 Plan.</w:t>
      </w:r>
    </w:p>
    <w:p>
      <w:pPr>
        <w:spacing w:after="0" w:line="4" w:lineRule="exact"/>
        <w:rPr>
          <w:rFonts w:ascii="Arial" w:cs="Arial" w:eastAsia="Arial" w:hAnsi="Arial"/>
          <w:sz w:val="21"/>
          <w:szCs w:val="21"/>
          <w:color w:val="auto"/>
        </w:rPr>
      </w:pPr>
    </w:p>
    <w:p>
      <w:pPr>
        <w:ind w:left="800" w:right="700"/>
        <w:spacing w:after="0" w:line="248" w:lineRule="auto"/>
        <w:rPr>
          <w:rFonts w:ascii="Arial" w:cs="Arial" w:eastAsia="Arial" w:hAnsi="Arial"/>
          <w:sz w:val="21"/>
          <w:szCs w:val="21"/>
          <w:color w:val="auto"/>
        </w:rPr>
      </w:pPr>
      <w:r>
        <w:rPr>
          <w:rFonts w:ascii="Arial" w:cs="Arial" w:eastAsia="Arial" w:hAnsi="Arial"/>
          <w:sz w:val="21"/>
          <w:szCs w:val="21"/>
          <w:color w:val="auto"/>
        </w:rPr>
        <w:t>Calculated solely for the purpose of computing the registration fee in accordance with Rules 457(c) and 457(h) under the Securities Act based on the average of the high and the low sales prices of shares of the Company's Common Stock as reported on the New York Stock Exchange on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75565</wp:posOffset>
            </wp:positionV>
            <wp:extent cx="6387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17"/>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10" Type="http://schemas.openxmlformats.org/officeDocument/2006/relationships/hyperlink" Target="https://www.sec.gov/Archives/edgar/data/1622194/000119312526064115/dea-20251231.htm" TargetMode="External"/><Relationship Id="rId11" Type="http://schemas.openxmlformats.org/officeDocument/2006/relationships/hyperlink" Target="https://www.sec.gov/Archives/edgar/data/1622194/000162219426000019/dea-20260331.htm" TargetMode="External"/><Relationship Id="rId12" Type="http://schemas.openxmlformats.org/officeDocument/2006/relationships/hyperlink" Target="https://www.sec.gov/Archives/edgar/data/1622194/000119312526177405/dea-20260422.htm" TargetMode="External"/><Relationship Id="rId13" Type="http://schemas.openxmlformats.org/officeDocument/2006/relationships/hyperlink" Target="https://www.sec.gov/Archives/edgar/data/1622194/000119312515031800/d863894d8a12b.htm" TargetMode="External"/><Relationship Id="rId14" Type="http://schemas.openxmlformats.org/officeDocument/2006/relationships/hyperlink" Target="https://www.sec.gov/Archives/edgar/data/1622194/000156459022007604/dea-ex42_34.htm" TargetMode="External"/><Relationship Id="rId15" Type="http://schemas.openxmlformats.org/officeDocument/2006/relationships/hyperlink" Target="https://www.sec.gov/Archives/edgar/data/1622194/000119312515027683/d803720dex31.htm" TargetMode="External"/><Relationship Id="rId18" Type="http://schemas.openxmlformats.org/officeDocument/2006/relationships/hyperlink" Target="https://www.sec.gov/Archives/edgar/data/1622194/000095017025058978/dea-ex3_1.htm" TargetMode="External"/><Relationship Id="rId19" Type="http://schemas.openxmlformats.org/officeDocument/2006/relationships/hyperlink" Target="https://www.sec.gov/Archives/edgar/data/1622194/000095017025058978/dea-ex3_2.htm" TargetMode="External"/><Relationship Id="rId20" Type="http://schemas.openxmlformats.org/officeDocument/2006/relationships/hyperlink" Target="https://www.sec.gov/Archives/edgar/data/1622194/000095017025067183/dea-ex3_1.htm" TargetMode="External"/><Relationship Id="rId21" Type="http://schemas.openxmlformats.org/officeDocument/2006/relationships/hyperlink" Target="https://www.sec.gov/Archives/edgar/data/1622194/000119312515027683/d803720dex32.htm" TargetMode="External"/><Relationship Id="rId22" Type="http://schemas.openxmlformats.org/officeDocument/2006/relationships/hyperlink" Target="https://www.sec.gov/Archives/edgar/data/1622194/000156459019004911/dea-ex31_6.htm" TargetMode="External"/><Relationship Id="rId23" Type="http://schemas.openxmlformats.org/officeDocument/2006/relationships/hyperlink" Target="https://www.sec.gov/Archives/edgar/data/1622194/000156459021029111/dea-ex31_15.htm" TargetMode="External"/><Relationship Id="rId24" Type="http://schemas.openxmlformats.org/officeDocument/2006/relationships/hyperlink" Target="https://www.sec.gov/Archives/edgar/data/1622194/000119312515027683/d803720dex41.htm" TargetMode="External"/><Relationship Id="rId25" Type="http://schemas.openxmlformats.org/officeDocument/2006/relationships/hyperlink" Target="https://www.sec.gov/Archives/edgar/data/1622194/000095017025060207/dea-ex10_2.htm" TargetMode="External"/><Relationship Id="rId26" Type="http://schemas.openxmlformats.org/officeDocument/2006/relationships/hyperlink" Target="https://www.sec.gov/Archives/edgar/data/1622194/000119312526177405/de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2026-04-28T07:31:37Z</dcterms:created>
  <dcterms:modified xsi:type="dcterms:W3CDTF">2026-04-28T07:31:37Z</dcterms:modified>
</cp:coreProperties>
</file>