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ea-20260804.htm"/>
      <w:bookmarkStart w:id="1" w:name="ksdea20260804"/>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424(b)(5)</w:t>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Registration No. 333-277434</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to Prospectus dated February 28, 2024</w:t>
      </w:r>
    </w:p>
    <w:p>
      <w:pPr>
        <w:pStyle w:val="TextBody"/>
        <w:bidi w:val="0"/>
        <w:spacing w:before="0" w:after="200"/>
        <w:jc w:val="center"/>
        <w:rPr>
          <w:rFonts w:ascii="Times New Roman" w:hAnsi="Times New Roman"/>
          <w:b/>
          <w:color w:val="000000"/>
          <w:sz w:val="48"/>
        </w:rPr>
      </w:pPr>
      <w:r>
        <w:rPr>
          <w:rFonts w:ascii="Times New Roman" w:hAnsi="Times New Roman"/>
          <w:b/>
          <w:color w:val="000000"/>
          <w:sz w:val="48"/>
        </w:rPr>
        <w:t>Easterly Government Properties, Inc.</w:t>
      </w:r>
    </w:p>
    <w:p>
      <w:pPr>
        <w:pStyle w:val="TextBody"/>
        <w:bidi w:val="0"/>
        <w:spacing w:before="0" w:after="200"/>
        <w:jc w:val="center"/>
        <w:rPr>
          <w:rFonts w:ascii="Times New Roman" w:hAnsi="Times New Roman"/>
          <w:b/>
          <w:color w:val="000000"/>
          <w:sz w:val="28"/>
        </w:rPr>
      </w:pPr>
      <w:r>
        <w:rPr>
          <w:rFonts w:ascii="Times New Roman" w:hAnsi="Times New Roman"/>
          <w:b/>
          <w:color w:val="000000"/>
          <w:sz w:val="28"/>
        </w:rPr>
        <w:t>$300,000,000</w:t>
      </w:r>
    </w:p>
    <w:p>
      <w:pPr>
        <w:pStyle w:val="TextBody"/>
        <w:bidi w:val="0"/>
        <w:spacing w:before="0" w:after="200"/>
        <w:jc w:val="center"/>
        <w:rPr/>
      </w:pPr>
      <w:r>
        <w:rPr/>
        <w:drawing>
          <wp:inline distT="0" distB="0" distL="0" distR="0">
            <wp:extent cx="3543300"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43300" cy="1152525"/>
                    </a:xfrm>
                    <a:prstGeom prst="rect">
                      <a:avLst/>
                    </a:prstGeom>
                  </pic:spPr>
                </pic:pic>
              </a:graphicData>
            </a:graphic>
          </wp:inline>
        </w:drawing>
      </w:r>
    </w:p>
    <w:p>
      <w:pPr>
        <w:pStyle w:val="TextBody"/>
        <w:pBdr>
          <w:bottom w:val="single" w:sz="4" w:space="12" w:color="000000"/>
        </w:pBdr>
        <w:bidi w:val="0"/>
        <w:spacing w:before="0" w:after="200"/>
        <w:ind w:left="1890" w:right="1800" w:hanging="0"/>
        <w:jc w:val="center"/>
        <w:rPr>
          <w:rFonts w:ascii="Times New Roman" w:hAnsi="Times New Roman"/>
          <w:b/>
          <w:color w:val="000000"/>
          <w:sz w:val="28"/>
        </w:rPr>
      </w:pPr>
      <w:r>
        <w:rPr>
          <w:rFonts w:ascii="Times New Roman" w:hAnsi="Times New Roman"/>
          <w:b/>
          <w:color w:val="000000"/>
          <w:sz w:val="28"/>
        </w:rPr>
        <w:t>Common Stock</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We have entered into separate amended and restated equity distribution agreements, dated August 4, 2026 (each, an “equity distribution agreement” and, collectively, the “equity distribution agreements”), for a continuous offering program with each of Citigroup Global Markets Inc., BMO Capital Markets Corp., BTIG, LLC, Compass Point Research and Trading, LLC, Jefferies LLC, Raymond James &amp; Associates, Inc., RBC Capital Markets, LLC, Truist Securities, Inc. and Wells Fargo Securities, LLC (and certain of their respective affiliates or agents). We refer to these entities, when acting in their capacity as sales agents for us or as principals, individually, as a “Sales Agent” and, collectively, as the “Sales Agents,” and we refer to these entities (or their affiliate or agent or, in the case of BTIG, LLC, Nomura Securities International, Inc. (acting through BTIG, LLC as agent)) when acting in their capacity as agents for the Forward Purchasers (as defined below), individually, as a “Forward Seller” and, collectively, as the “Forward Sellers.” In accordance with the terms of the equity distribution agreements, we may from time to time offer and sell shares of our common stock, $0.01 par value per share (“common stock”), having an aggregate offering price of up to $300,000,000 through the Sales Agents, acting as our sales agents, through the Forward Sellers, acting as agents for the relevant Forward Purchasers, or directly to the Sales Agents, acting as principals.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Sales of the shares of our common stock pursuant to the equity distribution agreements were previously registered pursuant to a Registration Statement on Form S-3 (File No. 333-277434) and a prospectus supplement dated February 28, 2024, as supplemented by supplement no. 1 dated August 1, 2024. This prospectus supplement supersedes such prospectus supplement dated February 28, 2024 with respect to the shares of our common stock offered pursuant to the equity distribution agreements. As of the date of this prospectus supplement, shares of common stock having an aggregate offering price of $85,017,692 have been offered and sold pursuant to the equity distribution agreements and, accordingly, shares of common stock having an aggregate offering price of up to $214,982,308 remain available for offer and sale, from time to time, pursuant to the equity distribution agreements, this prospectus supplement and the accompanying prospectus.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Sales of the shares of our common stock, if any, under this prospectus supplement and the accompanying prospectus made through the Sales Agents, acting as our sales agents, through the Forward Sellers, acting as agents for the relevant Forward Purchasers, or directly to the Sales Agents, acting as principals, pursuant to the equity distribution agreements, may be made in privately negotiated transactions, which may include block trades, or transactions that are deemed to be “at the market” offerings as defined in Rule 415 under the Securities Act of 1933, as amended (the “Securities Act”), including, without limitation, sales made directly on the New York Stock Exchange (the “NYSE”), on any other existing trading market for our common stock or to or through a market maker, or as otherwise may be agreed between us and the applicable Sales Agent. None of the Sales Agents or the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Forward Sellers are required, individually or collectively, to sell any specific number or dollar amount of shares of our common stock, but subject to the terms and conditions of the applicable equity distribution agreement (and, with respect to any Forward Seller, only if the Forward Seller and the related Forward Purchaser have accepted our instructions), each has agreed to use its commercially reasonable efforts consistent with its normal trading and sales practices to sell shares of our common stock up to the amount specified.</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The equity distribution agreements contemplate that, in addition to the issuance and sale of shares of our common stock by us through or to the Sales Agents, acting as our sales agents or as principals, as applicable, we may also enter into one or more forward transactions (each, a “forward sale transaction” and, collectively, the “forward sale transactions”) under separate master forward sale confirmations and related supplemental confirmations, with each of Cititbank, N.A., Bank of Montreal, Jefferies LLC, Nomura Global Financial Products, Inc., Raymond James &amp; Associates, Inc., Royal Bank of Canada, Truist Bank and Wells Fargo Bank, National Association. When acting in their capacity as purchasers under any forward sale transactions, we refer to these entities individually as a “Forward Purchaser” and, collectively, as the “Forward Purchasers.” If we enter into a forward sale transaction with any Forward Purchaser, we expect that such Forward Purchaser or one of its affiliates will attempt to borrow from third parties and sell, through its related Forward Seller, the number of shares of our common stock underlying such forward sale transaction in order to hedge such Forward Purchaser’s exposure under such forward sale transaction. Unless otherwise expressly stated or the context otherwise requires, references herein to the “related” or “relevant” Forward Purchaser mean, with respect to any Sales Agent, the affiliate or agent of such Sales Agent that is acting as Forward Purchaser or, if applicable, such Sales Agent acting in its capacity as Forward Purchaser (except in the case of BTIG, LLC, in which case the reference to the “related” or “relevant” Forward Purchaser means Nomura Global Financial Products, Inc.), and references herein to “applicable” Forward Purchaser or “applicable” forward sale transactions mean, with respect to any Forward Purchaser and any forward sale transaction, the Forward Purchaser party to such forward sale transaction, as applicable. We will not initially receive any proceeds from any sale of shares of our common stock borrowed by a Forward Purchaser (or affiliate or agent thereof) and sold through a Forward Seller, but we may receive contingency premiums from the applicable Contingent Forward Purchasers (as described below) upon entry into contingent forward transactions.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A forward sale transaction may take the form of a contingent forward transaction or a non-contingent forward transaction. In the case of a forward sale transaction that we refer to as a “contingent forward transaction,” which we may enter into with Jefferies LLC, Citibank, N.A., Royal Bank of Canada, Truist Bank and Wells Fargo Bank, National Association, each as Forward Purchaser (when acting in such capacity, individually, a “Contingent Forward Purchaser” and, collectively, the “Contingent Forward Purchasers”), our obligation to sell, and the applicable Contingent Forward Purchaser’s obligation to purchase, the shares of our common stock underlying such forward sale transaction at the applicable forward sale price will be contingent on such Contingent Forward Purchaser’s exercise (or deemed exercise) of such contingency, which may occur in whole or in part from time to time prior to specified contingency expiration dates. In consideration of such contingency, we may receive a contingency premium from the applicable Contingent Forward Purchaser upon entry into such contingent forward transaction, which we will be entitled to retain regardless of whether such contingency is exercised. To the extent such contingency is exercised with respect to a portion of a contingent forward transaction, we refer to such portion as the “contingency exercised portion” of such contingent forward transaction, and we refer to the remaining portion, to the extent such contingency has not yet been exercised but remains exercisable, as the “contingent portion.” We expect that the initial forward sale price of any contingent forward transaction will be above, but not substantially above, the volume-weighted average sale price per share at which the applicable Forward Seller established its hedge position in respect of such contingent forward transaction (the “contingent forward initial hedge position”). In addition, we expect that on the same days when the relevant Contingent Forward Purchaser is selling shares of our common stock underlying such contingent forward transaction through the applicable Forward Seller, such Contingent Forward Purchaser will contemporaneously purchase a substantial portion of such number of shares in the open market for its own account to offset such number of shares sold into the market, as such Contingent Forward Purchaser expects its contingent forward initial hedge position to be less than the maximum number of shares of our common stock underlying such contingent forward transaction.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In the case of a forward sale transaction that we refer to as a “non-contingent forward transaction,” which we may enter into with any of the Forward Purchasers, our obligation to sell, and the applicable Forward Purchaser’s obligation to purchase, the shares of our common stock underlying such forward sale transaction at the applicable forward sale price will not be subject to the contingency described above. We refer to each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non-contingent forward transaction and the contingency exercised portion of each contingent forward transaction as a “fixed share forward sale transaction.” Unless otherwise indicated or the context otherwise requires, references in this prospectus supplement to the settlement of a forward sale transaction, or to the forward sale price or the acceleration, termination, physical settlement, cash settlement or net share settlement provisions of a forward sale transaction, refer, in the case of a contingent forward transaction, to the contingency exercised portion of such contingent forward transaction (that is, to the related fixed share forward sale transaction).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We currently expect to fully physically settle each forward sale transaction, if any, on one or more dates specified by us on or prior to the maturity date of such forward sale transaction, in which case we expect to receive aggregate net cash proceeds at settlement equal to the number of shares underlying such forward sale transaction multiplied by the relevant forward sale price per share. However, subject to certain exceptions, we may also elect, in our sole discretion, to cash settle or net share settle all or any portion of our obligations under any forward sale transaction. If we elect to cash settle any forward sale transaction, we may not receive any proceeds and we may owe cash to the applicable Forward Purchaser in certain circumstances. If we elect to net share settle any forward sale transaction, we will not receive any proceeds and we may owe shares of our common stock to the applicable Forward Purchaser in certain circumstances. For additional information, see “Plan of Distribution” in this prospectus supplement.</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Each Sales Agent will receive from us a commission that will not exceed, but may be lower than, 2.0% of the gross sales price of all shares sold through it as Sales Agent under the applicable equity distribution agreement. In connection with any forward sale transaction, we will pay the applicable Forward Seller a commission, in the form of a reduced initial forward sale price under the related forward sale transaction, at a mutually agreed rate not exceeding 2.0% of the applicable mutually agreed initial forward sale price for such contingent forward transaction or 2.0% of the volume-weighted average of the sales prices per share of the borrowed shares of our common stock sold through such Forward Seller during the applicable forward hedge selling period in connection with a non-contingent forward transaction, as applicable (in each case, subject to certain adjustments). In connection with the sale of shares of our common stock on our behalf, the Sales Agents, the Forward Sellers and/or the Forward Purchasers may be deemed to be “underwriters” within the meaning of the Securities Act, and the compensation paid to the Sales Agents, the Forward Sellers and/or the Forward Purchasers may be deemed to be underwriting commissions or discounts. See “Plan of Distribution” for a description of compensation payable to the Sales Agents, the Forward Sellers and the Forward Purchasers.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We may also sell some or all of the shares of our common stock to a Sales Agent as principal for its own account at prices agreed upon at the time of sale. If we sell our common stock to any Sales Agent as principal, we will enter into a separate terms agreement with such Sales Agent.</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To assist us in qualifying as a real estate investment trust, our charter limits ownership by any person to 7.1% of the lesser of the number or value of shares of our outstanding common stock, with certain exceptions. See “Description of Common Stock of Easterly Government Properties, Inc.—Restrictions on Ownership and Transfer” in the accompanying prospectus.</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Our common stock is listed on the NYSE under the symbol “DEA” The last reported sale price of our common stock on the NYSE on August 3, 2026 was $25.29 per share.</w:t>
      </w:r>
    </w:p>
    <w:p>
      <w:pPr>
        <w:pStyle w:val="TextBody"/>
        <w:pBdr>
          <w:bottom w:val="single" w:sz="4" w:space="1" w:color="000000"/>
        </w:pBdr>
        <w:bidi w:val="0"/>
        <w:spacing w:before="0" w:after="120"/>
        <w:ind w:left="1890" w:right="1890" w:hanging="0"/>
        <w:jc w:val="left"/>
        <w:rPr/>
      </w:pPr>
      <w:r>
        <w:rPr/>
        <w:t> </w:t>
      </w:r>
    </w:p>
    <w:p>
      <w:pPr>
        <w:pStyle w:val="TextBody"/>
        <w:bidi w:val="0"/>
        <w:spacing w:before="0" w:after="240"/>
        <w:ind w:left="0" w:right="0" w:firstLine="720"/>
        <w:jc w:val="left"/>
        <w:rPr>
          <w:rFonts w:ascii="Times New Roman" w:hAnsi="Times New Roman"/>
          <w:i/>
          <w:color w:val="000000"/>
          <w:sz w:val="20"/>
        </w:rPr>
      </w:pPr>
      <w:r>
        <w:rPr>
          <w:rFonts w:ascii="Times New Roman" w:hAnsi="Times New Roman"/>
          <w:i/>
          <w:color w:val="000000"/>
          <w:sz w:val="20"/>
        </w:rPr>
        <w:t>Investing in our common stock involves risks. You should read carefully and consider the information under the caption “Risk Factors” beginning on page S-4 of this prospectus supplement and on page 2 of the accompanying prospectus, as well as the information under the caption “Risk Factors” in our Annual Report on Form 10-K for the year ended December 31, 2025, which is incorporated by reference in the accompanying prospectus, before investing in our common stock.</w:t>
      </w:r>
    </w:p>
    <w:p>
      <w:pPr>
        <w:pStyle w:val="TextBody"/>
        <w:pBdr>
          <w:bottom w:val="single" w:sz="4" w:space="1" w:color="000000"/>
        </w:pBdr>
        <w:bidi w:val="0"/>
        <w:spacing w:before="0" w:after="240"/>
        <w:ind w:left="1890" w:right="1890" w:firstLine="720"/>
        <w:jc w:val="left"/>
        <w:rPr/>
      </w:pPr>
      <w:r>
        <w:rPr/>
        <w:t> </w:t>
      </w:r>
    </w:p>
    <w:p>
      <w:pPr>
        <w:pStyle w:val="TextBody"/>
        <w:bidi w:val="0"/>
        <w:spacing w:before="0" w:after="200"/>
        <w:ind w:left="0" w:right="0" w:firstLine="720"/>
        <w:jc w:val="left"/>
        <w:rPr>
          <w:rFonts w:ascii="Times New Roman" w:hAnsi="Times New Roman"/>
          <w:b/>
          <w:color w:val="000000"/>
          <w:sz w:val="20"/>
        </w:rPr>
      </w:pPr>
      <w:r>
        <w:rPr>
          <w:rFonts w:ascii="Times New Roman" w:hAnsi="Times New Roman"/>
          <w:b/>
          <w:color w:val="000000"/>
          <w:sz w:val="20"/>
        </w:rPr>
        <w:t>None of the Securities and Exchange Commission, any state securities commission nor any other regulatory body has approved or disapproved of these securities or passed upon the accuracy or adequacy of this prospectus supplement or the accompanying prospectus. Any representation to the contrary is a criminal offense.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color w:val="000000"/>
          <w:sz w:val="20"/>
        </w:rPr>
      </w:pPr>
      <w:r>
        <w:rPr>
          <w:rFonts w:ascii="Times New Roman" w:hAnsi="Times New Roman"/>
          <w:color w:val="000000"/>
          <w:sz w:val="20"/>
        </w:rPr>
        <w:t>______________________________________</w:t>
      </w:r>
    </w:p>
    <w:tbl>
      <w:tblPr>
        <w:tblW w:w="10205" w:type="dxa"/>
        <w:jc w:val="left"/>
        <w:tblInd w:w="0" w:type="dxa"/>
        <w:tblLayout w:type="fixed"/>
        <w:tblCellMar>
          <w:top w:w="28" w:type="dxa"/>
          <w:left w:w="28" w:type="dxa"/>
          <w:bottom w:w="28" w:type="dxa"/>
          <w:right w:w="28" w:type="dxa"/>
        </w:tblCellMar>
      </w:tblPr>
      <w:tblGrid>
        <w:gridCol w:w="946"/>
        <w:gridCol w:w="1220"/>
        <w:gridCol w:w="1397"/>
        <w:gridCol w:w="1367"/>
        <w:gridCol w:w="601"/>
        <w:gridCol w:w="1213"/>
        <w:gridCol w:w="1115"/>
        <w:gridCol w:w="1472"/>
        <w:gridCol w:w="874"/>
      </w:tblGrid>
      <w:tr>
        <w:trPr/>
        <w:tc>
          <w:tcPr>
            <w:tcW w:w="94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Citigroup</w:t>
            </w:r>
          </w:p>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BMO Capital Markets</w:t>
            </w:r>
          </w:p>
        </w:tc>
        <w:tc>
          <w:tcPr>
            <w:tcW w:w="136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BTIG</w:t>
            </w:r>
          </w:p>
        </w:tc>
        <w:tc>
          <w:tcPr>
            <w:tcW w:w="121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pPr>
            <w:r>
              <w:rPr/>
              <w:t> </w:t>
            </w:r>
          </w:p>
        </w:tc>
        <w:tc>
          <w:tcPr>
            <w:tcW w:w="1115"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Compass Point</w:t>
            </w:r>
          </w:p>
          <w:p>
            <w:pPr>
              <w:pStyle w:val="TableContents"/>
              <w:bidi w:val="0"/>
              <w:spacing w:before="0" w:after="283"/>
              <w:jc w:val="center"/>
              <w:rPr/>
            </w:pPr>
            <w:r>
              <w:rPr/>
              <w:t> </w:t>
            </w:r>
          </w:p>
        </w:tc>
        <w:tc>
          <w:tcPr>
            <w:tcW w:w="14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Jefferies</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Raymond James</w:t>
            </w:r>
          </w:p>
          <w:p>
            <w:pPr>
              <w:pStyle w:val="TableContents"/>
              <w:bidi w:val="0"/>
              <w:spacing w:before="0" w:after="283"/>
              <w:jc w:val="center"/>
              <w:rPr/>
            </w:pPr>
            <w:r>
              <w:rPr/>
              <w:t> </w:t>
            </w:r>
          </w:p>
        </w:tc>
        <w:tc>
          <w:tcPr>
            <w:tcW w:w="13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RBC Capital Markets</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Truist Securities</w:t>
            </w:r>
          </w:p>
        </w:tc>
        <w:tc>
          <w:tcPr>
            <w:tcW w:w="111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14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Wells Fargo Securities</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Prospectus Supplement dated August 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bookmarkStart w:id="2" w:name="mptableofcontents"/>
      <w:bookmarkEnd w:id="2"/>
      <w:r>
        <w:rPr>
          <w:rFonts w:ascii="Times New Roman" w:hAnsi="Times New Roman"/>
          <w:b/>
          <w:color w:val="000000"/>
          <w:sz w:val="20"/>
        </w:rPr>
        <w:t>TABLE OF CONTENTS</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Prospectus Supplement</w:t>
      </w:r>
    </w:p>
    <w:p>
      <w:pPr>
        <w:pStyle w:val="TextBody"/>
        <w:bidi w:val="0"/>
        <w:spacing w:before="0" w:after="200"/>
        <w:jc w:val="center"/>
        <w:rPr/>
      </w:pPr>
      <w:r>
        <w:rPr/>
        <w:t> </w:t>
      </w:r>
    </w:p>
    <w:tbl>
      <w:tblPr>
        <w:tblW w:w="4352" w:type="dxa"/>
        <w:jc w:val="left"/>
        <w:tblInd w:w="0" w:type="dxa"/>
        <w:tblLayout w:type="fixed"/>
        <w:tblCellMar>
          <w:top w:w="28" w:type="dxa"/>
          <w:left w:w="28" w:type="dxa"/>
          <w:bottom w:w="28" w:type="dxa"/>
          <w:right w:w="28" w:type="dxa"/>
        </w:tblCellMar>
      </w:tblPr>
      <w:tblGrid>
        <w:gridCol w:w="3781"/>
        <w:gridCol w:w="571"/>
      </w:tblGrid>
      <w:tr>
        <w:trPr/>
        <w:tc>
          <w:tcPr>
            <w:tcW w:w="37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Page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hyperlink w:anchor="about_this_prospectus_supplement">
              <w:r>
                <w:rPr>
                  <w:rStyle w:val="InternetLink"/>
                  <w:rFonts w:ascii="Times New Roman" w:hAnsi="Times New Roman"/>
                  <w:color w:val="0000FF"/>
                  <w:sz w:val="20"/>
                  <w:u w:val="single"/>
                </w:rPr>
                <w:t>ABOUT THIS PROSPECTUS SUPPLEMENT</w:t>
              </w:r>
            </w:hyperlink>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hyperlink w:anchor="prospectus_supplement_summary">
              <w:r>
                <w:rPr>
                  <w:rStyle w:val="InternetLink"/>
                  <w:rFonts w:ascii="Times New Roman" w:hAnsi="Times New Roman"/>
                  <w:color w:val="0000FF"/>
                  <w:sz w:val="20"/>
                  <w:u w:val="single"/>
                </w:rPr>
                <w:t>PROSPECTUS SUPPLEMENT SUMMARY</w:t>
              </w:r>
            </w:hyperlink>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S-4</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hyperlink w:anchor="plan_of_distribution">
              <w:r>
                <w:rPr>
                  <w:rStyle w:val="InternetLink"/>
                  <w:rFonts w:ascii="Times New Roman" w:hAnsi="Times New Roman"/>
                  <w:color w:val="0000FF"/>
                  <w:sz w:val="20"/>
                  <w:u w:val="single"/>
                </w:rPr>
                <w:t>PLAN OF DISTRIBUTION</w:t>
              </w:r>
            </w:hyperlink>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S-9</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S-16</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S-16</w:t>
            </w:r>
          </w:p>
        </w:tc>
      </w:tr>
    </w:tbl>
    <w:p>
      <w:pPr>
        <w:pStyle w:val="TextBody"/>
        <w:bidi w:val="0"/>
        <w:ind w:left="0" w:right="720" w:hanging="72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bidi w:val="0"/>
        <w:jc w:val="center"/>
        <w:rPr/>
      </w:pPr>
      <w:r>
        <w:rPr/>
        <w:t> </w:t>
      </w:r>
    </w:p>
    <w:tbl>
      <w:tblPr>
        <w:tblW w:w="9752" w:type="dxa"/>
        <w:jc w:val="left"/>
        <w:tblInd w:w="0" w:type="dxa"/>
        <w:tblLayout w:type="fixed"/>
        <w:tblCellMar>
          <w:top w:w="28" w:type="dxa"/>
          <w:left w:w="28" w:type="dxa"/>
          <w:bottom w:w="28" w:type="dxa"/>
          <w:right w:w="28" w:type="dxa"/>
        </w:tblCellMar>
      </w:tblPr>
      <w:tblGrid>
        <w:gridCol w:w="8941"/>
        <w:gridCol w:w="811"/>
      </w:tblGrid>
      <w:tr>
        <w:trPr/>
        <w:tc>
          <w:tcPr>
            <w:tcW w:w="89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8941"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20"/>
              </w:rPr>
            </w:pPr>
            <w:r>
              <w:rPr>
                <w:rFonts w:ascii="Times New Roman" w:hAnsi="Times New Roman"/>
                <w:b/>
                <w:color w:val="000000"/>
                <w:sz w:val="20"/>
              </w:rPr>
              <w:t>Page</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prospectus_summary">
              <w:r>
                <w:rPr>
                  <w:rStyle w:val="InternetLink"/>
                  <w:rFonts w:ascii="Times New Roman" w:hAnsi="Times New Roman"/>
                  <w:color w:val="0000FF"/>
                  <w:sz w:val="20"/>
                  <w:u w:val="single"/>
                </w:rPr>
                <w:t>PROSPECTUS SUMMARY</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risk_factors_1">
              <w:r>
                <w:rPr>
                  <w:rStyle w:val="InternetLink"/>
                  <w:rFonts w:ascii="Times New Roman" w:hAnsi="Times New Roman"/>
                  <w:color w:val="0000FF"/>
                  <w:sz w:val="20"/>
                  <w:u w:val="single"/>
                </w:rPr>
                <w:t>RISK FACTORS</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autionary_statement_regarding_forward">
              <w:r>
                <w:rPr>
                  <w:rStyle w:val="InternetLink"/>
                  <w:rFonts w:ascii="Times New Roman" w:hAnsi="Times New Roman"/>
                  <w:color w:val="0000FF"/>
                  <w:sz w:val="20"/>
                  <w:u w:val="single"/>
                </w:rPr>
                <w:t>CAUTIONARY STATEMENT REGARDING FORWARD-LOOKING STATEMENTS</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4</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ncorporation_certain_documents_by">
              <w:r>
                <w:rPr>
                  <w:rStyle w:val="InternetLink"/>
                  <w:rFonts w:ascii="Times New Roman" w:hAnsi="Times New Roman"/>
                  <w:color w:val="0000FF"/>
                  <w:sz w:val="20"/>
                  <w:u w:val="single"/>
                </w:rPr>
                <w:t>INCORPORATION OF CERTAIN DOCUMENTS BY REFERENCE</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use_of_proceeds_1">
              <w:r>
                <w:rPr>
                  <w:rStyle w:val="InternetLink"/>
                  <w:rFonts w:ascii="Times New Roman" w:hAnsi="Times New Roman"/>
                  <w:color w:val="0000FF"/>
                  <w:sz w:val="20"/>
                  <w:u w:val="single"/>
                </w:rPr>
                <w:t>USE OF PROCEEDS</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6</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description_common_stock_easterly_govern">
              <w:r>
                <w:rPr>
                  <w:rStyle w:val="InternetLink"/>
                  <w:rFonts w:ascii="Times New Roman" w:hAnsi="Times New Roman"/>
                  <w:color w:val="0000FF"/>
                  <w:sz w:val="20"/>
                  <w:u w:val="single"/>
                </w:rPr>
                <w:t>DESCRIPTION OF COMMON STOCK OF EASTERLY GOVERNMENT PROPERTIES, INC.</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7</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description_preferred_stock_of_easter">
              <w:r>
                <w:rPr>
                  <w:rStyle w:val="InternetLink"/>
                  <w:rFonts w:ascii="Times New Roman" w:hAnsi="Times New Roman"/>
                  <w:color w:val="0000FF"/>
                  <w:sz w:val="20"/>
                  <w:u w:val="single"/>
                </w:rPr>
                <w:t>DESCRIPTION OF PREFERRED STOCK OF EASTERLY GOVERNMENT PROPERTIES, INC.</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11</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description_stock_purchase_contracts_eas">
              <w:r>
                <w:rPr>
                  <w:rStyle w:val="InternetLink"/>
                  <w:rFonts w:ascii="Times New Roman" w:hAnsi="Times New Roman"/>
                  <w:color w:val="0000FF"/>
                  <w:sz w:val="20"/>
                  <w:u w:val="single"/>
                </w:rPr>
                <w:t>DESCRIPTION OF STOCK PURCHASE CONTRACTS OF EASTERLY GOVERNMENT PROPERTIES, INC.</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13</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description_depositary_shares_easterly">
              <w:r>
                <w:rPr>
                  <w:rStyle w:val="InternetLink"/>
                  <w:rFonts w:ascii="Times New Roman" w:hAnsi="Times New Roman"/>
                  <w:color w:val="0000FF"/>
                  <w:sz w:val="20"/>
                  <w:u w:val="single"/>
                </w:rPr>
                <w:t>DESCRIPTION OF DEPOSITARY SHARES OF EASTERLY GOVERNMENT PROPERTIES, INC.</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14</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description_warrants_easterly_government">
              <w:r>
                <w:rPr>
                  <w:rStyle w:val="InternetLink"/>
                  <w:rFonts w:ascii="Times New Roman" w:hAnsi="Times New Roman"/>
                  <w:color w:val="0000FF"/>
                  <w:sz w:val="20"/>
                  <w:u w:val="single"/>
                </w:rPr>
                <w:t>DESCRIPTION OF WARRANTS OF EASTERLY GOVERNMENT PROPERTIES, INC.</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17</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global_securities">
              <w:r>
                <w:rPr>
                  <w:rStyle w:val="InternetLink"/>
                  <w:rFonts w:ascii="Times New Roman" w:hAnsi="Times New Roman"/>
                  <w:color w:val="0000FF"/>
                  <w:sz w:val="20"/>
                  <w:u w:val="single"/>
                </w:rPr>
                <w:t>GLOBAL SECURITIES</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18</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material_provisions_maryland_law_and_our">
              <w:r>
                <w:rPr>
                  <w:rStyle w:val="InternetLink"/>
                  <w:rFonts w:ascii="Times New Roman" w:hAnsi="Times New Roman"/>
                  <w:color w:val="0000FF"/>
                  <w:sz w:val="20"/>
                  <w:u w:val="single"/>
                </w:rPr>
                <w:t>MATERIAL PROVISIONS OF MARYLAND LAW AND OUR CHARTER AND BYLAWS</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19</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ertain_united_states_federal_income_tax">
              <w:r>
                <w:rPr>
                  <w:rStyle w:val="InternetLink"/>
                  <w:rFonts w:ascii="Times New Roman" w:hAnsi="Times New Roman"/>
                  <w:color w:val="0000FF"/>
                  <w:sz w:val="20"/>
                  <w:u w:val="single"/>
                </w:rPr>
                <w:t>CERTAIN UNITED STATES FEDERAL INCOME TAX CONSIDERATIONS</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27</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selling_security_holders">
              <w:r>
                <w:rPr>
                  <w:rStyle w:val="InternetLink"/>
                  <w:rFonts w:ascii="Times New Roman" w:hAnsi="Times New Roman"/>
                  <w:color w:val="0000FF"/>
                  <w:sz w:val="20"/>
                  <w:u w:val="single"/>
                </w:rPr>
                <w:t>SELLING SECURITY HOLDERS</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47</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plan_of_distribution_1">
              <w:r>
                <w:rPr>
                  <w:rStyle w:val="InternetLink"/>
                  <w:rFonts w:ascii="Times New Roman" w:hAnsi="Times New Roman"/>
                  <w:color w:val="0000FF"/>
                  <w:sz w:val="20"/>
                  <w:u w:val="single"/>
                </w:rPr>
                <w:t>PLAN OF DISTRIBUTION</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47</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legal_matters_1">
              <w:r>
                <w:rPr>
                  <w:rStyle w:val="InternetLink"/>
                  <w:rFonts w:ascii="Times New Roman" w:hAnsi="Times New Roman"/>
                  <w:color w:val="0000FF"/>
                  <w:sz w:val="20"/>
                  <w:u w:val="single"/>
                </w:rPr>
                <w:t>LEGAL MATTERS</w:t>
              </w:r>
            </w:hyperlink>
          </w:p>
        </w:tc>
        <w:tc>
          <w:tcPr>
            <w:tcW w:w="8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52</w:t>
            </w:r>
          </w:p>
        </w:tc>
      </w:tr>
      <w:tr>
        <w:trPr/>
        <w:tc>
          <w:tcPr>
            <w:tcW w:w="894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experts_1">
              <w:r>
                <w:rPr>
                  <w:rStyle w:val="InternetLink"/>
                  <w:rFonts w:ascii="Times New Roman" w:hAnsi="Times New Roman"/>
                  <w:color w:val="0000FF"/>
                  <w:sz w:val="20"/>
                  <w:u w:val="single"/>
                </w:rPr>
                <w:t>EXPERTS</w:t>
              </w:r>
            </w:hyperlink>
          </w:p>
        </w:tc>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ABOUT THIS PROSPECTUS SUPPLEMENT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This document is in two parts. The first part is this prospectus supplement, which describes the specific terms of this offering and also adds to and updates information in the accompanying prospectus and the documents incorporated by reference therein. The second part is the accompanying prospectus, which provides more general information, some of which may not apply to this offering. You should read this entire document, including the prospectus supplement, the accompanying prospectus and the documents incorporated by reference therein, and any “free writing prospectus” we authorize to be delivered to you. We, the Sales Agents, the Forward Sellers and the Forward Purchasers have not authorized anyone else to provide you with different or additional information. If anyone provides you with different or additional information, you should not rely on it. In the event that the description of this offering varies between this prospectus supplement and the accompanying prospectus, you should rely on the information contained in this prospectus supplement. To the extent the information included in this prospectus supplement differs or varies from the information included or incorporated by reference in the accompanying prospectus, the information included in this prospectus supplement updates and supersedes such information. You should assume that the information appearing in this prospectus supplement and the accompanying prospectus, including the documents incorporated by reference therein, and any authorized “free writing prospectus” is accurate only as of their respective dates. Our business, financial condition, results of operations and prospects may have changed since those dates.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This prospectus supplement and the accompanying prospectus contain, or incorporate by reference, forward-looking statements. Such forward-looking statements should be considered together with the cautionary statements and important factors included or referred to in this prospectus supplement, the accompanying prospectus and the documents incorporated therein by reference. Please see “Forward-Looking Statements” in this prospectus supplement and “Cautionary Statement Regarding Forward-Looking Statements” in the accompanying prospectus.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Unless otherwise indicated or the context requires otherwise, in this prospectus supplement and the accompanying prospectus, references to “we,” “our,” “us,” and “our company” refer to Easterly Government Properties, Inc., a Maryland corporation, and its consolidated subsidiaries, including Easterly Government Properties LP, a Delaware limited partnership, which we refer to in this prospectus supplement and the accompanying prospectus as our “operating partnership.”</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distribution of this prospectus supplement, the accompanying prospectus and any authorized “free writing prospectus” and the offering of the shares of our common stock may be restricted by law. If you possess this prospectus supplement, the accompanying prospectus or any authorized “free writing prospectus,” you should find out about and observe these restrictions. This prospectus supplement, the accompanying prospectus and any authorized “free writing prospectus” are not an offer to sell the shares and are not soliciting an offer to buy the shares in any jurisdiction where the offer or sale is not permitted or where the person making the offer or sale is not qualified to do so or to any person to whom it is not permitted to make such offer 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FORWARD-LOOKING STATEMENTS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This prospectus supplement, the accompanying prospectus and the documents incorporated by reference therein contain forward-looking statements within the meaning of the Private Securities Litigation Reform Act of 1995, Section 27A of the Securities Act and Section 21E of the Securities Exchange Act of 1934, as amended (the “Exchange Act”). We caution investors that forward-looking statements presented in this prospectus supplement, the accompanying prospectus or any of the documents incorporated by reference therein are based on management’s beliefs and on assumptions made by, and information currently available to, management. When used, the words “anticipate,” “believe,” “estimate,” “expect,” “intend,” “may,” “might,” “plan,” “potential,” “project,” “result,” “seek,” “should,” “target,” “will,” and similar expressions which do not relate solely to historical matters are intended to identify forward-looking statements. These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We expressly disclaim any responsibility to update our forward-looking statements, whether as a result of new information, future events, or otherwise. Accordingly, investors should use caution in relying on forward-looking statements, which are based on results and trends at the time they are made, to anticipate future results or trends.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Some of the risks and uncertainties that may cause our actual results, performance, or achievements to differ materially from those expressed or implied by forward-looking statements include, among others, the following:</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risks associated with our dependence on the U.S. Government and its agencies for substantially all of our revenues, including credit risk and risk that the U.S. Government reduces its spending on real estate or that it changes its preference away from leased properties, including as a result of or in connection with any shutdown of the U.S. Government;</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risks associated with ownership and development of real estate;</w:t>
      </w:r>
    </w:p>
    <w:p>
      <w:pPr>
        <w:pStyle w:val="TextBody"/>
        <w:bidi w:val="0"/>
        <w:jc w:val="center"/>
        <w:rPr>
          <w:rFonts w:ascii="Times New Roman" w:hAnsi="Times New Roman"/>
          <w:color w:val="000000"/>
          <w:sz w:val="20"/>
        </w:rPr>
      </w:pPr>
      <w:r>
        <w:rPr>
          <w:rFonts w:ascii="Times New Roman" w:hAnsi="Times New Roman"/>
          <w:color w:val="000000"/>
          <w:sz w:val="20"/>
        </w:rPr>
        <w:t>S-ii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risk of decreased rental rates or increased vacancy rates;</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loss of key personnel;</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general volatility of the capital and credit markets and the market price of our common stock;</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risk we may lose one or more major tenants;</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difficulties in completing and successfully integrating acquisitions;</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failure of acquisitions or development projects to occur at anticipated levels or yield anticipated results;</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risks associated with actual or threatened terrorist attacks;</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risks associated with our joint venture activities;</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intense competition in the real estate market that may limit our ability to attract or retain tenants or re-lease space;</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insufficient amounts of insurance or exposure to events that are either uninsured or underinsured;</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uncertainties and risks related to adverse weather conditions, natural disasters and climate change;</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exposure to liability relating to environmental and health and safety matters;</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limited ability to dispose of assets because of the relative illiquidity of real estate investments and the nature of our assets;</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exposure to litigation or other claims;</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risks associated with breaches of our data security;</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risks associated with our indebtedness, including failure to refinance current or future indebtedness on favorable terms, or at all, failure to meet the restrictive covenants and requirements in our existing and new debt agreements, fluctuations in interest rates and increased costs to refinance or issue new debt;</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risks associated with derivatives or hedging activity;</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risks associated with mortgage debt or unsecured financing or the unavailability thereof, which could make it difficult to finance or refinance properties and could subject us to foreclosure; </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adverse impacts from any future pandemic, epidemic or outbreak of any highly infectious disease on the U.S., regional and global economies and our financial condition and results of operations; and</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other risk factors identified in our most recently filed Annual Report on Form 10-K and Quarterly Report on Form 10-Q, including those described under the caption “Risk Factors,” and our other reports filed from time to time with the SEC.</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While forward-looking statements reflect our good faith beliefs, they are not guarantees of future performance. For further information on these and other factors that could affect us and the statements contained herein, you should refer to the section entitled “Risk Factors.”</w:t>
      </w:r>
    </w:p>
    <w:p>
      <w:pPr>
        <w:pStyle w:val="TextBody"/>
        <w:bidi w:val="0"/>
        <w:jc w:val="center"/>
        <w:rPr>
          <w:rFonts w:ascii="Times New Roman" w:hAnsi="Times New Roman"/>
          <w:color w:val="000000"/>
          <w:sz w:val="20"/>
        </w:rPr>
      </w:pPr>
      <w:r>
        <w:rPr>
          <w:rFonts w:ascii="Times New Roman" w:hAnsi="Times New Roman"/>
          <w:color w:val="000000"/>
          <w:sz w:val="20"/>
        </w:rPr>
        <w:t>S-iii</w:t>
      </w:r>
    </w:p>
    <w:p>
      <w:pPr>
        <w:pStyle w:val="HorizontalLine"/>
        <w:pBdr>
          <w:bottom w:val="double" w:sz="2" w:space="0" w:color="808080"/>
        </w:pBdr>
        <w:bidi w:val="0"/>
        <w:spacing w:before="0" w:after="283"/>
        <w:jc w:val="left"/>
        <w:rPr/>
      </w:pPr>
      <w:r>
        <w:rPr/>
      </w:r>
    </w:p>
    <w:p>
      <w:pPr>
        <w:pStyle w:val="TextBody"/>
        <w:bidi w:val="0"/>
        <w:ind w:left="1335" w:right="1335"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PROSPECTUS SUPPLEMENT SUMMARY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1335" w:right="1335" w:firstLine="720"/>
        <w:jc w:val="left"/>
        <w:rPr>
          <w:rFonts w:ascii="Times New Roman" w:hAnsi="Times New Roman"/>
          <w:i/>
          <w:color w:val="000000"/>
          <w:sz w:val="20"/>
        </w:rPr>
      </w:pPr>
      <w:r>
        <w:rPr>
          <w:rFonts w:ascii="Times New Roman" w:hAnsi="Times New Roman"/>
          <w:i/>
          <w:color w:val="000000"/>
          <w:sz w:val="20"/>
        </w:rPr>
        <w:t>This summary highlights selected information from this prospectus supplement, the accompanying prospectus and the documents incorporated by reference therein. It does not contain all of the information that may be important to you. We encourage you to carefully read this entire prospectus supplement, the accompanying prospectus and the documents incorporated by reference therein, especially the “Risk Factors” section beginning on page S-4 of this prospectus supplement, on page 2 of the accompanying prospectus, in our Annual Report on Form 10-K for the fiscal year ended December 31, 2025 filed with the SEC on February 23, 2026 and in our other public filings before making an investment decision regarding our common stock.</w:t>
      </w:r>
    </w:p>
    <w:p>
      <w:pPr>
        <w:pStyle w:val="TextBody"/>
        <w:bidi w:val="0"/>
        <w:spacing w:before="0" w:after="200"/>
        <w:ind w:left="1335" w:right="1335" w:hanging="0"/>
        <w:jc w:val="center"/>
        <w:rPr>
          <w:rFonts w:ascii="Times New Roman" w:hAnsi="Times New Roman"/>
          <w:b/>
          <w:color w:val="000000"/>
          <w:sz w:val="20"/>
        </w:rPr>
      </w:pPr>
      <w:r>
        <w:rPr>
          <w:rFonts w:ascii="Times New Roman" w:hAnsi="Times New Roman"/>
          <w:b/>
          <w:color w:val="000000"/>
          <w:sz w:val="20"/>
        </w:rPr>
        <w:t>Our Company</w:t>
      </w:r>
    </w:p>
    <w:p>
      <w:pPr>
        <w:pStyle w:val="TextBody"/>
        <w:bidi w:val="0"/>
        <w:spacing w:before="0" w:after="200"/>
        <w:ind w:left="1335" w:right="1335" w:firstLine="720"/>
        <w:jc w:val="left"/>
        <w:rPr>
          <w:rFonts w:ascii="Times New Roman" w:hAnsi="Times New Roman"/>
          <w:color w:val="000000"/>
          <w:sz w:val="20"/>
        </w:rPr>
      </w:pPr>
      <w:r>
        <w:rPr>
          <w:rFonts w:ascii="Times New Roman" w:hAnsi="Times New Roman"/>
          <w:color w:val="000000"/>
          <w:sz w:val="20"/>
        </w:rPr>
        <w:t>Easterly Government Properties, Inc. is an internally managed real estate investment trust (“REIT”) focused primarily on the acquisition, development and management of Class A commercial properties that are leased to U.S. Government agencies that serve essential functions. We generate over 85% of our revenue by leasing our properties to such agencies, either directly or through the U.S. General Services Administration. Our objective is to generate attractive risk-adjusted returns for our stockholders over the long term through dividends and capital appreciation.</w:t>
      </w:r>
    </w:p>
    <w:p>
      <w:pPr>
        <w:pStyle w:val="TextBody"/>
        <w:bidi w:val="0"/>
        <w:spacing w:before="0" w:after="200"/>
        <w:ind w:left="1335" w:right="1335" w:firstLine="720"/>
        <w:jc w:val="left"/>
        <w:rPr>
          <w:rFonts w:ascii="Times New Roman" w:hAnsi="Times New Roman"/>
          <w:color w:val="000000"/>
          <w:sz w:val="20"/>
        </w:rPr>
      </w:pPr>
      <w:r>
        <w:rPr>
          <w:rFonts w:ascii="Times New Roman" w:hAnsi="Times New Roman"/>
          <w:color w:val="000000"/>
          <w:sz w:val="20"/>
        </w:rPr>
        <w:t>We focus primarily on acquiring, developing and managing U.S. Government-leased properties that are essential to supporting the mission of the tenant agency and strive to be a partner of choice for the U.S. Government, working closely with the tenant agency to meet its needs and objectives. We continue to pursue opportunities to add properties to our portfolio, including acquiring properties leased to state and local governments with strong creditworthiness and other opportunities that directly or indirectly support the mission of select government agencies. As of June 30, 2026, we wholly owned 96 operating properties and ten operating properties through an unconsolidated joint venture in the United States encompassing approximately 10.7 million leased square feet (10.2 million pro rata), including 93 operating properties that were leased primarily to U.S. Government tenant agencies, eight operating properties entirely leased to tenant agencies of a U.S. state or local government and five operating properties that were entirely leased to private tenants. As of June 30, 2026, our operating properties were 98% leased. For purposes of calculating percentage leased, we exclude from the denominator total square feet that was unleased and to which we attributed no value at the time of acquisition. In addition, we wholly owned three properties under development that we expect will encompass approximately 0.2 million leased square feet upon completion.</w:t>
      </w:r>
    </w:p>
    <w:p>
      <w:pPr>
        <w:pStyle w:val="TextBody"/>
        <w:bidi w:val="0"/>
        <w:spacing w:before="0" w:after="200"/>
        <w:ind w:left="1335" w:right="1335" w:firstLine="720"/>
        <w:jc w:val="left"/>
        <w:rPr>
          <w:rFonts w:ascii="Times New Roman" w:hAnsi="Times New Roman"/>
          <w:color w:val="000000"/>
          <w:sz w:val="20"/>
        </w:rPr>
      </w:pPr>
      <w:r>
        <w:rPr>
          <w:rFonts w:ascii="Times New Roman" w:hAnsi="Times New Roman"/>
          <w:color w:val="000000"/>
          <w:sz w:val="20"/>
        </w:rPr>
        <w:t xml:space="preserve">Our operating partnership holds substantially all of our assets and conducts substantially all of our business. We are the sole general partner of our operating partnership and owned approximately 96.7% of the aggregate limited partnership interests in our operating partnership as of June 30, 2026. We have elected to be taxed as a REIT and believe that we have operated and have been organized in conformity with the requirements for qualification and taxation as a REIT for U.S. federal income tax purposes commencing with our taxable year ended December 31, 2015. </w:t>
      </w:r>
    </w:p>
    <w:p>
      <w:pPr>
        <w:pStyle w:val="TextBody"/>
        <w:bidi w:val="0"/>
        <w:spacing w:before="0" w:after="200"/>
        <w:ind w:left="1335" w:right="1335" w:firstLine="720"/>
        <w:jc w:val="left"/>
        <w:rPr>
          <w:rFonts w:ascii="Times New Roman" w:hAnsi="Times New Roman"/>
          <w:color w:val="000000"/>
          <w:sz w:val="20"/>
        </w:rPr>
      </w:pPr>
      <w:r>
        <w:rPr>
          <w:rFonts w:ascii="Times New Roman" w:hAnsi="Times New Roman"/>
          <w:color w:val="000000"/>
          <w:sz w:val="20"/>
        </w:rPr>
        <w:t>Our principal executive offices are located at 2001 K Street NW, Suite 775 North, Washington, DC 20006, and our telephone number is 202-595-9500.</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left"/>
        <w:rPr/>
      </w:pPr>
      <w:r>
        <w:rPr/>
        <w:t> </w:t>
      </w:r>
    </w:p>
    <w:p>
      <w:pPr>
        <w:pStyle w:val="TextBody"/>
        <w:bidi w:val="0"/>
        <w:ind w:left="1335" w:right="1335" w:hanging="0"/>
        <w:jc w:val="center"/>
        <w:rPr>
          <w:rFonts w:ascii="Times New Roman" w:hAnsi="Times New Roman"/>
          <w:color w:val="000000"/>
          <w:sz w:val="20"/>
        </w:rPr>
      </w:pPr>
      <w:r>
        <w:rPr>
          <w:rFonts w:ascii="Times New Roman" w:hAnsi="Times New Roman"/>
          <w:color w:val="000000"/>
          <w:sz w:val="20"/>
        </w:rPr>
        <w:t>S-1</w:t>
      </w:r>
    </w:p>
    <w:p>
      <w:pPr>
        <w:pStyle w:val="HorizontalLine"/>
        <w:pBdr>
          <w:bottom w:val="double" w:sz="2" w:space="0" w:color="808080"/>
        </w:pBdr>
        <w:bidi w:val="0"/>
        <w:spacing w:before="0" w:after="283"/>
        <w:jc w:val="left"/>
        <w:rPr/>
      </w:pPr>
      <w:r>
        <w:rPr/>
      </w:r>
    </w:p>
    <w:p>
      <w:pPr>
        <w:pStyle w:val="TextBody"/>
        <w:bidi w:val="0"/>
        <w:ind w:left="1335" w:right="1335" w:hanging="0"/>
        <w:jc w:val="left"/>
        <w:rPr/>
      </w:pPr>
      <w:r>
        <w:rPr/>
        <w:t> </w:t>
      </w:r>
    </w:p>
    <w:p>
      <w:pPr>
        <w:pStyle w:val="TextBody"/>
        <w:bidi w:val="0"/>
        <w:spacing w:before="0" w:after="200"/>
        <w:ind w:left="1335" w:right="1335" w:hanging="0"/>
        <w:jc w:val="center"/>
        <w:rPr>
          <w:rFonts w:ascii="Times New Roman" w:hAnsi="Times New Roman"/>
          <w:b/>
          <w:color w:val="000000"/>
          <w:sz w:val="20"/>
        </w:rPr>
      </w:pPr>
      <w:r>
        <w:rPr>
          <w:rFonts w:ascii="Times New Roman" w:hAnsi="Times New Roman"/>
          <w:b/>
          <w:color w:val="000000"/>
          <w:sz w:val="20"/>
        </w:rPr>
        <w:t>The Offering</w:t>
      </w:r>
    </w:p>
    <w:tbl>
      <w:tblPr>
        <w:tblW w:w="7535" w:type="dxa"/>
        <w:jc w:val="left"/>
        <w:tblInd w:w="1335" w:type="dxa"/>
        <w:tblLayout w:type="fixed"/>
        <w:tblCellMar>
          <w:top w:w="28" w:type="dxa"/>
          <w:left w:w="28" w:type="dxa"/>
          <w:bottom w:w="28" w:type="dxa"/>
          <w:right w:w="28" w:type="dxa"/>
        </w:tblCellMar>
      </w:tblPr>
      <w:tblGrid>
        <w:gridCol w:w="1341"/>
        <w:gridCol w:w="6194"/>
      </w:tblGrid>
      <w:tr>
        <w:trPr/>
        <w:tc>
          <w:tcPr>
            <w:tcW w:w="1341" w:type="dxa"/>
            <w:tcBorders/>
            <w:vAlign w:val="center"/>
          </w:tcPr>
          <w:p>
            <w:pPr>
              <w:pStyle w:val="TableContents"/>
              <w:bidi w:val="0"/>
              <w:spacing w:before="0" w:after="283"/>
              <w:jc w:val="left"/>
              <w:rPr>
                <w:sz w:val="4"/>
                <w:szCs w:val="4"/>
              </w:rPr>
            </w:pPr>
            <w:r>
              <w:rPr>
                <w:sz w:val="4"/>
                <w:szCs w:val="4"/>
              </w:rPr>
            </w:r>
          </w:p>
        </w:tc>
        <w:tc>
          <w:tcPr>
            <w:tcW w:w="6194" w:type="dxa"/>
            <w:tcBorders/>
            <w:vAlign w:val="center"/>
          </w:tcPr>
          <w:p>
            <w:pPr>
              <w:pStyle w:val="TableContents"/>
              <w:bidi w:val="0"/>
              <w:spacing w:before="0" w:after="283"/>
              <w:jc w:val="left"/>
              <w:rPr>
                <w:sz w:val="4"/>
                <w:szCs w:val="4"/>
              </w:rPr>
            </w:pPr>
            <w:r>
              <w:rPr>
                <w:sz w:val="4"/>
                <w:szCs w:val="4"/>
              </w:rPr>
            </w:r>
          </w:p>
        </w:tc>
      </w:tr>
      <w:tr>
        <w:trPr/>
        <w:tc>
          <w:tcPr>
            <w:tcW w:w="13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Issuer</w:t>
            </w:r>
          </w:p>
        </w:tc>
        <w:tc>
          <w:tcPr>
            <w:tcW w:w="6194"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Easterly Government Properties, Inc., a Maryland corporation.</w:t>
            </w:r>
          </w:p>
        </w:tc>
      </w:tr>
      <w:tr>
        <w:trPr/>
        <w:tc>
          <w:tcPr>
            <w:tcW w:w="13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Common Stock Offered from</w:t>
              <w:br/>
              <w:t>Time to Time</w:t>
            </w:r>
          </w:p>
        </w:tc>
        <w:tc>
          <w:tcPr>
            <w:tcW w:w="6194"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Shares having an aggregate offering price of up to $300,000,000. As of the date of this prospectus supplement, shares of common stock having an aggregate offering price of up to $214,982,308 remain available for offer and sale, from time to time, pursuant to the equity distribution agreements and this prospectus supplement and the accompanying prospectus.</w:t>
            </w:r>
          </w:p>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The shares of our common stock offered pursuant to this prospectus supplement include newly issued shares that may be offered and sold by us through or to the Sales Agents, acting as our sales agents or as principals, as applicable, and borrowed shares of our common stock that may be offered and sold by the Forward Purchasers through the relevant Forward Sellers in connection with contingent forward transactions or non-contingent forward transactions. For additional information, see “Plan of Distribution—Sales Through Forward Sellers” in this prospectus supplement.</w:t>
            </w:r>
          </w:p>
        </w:tc>
      </w:tr>
      <w:tr>
        <w:trPr/>
        <w:tc>
          <w:tcPr>
            <w:tcW w:w="13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Use of Proceeds</w:t>
            </w:r>
          </w:p>
        </w:tc>
        <w:tc>
          <w:tcPr>
            <w:tcW w:w="6194"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We intend to contribute the net proceeds from the sale of shares of our common stock to or through the Sales Agents, after deducting commissions and offering expenses, as well as any net cash proceeds we receive upon the settlement of any forward sale transaction, and any contingency premiums we receive upon entry into any contingent forward transactions, to our operating partnership, which subsequently intends to use such net proceeds for general corporate purposes, which may include the acquisition, development, redevelopment or improvement of properties; full or partial repayment of debt; capital expenditures; working capital; and other general corporate or business purposes. Pending the use of the net proceeds as described above, we may use the net proceeds to temporarily reduce our indebtedness or invest the net proceeds in interest-bearing accounts and short-term, interest-bearing securities which are consistent with our intention to qualify as a REIT. See “Use of Proceeds” in this prospectus supplement.</w:t>
            </w:r>
          </w:p>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We will not initially receive any proceeds from the sale of shares of our common stock by any Forward Sellers, but we may receive contingency premiums upon entry into contingent forward transactions.</w:t>
            </w:r>
          </w:p>
        </w:tc>
      </w:tr>
      <w:tr>
        <w:trPr/>
        <w:tc>
          <w:tcPr>
            <w:tcW w:w="1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 Stock Exchange Symbol</w:t>
            </w:r>
          </w:p>
        </w:tc>
        <w:tc>
          <w:tcPr>
            <w:tcW w:w="619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DEA</w:t>
            </w:r>
          </w:p>
          <w:p>
            <w:pPr>
              <w:pStyle w:val="TableContents"/>
              <w:bidi w:val="0"/>
              <w:spacing w:before="0" w:after="283"/>
              <w:jc w:val="left"/>
              <w:rPr/>
            </w:pPr>
            <w:r>
              <w:rPr/>
              <w:t> </w:t>
            </w:r>
          </w:p>
        </w:tc>
      </w:tr>
      <w:tr>
        <w:trPr/>
        <w:tc>
          <w:tcPr>
            <w:tcW w:w="13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Accounting Treatment of Forward Sale Transactions</w:t>
            </w:r>
          </w:p>
        </w:tc>
        <w:tc>
          <w:tcPr>
            <w:tcW w:w="6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References in this summary to forward sale transactions refer to fixed share forward sale transactions, consisting of non-contingent forward transactions and the contingency exercised portion of any contingent forward transactions. In the event that we enter into any forward sale transactions, we expect that before any issuance of shares of our common stock upon physical or net share settlement of such forward sale transactions, the shares issuable upon settlement of such forward sale transactions will be reflected in our diluted earnings per share calculations using the treasury stock method. Under this method, the number of shares of our common stock used in calculating diluted earnings per share is deemed to be increased by the excess, if any, of the number of shares of our common stock that would be issued upon </w:t>
            </w:r>
          </w:p>
        </w:tc>
      </w:tr>
    </w:tbl>
    <w:p>
      <w:pPr>
        <w:pStyle w:val="TextBody"/>
        <w:bidi w:val="0"/>
        <w:ind w:left="1335" w:right="1335" w:hanging="0"/>
        <w:jc w:val="center"/>
        <w:rPr>
          <w:rFonts w:ascii="Times New Roman" w:hAnsi="Times New Roman"/>
          <w:color w:val="000000"/>
          <w:sz w:val="20"/>
        </w:rPr>
      </w:pPr>
      <w:r>
        <w:rPr>
          <w:rFonts w:ascii="Times New Roman" w:hAnsi="Times New Roman"/>
          <w:color w:val="000000"/>
          <w:sz w:val="20"/>
        </w:rPr>
        <w:t>S-2</w:t>
      </w:r>
    </w:p>
    <w:p>
      <w:pPr>
        <w:pStyle w:val="HorizontalLine"/>
        <w:pBdr>
          <w:bottom w:val="double" w:sz="2" w:space="0" w:color="808080"/>
        </w:pBdr>
        <w:bidi w:val="0"/>
        <w:spacing w:before="0" w:after="283"/>
        <w:jc w:val="left"/>
        <w:rPr/>
      </w:pPr>
      <w:r>
        <w:rPr/>
      </w:r>
    </w:p>
    <w:p>
      <w:pPr>
        <w:pStyle w:val="TextBody"/>
        <w:bidi w:val="0"/>
        <w:ind w:left="1335" w:right="1335" w:hanging="0"/>
        <w:jc w:val="left"/>
        <w:rPr/>
      </w:pPr>
      <w:r>
        <w:rPr/>
        <w:t> </w:t>
      </w:r>
    </w:p>
    <w:tbl>
      <w:tblPr>
        <w:tblW w:w="7535" w:type="dxa"/>
        <w:jc w:val="left"/>
        <w:tblInd w:w="1335" w:type="dxa"/>
        <w:tblLayout w:type="fixed"/>
        <w:tblCellMar>
          <w:top w:w="28" w:type="dxa"/>
          <w:left w:w="28" w:type="dxa"/>
          <w:bottom w:w="28" w:type="dxa"/>
          <w:right w:w="28" w:type="dxa"/>
        </w:tblCellMar>
      </w:tblPr>
      <w:tblGrid>
        <w:gridCol w:w="1170"/>
        <w:gridCol w:w="6365"/>
      </w:tblGrid>
      <w:tr>
        <w:trPr/>
        <w:tc>
          <w:tcPr>
            <w:tcW w:w="1170" w:type="dxa"/>
            <w:tcBorders/>
            <w:vAlign w:val="center"/>
          </w:tcPr>
          <w:p>
            <w:pPr>
              <w:pStyle w:val="TableContents"/>
              <w:bidi w:val="0"/>
              <w:spacing w:before="0" w:after="283"/>
              <w:jc w:val="left"/>
              <w:rPr>
                <w:sz w:val="4"/>
                <w:szCs w:val="4"/>
              </w:rPr>
            </w:pPr>
            <w:r>
              <w:rPr>
                <w:sz w:val="4"/>
                <w:szCs w:val="4"/>
              </w:rPr>
            </w:r>
          </w:p>
        </w:tc>
        <w:tc>
          <w:tcPr>
            <w:tcW w:w="6365" w:type="dxa"/>
            <w:tcBorders/>
            <w:vAlign w:val="center"/>
          </w:tcPr>
          <w:p>
            <w:pPr>
              <w:pStyle w:val="TableContents"/>
              <w:bidi w:val="0"/>
              <w:spacing w:before="0" w:after="283"/>
              <w:jc w:val="left"/>
              <w:rPr>
                <w:sz w:val="4"/>
                <w:szCs w:val="4"/>
              </w:rPr>
            </w:pPr>
            <w:r>
              <w:rPr>
                <w:sz w:val="4"/>
                <w:szCs w:val="4"/>
              </w:rPr>
            </w:r>
          </w:p>
        </w:tc>
      </w:tr>
      <w:tr>
        <w:trPr/>
        <w:tc>
          <w:tcPr>
            <w:tcW w:w="1170" w:type="dxa"/>
            <w:tcBorders/>
            <w:tcMar>
              <w:top w:w="0" w:type="dxa"/>
              <w:left w:w="0" w:type="dxa"/>
              <w:bottom w:w="0" w:type="dxa"/>
              <w:right w:w="0" w:type="dxa"/>
            </w:tcMar>
            <w:vAlign w:val="center"/>
          </w:tcPr>
          <w:p>
            <w:pPr>
              <w:pStyle w:val="TableContents"/>
              <w:bidi w:val="0"/>
              <w:spacing w:before="0" w:after="283"/>
              <w:jc w:val="left"/>
              <w:rPr/>
            </w:pPr>
            <w:r>
              <w:rPr/>
              <w:t> </w:t>
            </w:r>
          </w:p>
        </w:tc>
        <w:tc>
          <w:tcPr>
            <w:tcW w:w="6365"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full physical settlement of such forward sale transaction over the number of shares of our common stock that could be purchased by us in the market (based on the average market price during the period) using the proceeds receivable upon full physical settlement (based on the adjusted forward sale price at the end of the reporting period).</w:t>
            </w:r>
          </w:p>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Consequently, prior to physical or net share settlement of a particular forward sale transaction and subject to the occurrence of certain events, we anticipate there will be no dilutive effect on our earnings per share as a result of such forward sale transaction except during periods when the average market price of shares of our common stock is above the per share adjusted forward sale price of such forward sale transaction, subject to increase or decrease on a daily basis based on a floating interest rate factor equal to the overnight bank funding rate less an agreed spread, and subject to decrease on each of certain dates by amounts related to expected dividends on shares of our common stock during the term of such forward sale transaction. However, if we physically settle or net share settle any forward sale transaction, the delivery of shares of our common stock would result in an increase in the number of shares outstanding and dilution to our earnings per share and return on equity.</w:t>
            </w:r>
          </w:p>
        </w:tc>
      </w:tr>
      <w:tr>
        <w:trPr/>
        <w:tc>
          <w:tcPr>
            <w:tcW w:w="1170"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Restrictions on Ownership</w:t>
            </w:r>
          </w:p>
        </w:tc>
        <w:tc>
          <w:tcPr>
            <w:tcW w:w="6365"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To assist us in maintaining our qualification as a REIT, our charter provides that no person or entity may actually own or be deemed to own by virtue of the applicable constructive ownership provisions, more than 7.1% (in value or in number of shares, whichever is more restrictive) of the outstanding shares of each class or series of our stock, or 7.1% in value of the aggregate of the outstanding shares of all classes and series of our stock, in each case excluding any shares of our stock that are not treated as outstanding for U.S. federal income tax purposes. For more information, see “Description of Common Stock of Easterly Government Properties, Inc.—Restrictions on Ownership and Transfer” beginning on page 8 of the accompanying prospectus.</w:t>
            </w:r>
          </w:p>
        </w:tc>
      </w:tr>
      <w:tr>
        <w:trPr/>
        <w:tc>
          <w:tcPr>
            <w:tcW w:w="1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Factors</w:t>
            </w:r>
          </w:p>
        </w:tc>
        <w:tc>
          <w:tcPr>
            <w:tcW w:w="63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should read carefully the “Risk Factors” section beginning on page S-4 of this prospectus supplement and on page 2 of the accompanying prospectus as well as the risk factors included in our Annual Report on Form 10-K for the year ended December 31, 2025 and any subsequent Quarterly Reports on Form 10-Q or Current Reports on Form 8-K, which are incorporated by reference in the accompanying prospectus, before making a decision to invest in our common stock.</w:t>
            </w:r>
          </w:p>
        </w:tc>
      </w:tr>
    </w:tbl>
    <w:p>
      <w:pPr>
        <w:pStyle w:val="TextBody"/>
        <w:bidi w:val="0"/>
        <w:ind w:left="1335" w:right="1335" w:hanging="0"/>
        <w:jc w:val="center"/>
        <w:rPr>
          <w:rFonts w:ascii="Times New Roman" w:hAnsi="Times New Roman"/>
          <w:color w:val="000000"/>
          <w:sz w:val="20"/>
        </w:rPr>
      </w:pPr>
      <w:r>
        <w:rPr>
          <w:rFonts w:ascii="Times New Roman" w:hAnsi="Times New Roman"/>
          <w:color w:val="000000"/>
          <w:sz w:val="20"/>
        </w:rPr>
        <w:t>S-3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sz w:val="20"/>
        </w:rPr>
      </w:pPr>
      <w:bookmarkStart w:id="3" w:name="risk_factors"/>
      <w:bookmarkEnd w:id="3"/>
      <w:r>
        <w:rPr>
          <w:rFonts w:ascii="Times New Roman" w:hAnsi="Times New Roman"/>
          <w:b/>
          <w:caps/>
          <w:color w:val="000000"/>
          <w:sz w:val="20"/>
        </w:rPr>
        <w:t>RISK</w:t>
      </w:r>
      <w:r>
        <w:rPr>
          <w:rFonts w:ascii="Times New Roman" w:hAnsi="Times New Roman"/>
          <w:caps/>
          <w:color w:val="000000"/>
          <w:sz w:val="20"/>
        </w:rPr>
        <w:t xml:space="preserve"> </w:t>
      </w:r>
      <w:r>
        <w:rPr>
          <w:rFonts w:ascii="Times New Roman" w:hAnsi="Times New Roman"/>
          <w:b/>
          <w:caps/>
          <w:color w:val="000000"/>
          <w:sz w:val="20"/>
        </w:rPr>
        <w:t>FACTORS</w:t>
      </w:r>
    </w:p>
    <w:p>
      <w:pPr>
        <w:pStyle w:val="TextBody"/>
        <w:bidi w:val="0"/>
        <w:spacing w:before="0" w:after="200"/>
        <w:ind w:left="0" w:right="0" w:firstLine="720"/>
        <w:jc w:val="left"/>
        <w:rPr>
          <w:rFonts w:ascii="Times New Roman" w:hAnsi="Times New Roman"/>
          <w:i/>
          <w:color w:val="000000"/>
          <w:sz w:val="20"/>
        </w:rPr>
      </w:pPr>
      <w:r>
        <w:rPr>
          <w:rFonts w:ascii="Times New Roman" w:hAnsi="Times New Roman"/>
          <w:i/>
          <w:color w:val="000000"/>
          <w:sz w:val="20"/>
        </w:rPr>
        <w:t>An investment in our common stock involves various risks, including those set forth below as well as those set forth in the risk factors incorporated by reference in the accompanying prospectus from our Annual Report on Form 10-K for the year ended December 31, 2025, and any subsequent Quarterly Reports on Form 10-Q or Current Reports on Form 8-K and all other information contained or incorporated by reference in the accompanying prospectus, as updated by our subsequent filings under the Exchange Act prior to the completion of this offering. You should carefully consider these risk factors, together with the information incorporated by reference in the accompanying prospectus, before making an investment in shares of our common stock. These risks are not the only ones we face. Additional risks not presently known to us or that we currently deem immaterial may also adversely affect our business operations.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Risks Related to Forward Sale Transactions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Settlement provisions contained in any forward sale transaction could result in substantial dilution to our earnings per share and return on equity or result in substantial cash payment obligations.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If we enter into one or more forward sale transactions, the applicable Forward Purchaser will have the right to accelerate that particular forward sale transaction (with respect to all or any portion of the transaction under such forward sale transaction, which in the case of a contingent forward transaction will represent only the contingency exercised portion thereof, that the applicable Forward Purchaser determines is affected by an event described below) and require us to settle on a date specified by such Forward Purchaser if:</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such Forward Purchaser, after using commercially reasonable efforts, is unable to, or would incur a materially increased cost to, establish, maintain or unwind its hedge position with respect to that particular forward sale transaction;</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such Forward Purchaser determines that it is unable, or it is commercially impracticable for it, to continue to borrow a number of shares of our common stock equal to the number of shares of our common stock underlying the applicable forward sale transaction (and we do not refer a satisfactory lending party to lend the shares required) or that, with respect to borrowing such number of shares of our common stock, it would incur a cost that is greater than the borrow cost specified in such forward sale transaction (subject to our price adjustment acceptance), subject to a prior notice requirement;</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declare a dividend or distribution on the shares of our common stock with a cash value in excess of a specified amount per calendar quarter, or with an ex-dividend date prior to the anticipated ex-dividend date for such cash dividend;</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certain ownership thresholds applicable to such Forward Purchaser are exceeded;</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there is a public announcement of any event or transaction that, if consummated, would result in a merger event, tender offer, nationalization, insolvency, delisting or change in law (in each case, as determined pursuant to the terms of the applicable forward sale transaction); or</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certain other events of default, termination events or other specified events occur, including, among other things, any material misrepresentation made by us in connection with entering into the applicable forward sale transaction, a market disruption event during a specified period that lasts for more than at least eight scheduled trading days or a change in law (as such terms are defined in the forward sale transaction).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A Forward Purchaser’s decision to exercise its right to accelerate the settlement of any forward sale transaction will be made irrespective of our interests, including our need for capital. In such cases, we could be required to issue and deliver shares of our common stock under the physical settlement provisions of the applicable forward sale transaction or, if we so elect and such Forward Purchaser so permits our election, net share settlement provisions of the applicable forward sale transaction irrespective of our capital needs, which would result in dilution to our earnings per share and return on equity. In addition, if we enter into any contingent forward transaction, the relevant Contingent Forward Purchaser will have the right to exercise the contingency thereunder and thereby obligate us to sell the shares of our common stock underlying such contingent forward transaction (or the applicable </w:t>
      </w:r>
    </w:p>
    <w:p>
      <w:pPr>
        <w:pStyle w:val="TextBody"/>
        <w:bidi w:val="0"/>
        <w:jc w:val="center"/>
        <w:rPr>
          <w:rFonts w:ascii="Times New Roman" w:hAnsi="Times New Roman"/>
          <w:color w:val="000000"/>
          <w:sz w:val="20"/>
        </w:rPr>
      </w:pPr>
      <w:r>
        <w:rPr>
          <w:rFonts w:ascii="Times New Roman" w:hAnsi="Times New Roman"/>
          <w:color w:val="000000"/>
          <w:sz w:val="20"/>
        </w:rPr>
        <w:t>S-4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portion thereof) at the applicable forward sale price, which exercise may occur in whole or in part from time to time prior to the specified contingency expiration dates. The relevant Contingent Forward Purchaser’s decision to exercise such contingency will be made irrespective of our interests, including our need for capital.</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We expect that settlement of any forward sale transaction will generally occur on or prior to the maturity date of such forward sale transaction. However, any forward sale transaction may be settled earlier than the latest potential settlement date specified in that particular forward sale transaction in whole or in part at our option, subject to the satisfaction of certain conditions. Each forward sale transaction will be physically settled by delivery of shares of our common stock, unless we elect to cash settle or net share settle such forward sale transaction, with such election subject to the satisfaction of certain conditions. Upon physical settlement or, if we so elect, net share settlement of such forward sale transaction, delivery of shares of our common stock in connection with such physical settlement or net share settlement will result in dilution to our earnings per share and return on equity. If we elect cash settlement or net share settlement with respect to all or a portion of the shares of our common stock underlying a particular forward sale transaction, subject to any conditions specified in the particular forward sale transaction, we expect the applicable Forward Purchaser (or an affiliate thereof) will purchase a number of shares of our common stock necessary to satisfy its or its affiliate’s obligation to return the shares of our common stock borrowed from third parties in connection with sales of shares of our common stock in relation to that forward sale transaction, taking into account, in the case of net share settlement, any shares deliverable by or to us under the forward sale transaction and, in the case of net share settlement, in order to deliver shares of our common stock to us to the extent required in settlement of such forward sale transaction. In addition, the purchase of shares of our common stock in connection with a Forward Purchaser or its affiliate unwinding its hedge positions could cause the price of shares of our common stock to increase over such time (or prevent a decrease over such time), thereby increasing the amount of cash we would owe to such Forward Purchaser (or decreasing the amount of cash that the Forward Purchaser would owe us) upon cash settlement of the relevant forward sale transaction or increasing the number of shares of our common stock we would deliver to such Forward Purchaser (or decreasing the number of shares of our common stock that such Forward Purchaser would deliver to us) upon net share settlement of the relevant forward sale transaction.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forward sale price that we expect to receive upon physical settlement of a particular forward sale transaction will be subject to adjustment on a daily basis based on a floating interest rate factor equal to the overnight bank funding rate less a spread, to be agreed upon by us and the Forward Purchaser under the applicable forward sale transaction, and will be subject to decrease on each of certain dates based on amounts related to expected dividends on shares of our common stock during the term of the applicable forward sale transaction. If the overnight bank funding rate is less than, or greater than, the spread on any day, the interest factor will result in a daily reduction, or a daily increase, respectively, of the forward sale price. If the market value of our common stock, determined in accordance with the terms of the relevant forward sale transaction, during the relevant valuation period under the particular forward sale transaction is above the applicable forward sale price, in the case of cash settlement, we would pay the applicable Forward Purchaser under that particular forward sale transaction an amount in cash equal to the difference or, in the case of net share settlement, we would deliver to the relevant Forward Purchaser a number of shares of our common stock having a market value equal to the difference. Thus, we could be responsible for a potentially substantial cash payment in the case of cash settlement of a particular forward sale transaction.</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 case of certain bankruptcy or insolvency events, any fixed share forward sale transactions that are in effect will automatically terminate, and we may not receive any proceeds from the sale of shares of our common stock that have not theretofore been settled.</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If we file for, or a regulatory authority with jurisdiction over us institutes, or we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and we consent to such a petition, any fixed share forward sale transactions that are in effect will automatically terminate. If any such fixed share forward sale transaction so terminates, we would not be obligated to deliver to the applicable Forward Purchaser any shares of our common stock not previously delivered, and such Forward Purchaser would be discharged from its obligation to pay the relevant forward sale price per share in respect of any shares of our common stock not previously settled. Therefore, to the extent that there are any shares of our common stock with respect to which any fixed share forward sale transaction has not been settled at </w:t>
      </w:r>
    </w:p>
    <w:p>
      <w:pPr>
        <w:pStyle w:val="TextBody"/>
        <w:bidi w:val="0"/>
        <w:jc w:val="center"/>
        <w:rPr>
          <w:rFonts w:ascii="Times New Roman" w:hAnsi="Times New Roman"/>
          <w:color w:val="000000"/>
          <w:sz w:val="20"/>
        </w:rPr>
      </w:pPr>
      <w:r>
        <w:rPr>
          <w:rFonts w:ascii="Times New Roman" w:hAnsi="Times New Roman"/>
          <w:color w:val="000000"/>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time of the commencement of any such bankruptcy or insolvency proceedings, we would not receive the relevant forward sale price per share in respect of those shares of our common stock.</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There is uncertainty in the U.S. federal income tax treatment of the cash that we might receive from cash settlement of any forward sale transaction or in connection with a contingent forward sale transaction and its impact on our ability to meet the REIT qualification requirements may preclude us from electing to cash settle a</w:t>
        <w:br/>
        <w:t>forward sale transaction or execute contingent forward sale agreements.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the event that we elect to settle any forward sale transaction for cash and the settlement price is below the relevant forward sale price, we would be entitled to receive a cash payment from the applicable forward purchaser. In addition, we will receive contingency premiums for any contingent forward transaction we enter into. Under Section 1032 of the Internal Revenue Code of 1986, as amended (the “Code”), generally, no gains and losses are recognized by a corporation in dealing in its own shares, including pursuant to a “securities futures contract,” as defined in the Code by reference to the Exchange Act, or pursuant to an option. It is not entirely clear whether a forward sale transaction or contingent forward sale transaction qualifies as a “securities futures contract” or option, or whether a cash settlement of a forward sale transaction or contingency premium would otherwise be subject to Section 1032 of the Code. As a result, the U.S. federal income tax treatment of any such cash payment we receive is uncertain. In the event that we recognize a significant gain from the cash settlement of any forward sale transaction or cash payment pursuant to a contingent forward sale agreement, we might not be able to satisfy the gross income requirements applicable to REITs under the Code. Therefore, we may only elect to cash settle a forward sale transaction or execute contingent forward sale agreements if we determine that we can satisfy the gross income requirements for REITs while treating such cash payments as nonqualifying income. In the event we are not able to make such a determination, we may be precluded from electing to cash settle a forward transaction or executing contingent forward sales transactions even if the cash settlement or entering into a contingent forward sale transaction may be the optimal business decision.</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Risks Related to Contingent Forward Transactions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Any transactions effected by the relevant Contingent Forward Purchaser to establish, modify or unwind its hedge positions in connection with any contingent forward transaction may have an impact on the market price of shares of our common stock.</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connection with each particular contingent forward transaction, the relevant Contingent Forward Purchaser (or an affiliate or agent thereof) will borrow from third parties and, through the applicable Forward Seller, sell a number of shares of our common stock equal to the number of shares of our common stock underlying such contingent forward transaction. Such sales could have the impact of decreasing, or limiting an increase in, the market price of shares of our common stock. In addition, we expect that on the same days when the relevant Contingent Forward Purchaser is so selling such shares through the applicable Forward Seller, such Contingent Forward Purchaser will contemporaneously purchase a substantial portion of such number of shares in the open market for its own account to offset the number of shares sold into the market, as such Contingent Forward Purchaser expects its initial hedge position in respect of such contingent forward transaction to be less than the maximum number of shares underlying such contingent forward transaction. Such purchases in the open market could have the impact of increasing, or limiting a decrease in, the market price of shares of our common stock.</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addition, we expect that during the term of a particular contingent forward transaction, the relevant Contingent Forward Purchaser will dynamically modify its hedge positions for its own account by such Contingent Forward Purchaser (or an affiliate or agent thereof) buying or selling shares of our common stock or engaging in other hedging transactions with respect to shares of our common stock from time to time. The purchases and sales of shares of our common stock or other hedging transactions by the Contingent Forward Purchaser (or an affiliate or agent thereof) to dynamically modify its hedge positions from time to time during the term of such contingent forward transaction may variously have a positive, negative or neutral impact on the market price of shares of our common stock, depending on the market conditions at such times.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Adjustment and termination provisions contained in a forward sale transaction relating to a contingent forward transaction subject us to certain risks.</w:t>
      </w:r>
    </w:p>
    <w:p>
      <w:pPr>
        <w:pStyle w:val="TextBody"/>
        <w:bidi w:val="0"/>
        <w:jc w:val="center"/>
        <w:rPr>
          <w:rFonts w:ascii="Times New Roman" w:hAnsi="Times New Roman"/>
          <w:color w:val="000000"/>
          <w:sz w:val="20"/>
        </w:rPr>
      </w:pPr>
      <w:r>
        <w:rPr>
          <w:rFonts w:ascii="Times New Roman" w:hAnsi="Times New Roman"/>
          <w:color w:val="000000"/>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relevant Contingent Forward Purchaser may terminate the contingent portion of a contingent forward transaction early upon the occurrence of certain events specified in such forward sale transaction, and upon such a termination, such Contingent Forward Purchaser will determine the amount payable in connection with such termination pursuant to the terms of such forward sale transaction, which under certain circumstances will be settled in shares of our common stock. To the extent such a termination occurs, we will not receive any proceeds from such terminated contingent portion and may instead be required to deliver shares of our common stock (or, at our sole election, pay cash) to the relevant Contingent Forward Purchaser in an amount equal to such termination amount.</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addition, each forward sale transaction relating to a contingent forward transaction will allow the relevant Contingent Forward Purchaser to adjust the terms of the contingent portion thereof, including the initial forward sale price, in good faith and in a commercially reasonable manner to account for the economic effect on such contingent portion of certain events involving us or our common stock. To the extent those adjustments affect the initial forward sale price or other terms relevant to the valuation of such contingent portion, they may affect the proceeds we receive under such contingent forward transaction. See “Plan of Distribution” for information on the contingent forward transactions.</w:t>
      </w:r>
    </w:p>
    <w:p>
      <w:pPr>
        <w:pStyle w:val="TextBody"/>
        <w:bidi w:val="0"/>
        <w:spacing w:before="0" w:after="200"/>
        <w:jc w:val="center"/>
        <w:rPr/>
      </w:pPr>
      <w:r>
        <w:rPr>
          <w:rFonts w:ascii="Times New Roman" w:hAnsi="Times New Roman"/>
          <w:color w:val="000000"/>
          <w:sz w:val="20"/>
        </w:rPr>
        <w:br/>
      </w:r>
      <w:r>
        <w:rPr>
          <w:color w:val="000000"/>
        </w:rPr>
        <w:t> </w:t>
      </w:r>
    </w:p>
    <w:p>
      <w:pPr>
        <w:pStyle w:val="TextBody"/>
        <w:bidi w:val="0"/>
        <w:jc w:val="center"/>
        <w:rPr>
          <w:rFonts w:ascii="Times New Roman" w:hAnsi="Times New Roman"/>
          <w:color w:val="000000"/>
          <w:sz w:val="20"/>
        </w:rPr>
      </w:pPr>
      <w:r>
        <w:rPr>
          <w:rFonts w:ascii="Times New Roman" w:hAnsi="Times New Roman"/>
          <w:color w:val="000000"/>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USE OF PROCEEDS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We intend to contribute the net proceeds from the sale of shares of our common stock to or through the Sales Agents, after deducting commissions and offering expenses, as well as any net cash proceeds we receive upon the settlement of any forward sale transaction, and any contingency premiums we receive upon entry into any contingent forward transactions, to our operating partnership, which subsequently intends to use such net proceeds for general corporate purposes, which may include the acquisition, development, redevelopment or improvement of properties; full or partial repayment of debt; capital expenditures; working capital; and other general corporate or business purposes. Pending the use of the net proceeds as described above, we may use the net proceeds to temporarily reduce our indebtedness or invest the net proceeds in interest-bearing accounts and short-term, interest-bearing securities which are consistent with our intention to qualify as a REIT.</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We will not initially receive any proceeds from the sale of borrowed shares of our common stock by the Forward Sellers, acting as agents for the Forward Purchasers, in connection with any forward sale transaction, but we may receive contingency premiums from the applicable Contingent Forward Purchasers upon entry into contingent forward transactions. We expect to fully physically settle each fixed share forward sale transaction, which we expect to occur on or prior to the maturity date of the related forward sale transaction, in which case we expect to receive aggregate cash proceeds at settlement equal to the number of shares of our common stock underlying such fixed share forward sale transaction multiplied by the applicable forward sale price. The forward sale price will be based on, in the case of a contingent forward transaction, the applicable initial forward sale price agreed with the relevant Contingent Forward Purchaser or, in the case of a non-contingent forward transaction, the volume-weighted average price at which the borrowed shares of our common stock were sold during the applicable forward hedge selling period, in each case less a forward selling commission of up to 2.0%, subject to adjustment on a daily basis (or in the case of a contingent forward transaction, from and after the contingency completion date) based on a floating interest rate factor equal to the overnight bank funding rate less a spread, and subject to decrease by amounts related to expected dividends on shares of our common stock during the term of the applicable forward sale transaction. If, however, we elect to cash settle any forward sale transaction, we may not receive any proceeds (and may owe cash to the applicable Forward Purchaser in certain circumstances), and if we elect to net share settle any forward sale transaction, we will not receive any proceeds (and may owe shares of our common stock to the applicable Forward Purchaser in certain circumstances).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Certain of the Sales Agents, the Forward Sellers, the Forward Purchasers and/or their respective affiliates are lenders and/or agents under our $400.0 million senior unsecured revolving credit facility (as amended, our “revolving credit facility”), our $200.0 million senior unsecured term loan facility (our “2026 term loan facility”), our $200.0 million senior unsecured term loan facility (as amended, our “2018 term loan facility”), and/or our $100.0 million senior unsecured term loan facility (as amended, our “2016 term loan facility” and, together with our 2026 term loan facility and our 2018 term loan facility, our “term loan facilities”). To the extent we use the net proceeds of this offering to reduce existing or future indebtedness under our revolving credit facility or one of our term loan facilities, these Sales Agents, Forward Sellers, Forward Purchasers or their respective affiliates would receive their pro rata portion of any amount that is repaid under our revolving credit facility or our term loan facilities, as applicable, with the net proceeds to us from this offering. See “Plan of Distribution.”</w:t>
      </w:r>
    </w:p>
    <w:p>
      <w:pPr>
        <w:pStyle w:val="TextBody"/>
        <w:bidi w:val="0"/>
        <w:jc w:val="center"/>
        <w:rPr>
          <w:rFonts w:ascii="Times New Roman" w:hAnsi="Times New Roman"/>
          <w:color w:val="000000"/>
          <w:sz w:val="20"/>
        </w:rPr>
      </w:pPr>
      <w:r>
        <w:rPr>
          <w:rFonts w:ascii="Times New Roman" w:hAnsi="Times New Roman"/>
          <w:color w:val="000000"/>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00"/>
        <w:jc w:val="center"/>
        <w:rPr/>
      </w:pPr>
      <w:r>
        <w:rPr>
          <w:rFonts w:ascii="Times New Roman" w:hAnsi="Times New Roman"/>
          <w:b/>
          <w:caps/>
          <w:color w:val="000000"/>
          <w:sz w:val="20"/>
        </w:rPr>
        <w:br/>
      </w:r>
      <w:r>
        <w:rPr>
          <w:caps/>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caps/>
          <w:color w:val="000000"/>
          <w:sz w:val="20"/>
        </w:rPr>
      </w:pPr>
      <w:r>
        <w:rPr>
          <w:rFonts w:ascii="Times New Roman" w:hAnsi="Times New Roman"/>
          <w:b/>
          <w:caps/>
          <w:color w:val="000000"/>
          <w:sz w:val="20"/>
        </w:rPr>
        <w:t>PLAN OF DISTRIBUTION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We entered into separate amended and restated equity distribution agreements, dated August 4, 2026, with each of Citigroup Global Markets Inc., BMO Capital Markets Corp., BTIG, LLC, Compass Point Research and Trading, LLC, Jefferies LLC, Raymond James &amp; Associates, Inc., RBC Capital Markets, LLC, Truist Securities, Inc. and Wells Fargo Securities, LLC (and certain of their respective affiliates or agents), which amend and restate the separate equity distribution agreements, dated June 22, 2021 (as amended), and in the case of Compass Point Research and Trading, LLC, dated August 1, 2024. We refer to these entities, when acting in their capacity as sales agents for us or as principals, individually, as a “Sales Agent” and, collectively, as the “Sales Agents,” and we refer to these entities (or their affiliate or agent or, in the case of BTIG, LLC, Nomura Securities International, Inc. (acting through BTIG, LLC as agent)) when acting in their capacity as agents for the Forward Purchasers, individually, as a “Forward Seller” and, collectively, as the “Forward Sellers.” In accordance with the terms of the equity distribution agreements, we may from time to time offer and sell shares of our common stock having an aggregate offering price of up to $300,000,000 through the Sales Agents, acting as our sales agents, through the Forward Sellers, acting as agents for the relevant Forward Purchasers, or directly to the Sales Agents, acting as principals. As of the date of this prospectus supplement, shares of common stock having an aggregate offering price of up to $214,982,308 remain available for offer and sale, from time to time, pursuant to the equity distribution agreements and this prospectus supplement and the accompanying prospectus.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In the future, we may also enter into equity distribution agreements with additional sales agents and/or forward sellers and forward purchasers. In the event that we enter into new equity distribution agreements, we will file a supplement to this prospectus supplement to reflect any such new equity distribution agreement.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Sales of the shares of our common stock, if any, under this prospectus supplement and the accompanying prospectus made through the Sales Agents, acting as our sales agents, through the Forward Sellers, acting as agents for the relevant Forward Purchasers, or directly to the Sales Agents, acting as principals, pursuant to the equity distribution agreements, may be made in privately negotiated transactions, which may include block trades, or transactions that are deemed to be “at the market” offerings as defined in Rule 415 under the Securities Act, including, without limitation, sales made directly on the NYSE, on any other existing trading market for our common stock or to or through a market maker, or as otherwise may be agreed between us and the applicable Sales Agent. None of the Sales Agents or the Forward Sellers are required, individually or collectively, to sell any specific number or dollar amount of shares of our common stock, but subject to the terms and conditions of the applicable equity distribution agreement (and, with respect to any Forward Seller, only if the Forward Seller and the related Forward Purchaser have accepted our instructions), each has agreed to use its commercially reasonable efforts consistent with its normal trading and sales practices to sell shares of our common stock up to the amount specified.</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equity distribution agreements contemplate that, in addition to the issuance and sale of shares of our common stock by us through or to the Sales Agents, acting as our sales agents or as principals, as applicable, we may also enter into one or more forward sale transactions with any of Citibank, N.A., Jefferies LLC, Royal Bank of Canada, Truist Bank and Wells Fargo Bank, National Association. When acting in their capacity as purchasers under any forward sale transactions, we refer to these entities individually as a “Forward Purchaser” and, collectively, as the “Forward Purchasers.” If we enter into a forward sale transaction with any Forward Purchaser, we expect that such Forward Purchaser or one of its affiliates will attempt to borrow from third parties and sell, through its related Forward Seller, the number of shares of our common stock underlying such forward sale transaction in order to hedge such Forward Purchaser’s exposure under such forward sale transaction.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A forward sale transaction may take the form of a contingent forward transaction or a non-contingent forward transaction. In the case of a contingent forward transaction, which we may enter into with any Contingent Forward Purchaser, our obligation to sell, and the applicable Contingent Forward Purchaser’s obligation to purchase, the shares of our common stock underlying such forward sale transaction at the applicable forward sale price will be contingent on such Contingent Forward Purchaser’s exercise (or deemed exercise) of such contingency, which may occur in whole or in part from time to time prior to specified contingency expiration dates. We expect that the initial forward sale price of any contingent forward transaction will be above, but not substantially above, the </w:t>
      </w:r>
    </w:p>
    <w:p>
      <w:pPr>
        <w:pStyle w:val="TextBody"/>
        <w:bidi w:val="0"/>
        <w:jc w:val="center"/>
        <w:rPr>
          <w:rFonts w:ascii="Times New Roman" w:hAnsi="Times New Roman"/>
          <w:color w:val="000000"/>
          <w:sz w:val="20"/>
        </w:rPr>
      </w:pPr>
      <w:r>
        <w:rPr>
          <w:rFonts w:ascii="Times New Roman" w:hAnsi="Times New Roman"/>
          <w:color w:val="000000"/>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volume-weighted average sale price per share at which the applicable Forward Seller established the contingent forward initial hedge position. In addition, we expect that on the same days when the relevant Contingent Forward Purchaser is selling shares of our common stock underlying such contingent forward transaction through the applicable Forward Seller, such Contingent Forward Purchaser will contemporaneously purchase a substantial portion of such number of shares in the open market for its own account to offset such number of shares sold into the market, as such Contingent Forward Purchaser expects its contingent forward initial hedge position to be less than the maximum number of shares of our common stock underlying such contingent forward transaction. In connection with each contingent forward transaction, we may receive a contingency premium from the relevant Contingent Forward Purchaser upon entry into such contingent forward transaction, which we will be entitled to retain regardless of whether the contingency is exercised.</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the case of a non-contingent forward transaction, our obligation to sell, and the applicable Forward Purchaser’s obligation to purchase, the shares of our common stock underlying such forward sale transaction at the applicable forward sale price will not be subject to the contingency described above. As described above in this prospectus supplement, we refer to each non-contingent forward transaction and the contingency exercised portion of each contingent forward transaction as a “fixed share forward sale transaction,” and references in this prospectus supplement to the settlement of a forward sale transaction, or to the forward sale price or the acceleration, termination, physical settlement, cash settlement or net share settlement provisions of a forward sale transaction, refer, in the case of a contingent forward transaction, to the contingency exercised portion of such contingent forward transaction.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relevant Sales Agent or Forward Seller, as applicable, will provide written confirmation to us no later than the opening of the trading day on the NYSE on the day following the trading day in which shares of our common stock were sold under the applicable equity distribution agreement. With respect to shares of our common stock sold by a Sales Agent, each confirmation will include the number of such shares sold on such day, the net proceeds to us and the compensation payable by us to the Sales Agent in connection with the sales. With respect to shares of our common stock sold by a Forward Seller, each confirmation will include the number of shares sold on such day, the compensation payable by us to the Forward Seller in the form of a reduced initial forward sale price under the related forward sale transaction with the related Forward Purchaser, and the initial forward sale price payable by such Forward Purchaser. As described below under “—Sales Through Forward Sellers,” we will not initially receive any proceeds from the sale of shares of our common stock borrowed by a Forward Purchaser (or affiliate or agent thereof) and sold through the relevant Forward Seller.</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We will report at least quarterly the number of shares of our common stock sold through the Sales Agents, acting as our sales agents, through the Forward Sellers, acting as agents for the relevant Forward Purchasers, or directly to the Sales Agents, acting as principals, and the net proceeds to us (before expenses) during the relevant quarter.</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connection with the sale of the shares of our common stock on our behalf, the Sales Agents, the Forward Sellers and/or the Forward Purchasers may each be deemed to be “underwriters” within the meaning of the Securities Act, and the compensation paid to the Sales Agents, the Forward Sellers and/or the Forward Purchasers may be deemed to be underwriting commissions or discounts. We have agreed to provide indemnification and contribution to each Sales Agent, Forward Seller and Forward Purchaser against certain liabilities, including civil liabilities under the Securities Act.</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We estimate that the total expenses payable by us in connection with the offering and sale of shares of our common stock pursuant to the equity distribution agreements, excluding commissions and discounts, will be approximately $300,000.</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offering of our common stock pursuant to any of the equity distribution agreements will terminate upon the earlier of (1) the sale of all common stock subject to the equity distribution agreements (including shares sold by us to or through the Sales Agents and borrowed shares sold through the Forward Sellers) or (2) with respect to a particular equity distribution agreement, the termination of that equity distribution agreement by us, the applicable Sales Agent, Forward Seller or Forward Purchaser.</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If we or any of the Sales Agents, Forward Sellers or Forward Purchasers have reason to believe that the exemptive provisions set forth in Rule 101(c)(l) of Regulation M under the Exchange Act are not satisfied with </w:t>
      </w:r>
    </w:p>
    <w:p>
      <w:pPr>
        <w:pStyle w:val="TextBody"/>
        <w:bidi w:val="0"/>
        <w:jc w:val="center"/>
        <w:rPr>
          <w:rFonts w:ascii="Times New Roman" w:hAnsi="Times New Roman"/>
          <w:color w:val="000000"/>
          <w:sz w:val="20"/>
        </w:rPr>
      </w:pPr>
      <w:r>
        <w:rPr>
          <w:rFonts w:ascii="Times New Roman" w:hAnsi="Times New Roman"/>
          <w:color w:val="000000"/>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respect to us or our common stock, such party will promptly notify the others and sales of common stock pursuant to the equity distribution agreements or any terms agreement will be suspended until Rule 101(c)(1) or another exemptive provision has been satisfied in the judgment of each party.</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Sales Through or To Sales Agents, as our Sales Agents or as Principals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Upon its receipt of instructions from us, each Sales Agent has agreed to use its commercially reasonable efforts to sell shares of our common stock, as our sales agent, on the terms and subject to the conditions set forth in the equity distribution agreement. We will instruct each Sales Agent as to the amount of our common stock to be sold by it as our sales agent. We may instruct a Sales Agent not to sell our common stock as our sales agent if the sales cannot be effected at or above a price designated by us. We or any Sales Agent may at any time immediately suspend the offering of shares of our common stock through such Sales Agent upon notice to the other party.</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Settlement for sales of our common stock will generally occur on the standard settlement cycle then in effect, unless we agree otherwise with the relevant Sales Agent, in return for payment of the net proceeds to us. There is no arrangement for funds to be received in an escrow, trust or similar arrangement.</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Under the terms of the equity distribution agreements, we also may sell shares of our common stock to any Sales Agent, as principal, for its own account at a price agreed upon at the time of sale. If we sell shares of our common stock to a Sales Agent as principal, we will enter into a separate terms agreement with such Sales Agent and, to the extent required by applicable law, we will describe such agreement in a separate prospectus supplement or pricing supplement.</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Sales Through Forward Sellers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If we enter into a forward sale transaction with any Forward Purchaser, we expect that such Forward Purchaser (or an affiliate or agent thereof) will use commercially reasonable efforts to borrow from third parties and sell, through the relevant Forward Seller, shares of our common stock to hedge such Forward Purchaser’s exposure under such forward sale transaction.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connection with any forward sale transaction, we will deliver instructions to the relevant Forward Seller to offer and sell the applicable borrowed shares of our common stock on behalf of the relevant Forward Purchaser. Such instructions shall specify, among other specified terms, the maximum number of shares to be sold and the minimum price per share at which such shares may be sold. If such instructions relate to a contingent forward transaction, the relevant Contingent Forward Purchaser may quote the terms of the potential contingent forward transaction, including the maximum number of shares of our common stock underlying such transaction, the initial forward sale price, the contingency premium and the contingency expiration dates, and such contingent forward transaction will be entered into upon our acceptance of such quoted terms and acknowledgment thereof by such Contingent Forward Purchaser. Subject to, among other things, the terms and conditions in the relevant equity distribution agreement and the acceptance of such instructions from us by the relevant Forward Seller (as such instructions may have been modified upon mutual consent of the relevant Forward Purchaser, the relevant Forward Seller and us), such Forward Purchaser will use its commercially reasonable efforts to borrow or cause its affiliate to borrow, offer and sell through the relevant Forward Seller, the applicable shares of our common stock to hedge the Forward Purchaser’s exposure under the applicable forward sale agreement, and such Forward Seller will use its commercially reasonable efforts to sell such shares of common stock, on the terms and subject to the conditions set forth in the relevant equity distribution agreement and the master forward sale confirmation. We or the applicable Forward Seller may at any time immediately suspend the offering of shares of our common stock through such Forward Seller, upon notice to the other party.</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connection with each forward sale transaction, we will pay the applicable Forward Seller in connection with such forward sale transaction, a commission, in the form of a reduction to the initial forward sale price under the related forward sale transaction, at a mutually agreed rate not exceeding 2.0% of the applicable mutually agreed initial forward sale price for such contingent forward transaction or 2.0% of the volume-weighted average of the sales prices per share of the borrowed shares of our common stock sold through such Forward Seller during the applicable forward hedge selling period for such shares in connection with a non-contingent forward transaction, as applicable (in each case, subject to certain adjustments). We sometimes refer to this commission as the “forward selling commission”.</w:t>
      </w:r>
    </w:p>
    <w:p>
      <w:pPr>
        <w:pStyle w:val="TextBody"/>
        <w:bidi w:val="0"/>
        <w:jc w:val="center"/>
        <w:rPr>
          <w:rFonts w:ascii="Times New Roman" w:hAnsi="Times New Roman"/>
          <w:color w:val="000000"/>
          <w:sz w:val="20"/>
        </w:rPr>
      </w:pPr>
      <w:r>
        <w:rPr>
          <w:rFonts w:ascii="Times New Roman" w:hAnsi="Times New Roman"/>
          <w:color w:val="000000"/>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We expect that settlement of any sales of borrowed shares of our common stock by a Forward Seller will occur on the standard settlement cycle then in effect, unless we agree otherwise with the relevant Forward Purchaser and Forward Seller, following the respective dates on which any such sales are made. The obligations of a Forward Purchaser and a Forward Seller under the relevant equity distribution agreement are subject to a number of conditions, which such Forward Purchaser and Forward Seller, respectively, may waive in their sole and absolute discretion.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Pursuant to each forward sale transaction, if any, we will have the right to issue and sell to the Forward Purchaser party thereto a specified number of shares of our common stock on the terms and subject to the conditions set forth therein, or, alternatively, to elect cash settlement or net share settlement, as described below, for all or any portion of such shares. The initial forward price per share under each forward sale transaction will equal the product of (1) an amount equal to one minus the applicable forward selling commission and (2) in the case of a non-contingent forward transaction, the volume-weighted average of the sales prices per share at which the borrowed shares of our common stock were sold by the relevant Forward Seller during the applicable forward hedge selling period in accordance with the relevant equity distribution agreement to hedge the relevant Forward Purchaser’s exposure under such forward sale transaction (subject to certain adjustments) or, in the case of a contingent forward transaction, the initial forward sale price agreed between us and the relevant Contingent Forward Purchaser, subject to adjustments as described in the relevant forward sale transaction. We will not initially receive any proceeds from any sale of borrowed shares of our common stock through a Forward Seller, and all of such proceeds will be paid to the relevant Forward Purchaser (or one or more of its affiliates or agents).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We currently expect to fully physically settle each forward sale transaction, if any, with the relevant Forward Purchaser on one or more dates specified by us on or prior to the latest potential settlement date set forth in such forward sale transaction, although, as discussed below, we will generally have the right, subject to certain exceptions, to elect cash settlement or net share settlement instead of physical settlement for any of the shares we have agreed to sell under such forward sale transaction. For example, we may conclude it is in our interest to cash settle or net share settle if we have no then-current use for all or a portion of the proceeds we would receive upon physical settlement. If we elect to physically settle any forward sale transaction (or physical settlement is otherwise applicable), at settlement, we will receive an amount of cash from the relevant Forward Purchaser equal to the product of (1) the forward price per share under such forward sale transaction on the relevant settlement date and (2) the number of shares of our common stock as to which we have elected physical settlement (or to which physical settlement otherwise applies), subject to the provisions of such forward sale transaction. The forward price is based on the initial forward price, as adjusted on a daily basis (in the case of a contingent forward transaction, from and after the contingency completion date specified in such forward sale transaction) based on a floating interest rate factor equal to the overnight bank funding rate less a spread, to be agreed upon by us and the Forward Purchaser under the forward sale transaction, and subject to decrease on certain dates specified in the relevant forward sale transaction by the amount per share of quarterly dividends we expect to declare on our common stock during the term of such forward sale transaction. The resulting price after such adjustments and reductions is the forward price on the relevant settlement date. If the overnight bank funding rate is less, or greater than, than the applicable spread on any day, the interest rate factor will result in a daily reduction, or a daily increase, respectively, of the forward price.</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 xml:space="preserve">References in this paragraph to forward sale transactions refer to fixed share forward sale transactions, consisting of non-contingent forward transactions and the contingency exercised portion of any contingent forward transactions. We expect that before any issuance of shares of our common stock upon physical or net share settlement of any forward sale transactions, the shares issuable upon settlement of such forward sale transactions will be reflected in our diluted earnings per share calculations using the treasury stock method. Under this method, the number of shares of our common stock used in calculating diluted earnings per share is deemed to be increased by the excess, if any, of the number of shares of our common stock that would be issued upon full physical settlement of such forward sale transaction over the number of shares of our common stock that could be purchased by us in the market (based on the average market price during the period) using the proceeds receivable upon full physical settlement (based on the adjusted forward sale price at the end of the reporting period). Consequently, prior to physical or net share settlement of such forward sale transaction and subject to the occurrence of certain events, we anticipate there will be no dilutive effect on our earnings per share as a result of such forward sale transaction except during periods when the average market price of shares of our common stock is above the per share adjusted forward sale price of such forward sale transaction, subject to increase or decrease on a daily basis based on a </w:t>
      </w:r>
    </w:p>
    <w:p>
      <w:pPr>
        <w:pStyle w:val="TextBody"/>
        <w:bidi w:val="0"/>
        <w:jc w:val="center"/>
        <w:rPr>
          <w:rFonts w:ascii="Times New Roman" w:hAnsi="Times New Roman"/>
          <w:color w:val="000000"/>
          <w:sz w:val="20"/>
        </w:rPr>
      </w:pPr>
      <w:r>
        <w:rPr>
          <w:rFonts w:ascii="Times New Roman" w:hAnsi="Times New Roman"/>
          <w:color w:val="000000"/>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floating interest rate factor equal to the overnight bank funding rate less an agreed spread and subject to decrease on each of certain dates by amounts related to expected dividends on shares of our common stock during the term of such forward sale transaction. However, if we physically settle or net share settle any forward sale transaction, the delivery of shares of our common stock would result in an increase in the number of shares outstanding and dilution to our earnings per share and return on equity.</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We will generally have the right, in lieu of physical settlement of any forward sale transaction, to elect cash or net share settlement in respect of any or all of the shares of common stock subject to such forward sale transaction, subject to certain exceptions pursuant to such forward sale transaction. If we elect to cash or net share settle all or any part of any forward sale transaction, we would expect the relevant Forward Purchaser or one of its affiliates to purchase shares of our common stock in secondary market transactions over an unwind period so as to:</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return shares of our common stock to securities lenders in order to unwind such Forward Purchaser’s hedge (after taking into consideration any shares of our common stock to be delivered by us to such Forward Purchaser, in the case of net share settlement); and</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the case of net share settlement, deliver shares of our common stock to us to the extent required upon settlement of such forward sale transaction.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general terms and subject to a particular forward sale transaction: (1) if the weighted average price of our common stock at which these purchases are made by such Forward Purchaser (or its affiliate or agent) is below the relevant forward price, such Forward Purchaser will pay us such difference in cash (if we elect to cash settle) or deliver to us shares of our common stock having a market value equal to such difference (if we elect to net share settle); (2) if the weighted average price of our common stock at which these purchases are made by such Forward Purchaser (or its affiliate or agent) exceeds the relevant forward price, we will pay such Forward Purchaser an amount in cash equal to such difference (if we elect to cash settle) or we will deliver to such Forward Purchaser a number of shares of our common stock having a market value equal to such difference (if we elect to net share settle). Any such difference could be significant and could result in our receipt of a significant amount of cash or number of shares of our common stock from such Forward Purchaser or require us to pay a significant amount of cash or deliver a significant number of shares of our common stock to such Forward Purchaser.</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addition, the purchase of our common stock by a Forward Purchaser or its affiliate to unwind the Forward Purchaser’s hedge position could cause the price of our common stock to increase above the price that would have prevailed in the absence of those purchases (or prevent a decrease in such price), thereby increasing the amount of cash (in the case of cash settlement) or possibly the number of shares (in the case of net share settlement) that we would owe such Forward Purchaser upon settlement of the applicable forward sale transaction or decrease the amount of cash (in the case of cash settlement) or possibly the number of shares (in the case of net share settlement) that such Forward Purchaser would owe us upon settlement of the applicable forward sale transaction. See “Risk Factors—Risks Related to Forward Sale Transactions.”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Each Forward Purchaser will have the right to accelerate the settlement of the shares underlying any forward sale transaction that it enters into with us and require us to physically settle such shares on a date specified by such Forward Purchaser if, among other events:</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such Forward Purchaser, after using commercially reasonable efforts, is unable to, or would incur a materially increased cost to, establish, maintain or unwind its hedge position with respect to that particular forward sale transaction;</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such Forward Purchaser determines that it is unable, or it is commercially impracticable for it, to continue to borrow a number of shares of our common stock equal to the number of shares of our common stock underlying the applicable forward sale transaction (and we do not refer a satisfactory lending party to lend the shares required) or that, with respect to borrowing such number of shares of our common stock, it would incur a cost that is greater than the borrow cost specified in such forward sale transaction (subject to our price adjustment acceptance), subject to a prior notice requirement;</w:t>
      </w:r>
    </w:p>
    <w:p>
      <w:pPr>
        <w:pStyle w:val="TextBody"/>
        <w:bidi w:val="0"/>
        <w:jc w:val="center"/>
        <w:rPr>
          <w:rFonts w:ascii="Times New Roman" w:hAnsi="Times New Roman"/>
          <w:color w:val="000000"/>
          <w:sz w:val="20"/>
        </w:rPr>
      </w:pPr>
      <w:r>
        <w:rPr>
          <w:rFonts w:ascii="Times New Roman" w:hAnsi="Times New Roman"/>
          <w:color w:val="000000"/>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declare a dividend or distribution on the shares of our common stock with a cash value in excess of a specified amount per calendar quarter, or with an ex-dividend date prior to the anticipated ex-dividend date for such cash dividend;</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certain ownership thresholds applicable to such Forward Purchaser are exceeded;</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there is a public announcement of any event or transaction that, if consummated, would result in a merger event, tender offer, nationalization, insolvency, delisting or change in law (in each case, as determined pursuant to the terms of the applicable forward sale transaction); or</w:t>
      </w:r>
    </w:p>
    <w:p>
      <w:pPr>
        <w:pStyle w:val="TextBody"/>
        <w:bidi w:val="0"/>
        <w:spacing w:before="0" w:after="200"/>
        <w:ind w:left="360"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certain other events of default, termination events or other specified events occur, including, among other things, any material misrepresentation made by us in connection with entering into the applicable forward sale transaction, a market disruption event during a specified period that lasts for more than at least eight scheduled trading days or a change in law (as such terms are defined in the forward sale transaction).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A Forward Purchaser’s decision to exercise its right to accelerate the settlement of any forward sale transaction and to require us to physically settle the relevant shares will be made irrespective of our interests, including our need for capital. In such cases, we could be required to issue and deliver shares of our common stock under the terms of the physical settlement provisions of the applicable forward sale transaction irrespective of our capital needs, which would result in dilution to our earnings per share and return on equity. In addition, if we enter into any contingent forward transaction, the relevant Contingent Forward Purchaser will have the right to exercise the contingency thereunder and thereby obligate us to sell the shares of our common stock underlying such contingent forward transaction (or the applicable portion thereof) at the applicable forward sale price, which exercise may occur in whole or in part from time to time prior to the specified contingency expiration dates. The relevant Contingent Forward Purchaser’s decision to exercise such contingency will be made irrespective of our interests, including our need for capital.</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addition, upon certain events of bankruptcy or insolvency relating to us, the fixed share forward sale</w:t>
        <w:br/>
        <w:t>transaction will terminate without further liability of the parties thereto. Following any such termination, we would</w:t>
        <w:br/>
        <w:t>not issue any shares of our common stock pursuant to such fixed share forward sale transaction, and we would not</w:t>
        <w:br/>
        <w:t>receive any proceeds pursuant to such fixed share forward sale transaction.</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relevant Contingent Forward Purchaser may terminate the contingent portion of a contingent forward transaction early upon the occurrence of certain events specified in the related forward sale transaction, including: (1) if the relevant Contingent Forward Purchaser is unable, after using commercially reasonable efforts, to establish, maintain or unwind its hedge position with respect to such contingent portion or to borrow a number of shares of our common stock equal to such hedge position at a rate that is equal to or less than the maximum stock loan rate specified in such forward sale transaction; (2) an extraordinary event (as defined in such forward sale transaction, and which includes certain mergers or tender offers or the delisting of our common stock) occurs, or there is a public announcement of an event or transaction that, if consummated, would constitute such an extraordinary event; or (3) certain other events of default, termination events or other specified events occur, including, among other things, any material misrepresentation made by us in connection with entering into such forward sale transaction, our bankruptcy or a change in law (as such terms are defined in such forward sale transaction). Upon such a termination, the relevant Contingent Forward Purchaser will determine the amount payable in connection with such termination pursuant to the terms of such forward sale transaction, which under certain circumstances will be settled in shares of our common stock. To the extent such a termination occurs, we will not receive any proceeds from such terminated contingent portion and may instead be required to deliver shares of our common stock (or, at our sole election, pay cash) to the relevant Contingent Forward Purchaser in an amount equal to such termination amount. See “Risk Factors—Risks Related to Contingent Forward Transactions.”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In addition, each forward sale transaction relating to a contingent forward transaction will allow the relevant Contingent Forward Purchaser to adjust the terms of the contingent portion thereof, including the initial forward sale price, in good faith and in a commercially reasonable manner to account for the economic effect on such contingent portion of certain events involving us or our common stock. To the extent those adjustments affect the initial forward sale price or other terms relevant to the valuation of such contingent portion, they may affect the proceeds we receive under such contingent forward transaction. See “Risk Factors—Risks Related to Contingent Forward Transactions.”</w:t>
      </w:r>
    </w:p>
    <w:p>
      <w:pPr>
        <w:pStyle w:val="TextBody"/>
        <w:bidi w:val="0"/>
        <w:jc w:val="center"/>
        <w:rPr>
          <w:rFonts w:ascii="Times New Roman" w:hAnsi="Times New Roman"/>
          <w:color w:val="000000"/>
          <w:sz w:val="20"/>
        </w:rPr>
      </w:pPr>
      <w:r>
        <w:rPr>
          <w:rFonts w:ascii="Times New Roman" w:hAnsi="Times New Roman"/>
          <w:color w:val="000000"/>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descriptions of certain provisions of the equity distribution agreements and the forward sale transactions appearing above and elsewhere in this prospectus supplement are not complete and are subject to, and qualified in their entirety by reference to, the terms and provisions of the equity distribution agreements and such forward sale transaction.</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Other Relationships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Certain of the Sales Agents, the Forward Sellers, the Forward Purchasers and/or their respective affiliates are lenders and/or agents under our revolving credit facility and/or one or both of our term loan facilities. To the extent we use the net proceeds of this offering to reduce existing or future indebtedness under our revolving credit facility or one of our term loan facilities, these Sales Agents, Forward Sellers, Forward Purchasers or their affiliates would receive their pro rata portion of any amount that is repaid under our revolving credit facility or our term loan facilities, as applicable, with the net proceeds to us of this offering.</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Sales Agents, the Forward Sellers, the Forward Purchasers and/or their respective affiliates have, from time to time, performed, and may in the future perform, various financial advisory and commercial and investment banking services for us and our affiliates, for which they have received and in the future will receive customary compensation and expense reimbursement.</w:t>
      </w:r>
    </w:p>
    <w:p>
      <w:pPr>
        <w:pStyle w:val="TextBody"/>
        <w:bidi w:val="0"/>
        <w:jc w:val="center"/>
        <w:rPr>
          <w:rFonts w:ascii="Times New Roman" w:hAnsi="Times New Roman"/>
          <w:color w:val="000000"/>
          <w:sz w:val="20"/>
        </w:rPr>
      </w:pPr>
      <w:r>
        <w:rPr>
          <w:rFonts w:ascii="Times New Roman" w:hAnsi="Times New Roman"/>
          <w:color w:val="000000"/>
          <w:sz w:val="20"/>
        </w:rPr>
        <w:t>S-15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sz w:val="20"/>
        </w:rPr>
      </w:pPr>
      <w:bookmarkStart w:id="4" w:name="legal_matters"/>
      <w:bookmarkEnd w:id="4"/>
      <w:r>
        <w:rPr>
          <w:rFonts w:ascii="Times New Roman" w:hAnsi="Times New Roman"/>
          <w:b/>
          <w:caps/>
          <w:color w:val="000000"/>
          <w:sz w:val="20"/>
        </w:rPr>
        <w:t>LEGAL</w:t>
      </w:r>
      <w:r>
        <w:rPr>
          <w:rFonts w:ascii="Times New Roman" w:hAnsi="Times New Roman"/>
          <w:caps/>
          <w:color w:val="000000"/>
          <w:sz w:val="20"/>
        </w:rPr>
        <w:t xml:space="preserve"> </w:t>
      </w:r>
      <w:r>
        <w:rPr>
          <w:rFonts w:ascii="Times New Roman" w:hAnsi="Times New Roman"/>
          <w:b/>
          <w:caps/>
          <w:color w:val="000000"/>
          <w:sz w:val="20"/>
        </w:rPr>
        <w:t>MATTERS</w:t>
      </w:r>
    </w:p>
    <w:p>
      <w:pPr>
        <w:pStyle w:val="TextBody"/>
        <w:bidi w:val="0"/>
        <w:spacing w:before="0" w:after="200"/>
        <w:ind w:left="0" w:right="0" w:firstLine="720"/>
        <w:jc w:val="left"/>
        <w:rPr/>
      </w:pPr>
      <w:r>
        <w:rPr/>
        <w:t>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validity of the common stock offered hereby will be passed upon for us by Goodwin Procter LLP. Skadden, Arps, Slate, Meagher &amp; Flom LLP, New York, New York, will act as legal counsel to the Sales Agents, the Forward Sellers and the Forward Purchasers.</w:t>
      </w:r>
    </w:p>
    <w:p>
      <w:pPr>
        <w:pStyle w:val="TextBody"/>
        <w:bidi w:val="0"/>
        <w:spacing w:before="0" w:after="200"/>
        <w:jc w:val="center"/>
        <w:rPr>
          <w:rFonts w:ascii="Times New Roman" w:hAnsi="Times New Roman"/>
          <w:b/>
          <w:caps/>
          <w:color w:val="000000"/>
          <w:sz w:val="20"/>
        </w:rPr>
      </w:pPr>
      <w:bookmarkStart w:id="5" w:name="experts"/>
      <w:bookmarkEnd w:id="5"/>
      <w:r>
        <w:rPr>
          <w:rFonts w:ascii="Times New Roman" w:hAnsi="Times New Roman"/>
          <w:b/>
          <w:caps/>
          <w:color w:val="000000"/>
          <w:sz w:val="20"/>
        </w:rPr>
        <w:t>EXPERTS</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The financial statements and management’s assessment of the effectiveness of internal control over financial reporting (which is included in Management’s Report on Internal Control over Financial Reporting) incorporated in the accompanying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PROSPECTUS</w:t>
      </w:r>
    </w:p>
    <w:p>
      <w:pPr>
        <w:pStyle w:val="TextBody"/>
        <w:bidi w:val="0"/>
        <w:jc w:val="left"/>
        <w:rPr/>
      </w:pPr>
      <w:r>
        <w:rPr/>
        <w:t> </w:t>
      </w:r>
    </w:p>
    <w:p>
      <w:pPr>
        <w:pStyle w:val="TextBody"/>
        <w:bidi w:val="0"/>
        <w:spacing w:before="0" w:after="240"/>
        <w:jc w:val="center"/>
        <w:rPr/>
      </w:pPr>
      <w:r>
        <w:rPr/>
        <w:drawing>
          <wp:inline distT="0" distB="0" distL="0" distR="0">
            <wp:extent cx="3657600" cy="1190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1190625"/>
                    </a:xfrm>
                    <a:prstGeom prst="rect">
                      <a:avLst/>
                    </a:prstGeom>
                  </pic:spPr>
                </pic:pic>
              </a:graphicData>
            </a:graphic>
          </wp:inline>
        </w:drawing>
      </w:r>
    </w:p>
    <w:p>
      <w:pPr>
        <w:pStyle w:val="TextBody"/>
        <w:bidi w:val="0"/>
        <w:jc w:val="center"/>
        <w:rPr>
          <w:rFonts w:ascii="Times New Roman" w:hAnsi="Times New Roman"/>
          <w:b/>
          <w:color w:val="000000"/>
          <w:sz w:val="32"/>
        </w:rPr>
      </w:pPr>
      <w:r>
        <w:rPr>
          <w:rFonts w:ascii="Times New Roman" w:hAnsi="Times New Roman"/>
          <w:b/>
          <w:color w:val="000000"/>
          <w:sz w:val="32"/>
        </w:rPr>
        <w:t>EASTERLY GOVERNMENT PROPERTIES,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Common Stock</w:t>
      </w:r>
    </w:p>
    <w:p>
      <w:pPr>
        <w:pStyle w:val="TextBody"/>
        <w:bidi w:val="0"/>
        <w:jc w:val="center"/>
        <w:rPr>
          <w:rFonts w:ascii="Times New Roman" w:hAnsi="Times New Roman"/>
          <w:color w:val="000000"/>
          <w:sz w:val="20"/>
        </w:rPr>
      </w:pPr>
      <w:r>
        <w:rPr>
          <w:rFonts w:ascii="Times New Roman" w:hAnsi="Times New Roman"/>
          <w:color w:val="000000"/>
          <w:sz w:val="20"/>
        </w:rPr>
        <w:t>Preferred Stock</w:t>
      </w:r>
    </w:p>
    <w:p>
      <w:pPr>
        <w:pStyle w:val="TextBody"/>
        <w:bidi w:val="0"/>
        <w:jc w:val="center"/>
        <w:rPr>
          <w:rFonts w:ascii="Times New Roman" w:hAnsi="Times New Roman"/>
          <w:color w:val="000000"/>
          <w:sz w:val="20"/>
        </w:rPr>
      </w:pPr>
      <w:r>
        <w:rPr>
          <w:rFonts w:ascii="Times New Roman" w:hAnsi="Times New Roman"/>
          <w:color w:val="000000"/>
          <w:sz w:val="20"/>
        </w:rPr>
        <w:t>Stock Purchase Contracts</w:t>
      </w:r>
    </w:p>
    <w:p>
      <w:pPr>
        <w:pStyle w:val="TextBody"/>
        <w:bidi w:val="0"/>
        <w:jc w:val="center"/>
        <w:rPr>
          <w:rFonts w:ascii="Times New Roman" w:hAnsi="Times New Roman"/>
          <w:color w:val="000000"/>
          <w:sz w:val="20"/>
        </w:rPr>
      </w:pPr>
      <w:r>
        <w:rPr>
          <w:rFonts w:ascii="Times New Roman" w:hAnsi="Times New Roman"/>
          <w:color w:val="000000"/>
          <w:sz w:val="20"/>
        </w:rPr>
        <w:t>Depositary Shares</w:t>
      </w:r>
    </w:p>
    <w:p>
      <w:pPr>
        <w:pStyle w:val="TextBody"/>
        <w:bidi w:val="0"/>
        <w:jc w:val="center"/>
        <w:rPr>
          <w:rFonts w:ascii="Times New Roman" w:hAnsi="Times New Roman"/>
          <w:color w:val="000000"/>
          <w:sz w:val="20"/>
        </w:rPr>
      </w:pPr>
      <w:r>
        <w:rPr>
          <w:rFonts w:ascii="Times New Roman" w:hAnsi="Times New Roman"/>
          <w:color w:val="000000"/>
          <w:sz w:val="20"/>
        </w:rPr>
        <w:t>Warrants</w:t>
      </w:r>
    </w:p>
    <w:p>
      <w:pPr>
        <w:pStyle w:val="TextBody"/>
        <w:pBdr>
          <w:bottom w:val="single" w:sz="6" w:space="1" w:color="000000"/>
        </w:pBdr>
        <w:bidi w:val="0"/>
        <w:ind w:left="4320" w:right="4320" w:hanging="0"/>
        <w:jc w:val="center"/>
        <w:rPr/>
      </w:pPr>
      <w:r>
        <w:rPr/>
        <w:t>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Easterly Government Properties, Inc. may offer to sell from time to time common stock, preferred stock, stock purchase contracts and warrants. Preferred stock purchase rights may be attached to shares of common stock of Easterly Government Properties, Inc. The preferred stock of Easterly Government Properties, Inc. may either be sold separately or represented by depositary shares and may be convertible into common stock or preferred stock of another series. Selling security holders may from time to time offer to sell common stock, preferred stock, stock purchase contracts and warrants of Easterly Government Properties, Inc. under this prospectus.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common stock, preferred stock, stock purchase contracts, depositary shares and warrants of Easterly Government Properties, Inc. may be offered separately or together, in multiple series, in amounts, at prices and on terms that will be set forth in one or more prospectus supplements to this prospectus.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This prospectus may also be used to offer shares of common stock to be issued to limited partners of Easterly Government Properties LP in exchange for common units of limited partnership interest (“common units”) in Easterly Government Properties LP or to cover the resale of securities by one or more selling security 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This prospectus describes some of the general terms that may apply to these securities and the general manner in which they may be offered. Each time Easterly Government Properties, Inc. or selling security holders sells securities, a prospectus supplement will be provided that will contain specific information about the terms of any securities offered, the specific manner in which the securities will be offered and the identity of any selling security holders. The prospectus supplement will also contain information, where appropriate, about certain material United States federal income tax considerations relating to, and any listing on a securities exchange of, the securities covered by the prospectus supplement. The prospectus supplement may add to, update or change the information in this prospectus. You should read this prospectus and any prospectus supplement carefully before you invest in our securities. This prospectus may not be used to sell securities unless accompanied by a prospectus supplement.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Easterly Government Properties, Inc. or selling security holders may offer the securities directly to investors, through agents designated from time to time by Easterly Government Properties, Inc. or to or through underwriters or dealers. If any agents, underwriters or dealers are involved in the sale of any of the securities, their names, and any applicable purchase price, fee, commission or discount arrangement with, between or among them will be set forth, or will be calculable from the information set forth, in an accompanying prospectus supplement. For more detailed information, see “Plan of Distribution” on page 47. We will not receive any of the proceeds from the sale of securities by selling security 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common stock of Easterly Government Properties, Inc. is listed on the New York Stock Exchange, or the NYSE, under the symbol “DEA.” On February 27, 2024, the last reported sale price of our common stock on the NYSE was $11.75 per share. </w:t>
      </w:r>
    </w:p>
    <w:p>
      <w:pPr>
        <w:pStyle w:val="TextBody"/>
        <w:pBdr>
          <w:bottom w:val="single" w:sz="6" w:space="1" w:color="000000"/>
        </w:pBdr>
        <w:bidi w:val="0"/>
        <w:ind w:left="4320" w:right="4320" w:hanging="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41"/>
        <w:jc w:val="left"/>
        <w:rPr>
          <w:rFonts w:ascii="Times New Roman" w:hAnsi="Times New Roman"/>
          <w:sz w:val="20"/>
        </w:rPr>
      </w:pPr>
      <w:r>
        <w:rPr>
          <w:rFonts w:ascii="Times New Roman" w:hAnsi="Times New Roman"/>
          <w:b/>
          <w:color w:val="000000"/>
          <w:sz w:val="20"/>
        </w:rPr>
        <w:t>Investing in our securities involves various risks. See “Risk Factors” beginning on page 2 as well as the risk factors contained in documents we file with the Securities and Exchange Commission and which are incorporated by reference in this prospectus.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sz w:val="20"/>
        </w:rPr>
      </w:pPr>
      <w:r>
        <w:rPr>
          <w:rFonts w:ascii="Times New Roman" w:hAnsi="Times New Roman"/>
          <w:b/>
          <w:color w:val="000000"/>
          <w:sz w:val="20"/>
        </w:rPr>
        <w:t>Neither the Securities and Exchange Commission nor any other regulatory body has approved or disapproved of these securities or passed upon the accuracy or adequacy of this prospectus. Any representation to the contrary is a criminal offense.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Prospectus dated February 28,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447" w:type="dxa"/>
        <w:jc w:val="left"/>
        <w:tblInd w:w="0" w:type="dxa"/>
        <w:tblLayout w:type="fixed"/>
        <w:tblCellMar>
          <w:top w:w="28" w:type="dxa"/>
          <w:left w:w="28" w:type="dxa"/>
          <w:bottom w:w="28" w:type="dxa"/>
          <w:right w:w="28" w:type="dxa"/>
        </w:tblCellMar>
      </w:tblPr>
      <w:tblGrid>
        <w:gridCol w:w="8821"/>
        <w:gridCol w:w="119"/>
        <w:gridCol w:w="146"/>
        <w:gridCol w:w="361"/>
      </w:tblGrid>
      <w:tr>
        <w:trPr/>
        <w:tc>
          <w:tcPr>
            <w:tcW w:w="8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risk_factors_1">
              <w:r>
                <w:rPr>
                  <w:rStyle w:val="InternetLink"/>
                  <w:rFonts w:ascii="Times New Roman" w:hAnsi="Times New Roman"/>
                  <w:color w:val="0000FF"/>
                  <w:sz w:val="20"/>
                  <w:u w:val="single"/>
                </w:rPr>
                <w:t>RISK FACTORS</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cautionary_statement_regarding_forward">
              <w:r>
                <w:rPr>
                  <w:rStyle w:val="InternetLink"/>
                  <w:rFonts w:ascii="Times New Roman" w:hAnsi="Times New Roman"/>
                  <w:color w:val="0000FF"/>
                  <w:sz w:val="20"/>
                  <w:u w:val="single"/>
                </w:rPr>
                <w:t>CAUTIONARY STATEMENT REGARDING FORWARD-LOOKING STATEMENTS</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incorporation_certain_documents_by">
              <w:r>
                <w:rPr>
                  <w:rStyle w:val="InternetLink"/>
                  <w:rFonts w:ascii="Times New Roman" w:hAnsi="Times New Roman"/>
                  <w:color w:val="0000FF"/>
                  <w:sz w:val="20"/>
                  <w:u w:val="single"/>
                </w:rPr>
                <w:t>INCORPORATION OF CERTAIN DOCUMENTS BY REFERENCE</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use_of_proceeds_1">
              <w:r>
                <w:rPr>
                  <w:rStyle w:val="InternetLink"/>
                  <w:rFonts w:ascii="Times New Roman" w:hAnsi="Times New Roman"/>
                  <w:color w:val="0000FF"/>
                  <w:sz w:val="20"/>
                  <w:u w:val="single"/>
                </w:rPr>
                <w:t>USE OF PROCEEDS</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description_common_stock_easterly_govern">
              <w:r>
                <w:rPr>
                  <w:rStyle w:val="InternetLink"/>
                  <w:rFonts w:ascii="Times New Roman" w:hAnsi="Times New Roman"/>
                  <w:color w:val="0000FF"/>
                  <w:sz w:val="20"/>
                  <w:u w:val="single"/>
                </w:rPr>
                <w:t>DESCRIPTION OF COMMON STOCK OF EASTERLY GOVERNMENT PROPERTIES, INC.</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description_preferred_stock_of_easter">
              <w:r>
                <w:rPr>
                  <w:rStyle w:val="InternetLink"/>
                  <w:rFonts w:ascii="Times New Roman" w:hAnsi="Times New Roman"/>
                  <w:color w:val="0000FF"/>
                  <w:sz w:val="20"/>
                  <w:u w:val="single"/>
                </w:rPr>
                <w:t>DESCRIPTION OF PREFERRED STOCK OF EASTERLY GOVERNMENT PROPERTIES, INC.</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940" w:type="dxa"/>
            <w:gridSpan w:val="2"/>
            <w:tcBorders/>
            <w:tcMar>
              <w:top w:w="0" w:type="dxa"/>
              <w:left w:w="0" w:type="dxa"/>
              <w:bottom w:w="0" w:type="dxa"/>
              <w:right w:w="0" w:type="dxa"/>
            </w:tcMar>
            <w:vAlign w:val="center"/>
          </w:tcPr>
          <w:p>
            <w:pPr>
              <w:pStyle w:val="TableContents"/>
              <w:bidi w:val="0"/>
              <w:spacing w:before="0" w:after="283"/>
              <w:jc w:val="left"/>
              <w:rPr/>
            </w:pPr>
            <w:hyperlink w:anchor="description_stock_purchase_contracts_eas">
              <w:r>
                <w:rPr>
                  <w:rStyle w:val="InternetLink"/>
                  <w:rFonts w:ascii="Times New Roman" w:hAnsi="Times New Roman"/>
                  <w:color w:val="0000FF"/>
                  <w:sz w:val="20"/>
                  <w:u w:val="single"/>
                </w:rPr>
                <w:t>DESCRIPTION OF STOCK PURCHASE CONTRACTS OF EASTERLY GOVERNMENT PROPERTIES,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description_depositary_shares_easterly">
              <w:r>
                <w:rPr>
                  <w:rStyle w:val="InternetLink"/>
                  <w:rFonts w:ascii="Times New Roman" w:hAnsi="Times New Roman"/>
                  <w:color w:val="0000FF"/>
                  <w:sz w:val="20"/>
                  <w:u w:val="single"/>
                </w:rPr>
                <w:t>DESCRIPTION OF DEPOSITARY SHARES OF EASTERLY GOVERNMENT PROPERTIES, INC.</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description_warrants_easterly_government">
              <w:r>
                <w:rPr>
                  <w:rStyle w:val="InternetLink"/>
                  <w:rFonts w:ascii="Times New Roman" w:hAnsi="Times New Roman"/>
                  <w:color w:val="0000FF"/>
                  <w:sz w:val="20"/>
                  <w:u w:val="single"/>
                </w:rPr>
                <w:t>DESCRIPTION OF WARRANTS OF EASTERLY GOVERNMENT PROPERTIES, INC.</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global_securities">
              <w:r>
                <w:rPr>
                  <w:rStyle w:val="InternetLink"/>
                  <w:rFonts w:ascii="Times New Roman" w:hAnsi="Times New Roman"/>
                  <w:color w:val="0000FF"/>
                  <w:sz w:val="20"/>
                  <w:u w:val="single"/>
                </w:rPr>
                <w:t>GLOBAL SECURITIES</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material_provisions_maryland_law_and_our">
              <w:r>
                <w:rPr>
                  <w:rStyle w:val="InternetLink"/>
                  <w:rFonts w:ascii="Times New Roman" w:hAnsi="Times New Roman"/>
                  <w:color w:val="0000FF"/>
                  <w:sz w:val="20"/>
                  <w:u w:val="single"/>
                </w:rPr>
                <w:t>MATERIAL PROVISIONS OF MARYLAND LAW AND OUR CHARTER AND BYLAWS</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certain_united_states_federal_income_tax">
              <w:r>
                <w:rPr>
                  <w:rStyle w:val="InternetLink"/>
                  <w:rFonts w:ascii="Times New Roman" w:hAnsi="Times New Roman"/>
                  <w:color w:val="0000FF"/>
                  <w:sz w:val="20"/>
                  <w:u w:val="single"/>
                </w:rPr>
                <w:t>CERTAIN UNITED STATES FEDERAL INCOME TAX CONSIDERATIONS</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selling_security_holders">
              <w:r>
                <w:rPr>
                  <w:rStyle w:val="InternetLink"/>
                  <w:rFonts w:ascii="Times New Roman" w:hAnsi="Times New Roman"/>
                  <w:color w:val="0000FF"/>
                  <w:sz w:val="20"/>
                  <w:u w:val="single"/>
                </w:rPr>
                <w:t>SELLING SECURITY HOLDERS</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plan_of_distribution_1">
              <w:r>
                <w:rPr>
                  <w:rStyle w:val="InternetLink"/>
                  <w:rFonts w:ascii="Times New Roman" w:hAnsi="Times New Roman"/>
                  <w:color w:val="0000FF"/>
                  <w:sz w:val="20"/>
                  <w:u w:val="single"/>
                </w:rPr>
                <w:t>PLAN OF DISTRIBUTION</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legal_matters_1">
              <w:r>
                <w:rPr>
                  <w:rStyle w:val="InternetLink"/>
                  <w:rFonts w:ascii="Times New Roman" w:hAnsi="Times New Roman"/>
                  <w:color w:val="0000FF"/>
                  <w:sz w:val="20"/>
                  <w:u w:val="single"/>
                </w:rPr>
                <w:t>LEGAL MATTERS</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experts_1">
              <w:r>
                <w:rPr>
                  <w:rStyle w:val="InternetLink"/>
                  <w:rFonts w:ascii="Times New Roman" w:hAnsi="Times New Roman"/>
                  <w:color w:val="0000FF"/>
                  <w:sz w:val="20"/>
                  <w:u w:val="single"/>
                </w:rPr>
                <w:t>EXPERTS</w:t>
              </w:r>
            </w:hyperlink>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bl>
    <w:p>
      <w:pPr>
        <w:pStyle w:val="TextBody"/>
        <w:bidi w:val="0"/>
        <w:jc w:val="left"/>
        <w:rPr/>
      </w:pPr>
      <w:r>
        <w:rPr/>
        <w:t> </w:t>
      </w:r>
    </w:p>
    <w:p>
      <w:pPr>
        <w:pStyle w:val="TextBody"/>
        <w:bidi w:val="0"/>
        <w:spacing w:before="40" w:after="283"/>
        <w:ind w:left="0" w:right="0" w:firstLine="941"/>
        <w:jc w:val="left"/>
        <w:rPr>
          <w:rFonts w:ascii="Times New Roman" w:hAnsi="Times New Roman"/>
          <w:color w:val="000000"/>
          <w:sz w:val="20"/>
        </w:rPr>
      </w:pPr>
      <w:r>
        <w:rPr>
          <w:rFonts w:ascii="Times New Roman" w:hAnsi="Times New Roman"/>
          <w:color w:val="000000"/>
          <w:sz w:val="20"/>
        </w:rPr>
        <w:t xml:space="preserve">You should rely only on the information provided or incorporated by reference in this prospectus or any applicable prospectus supplement or any applicable free writing prospectus. If anyone provides you with different or additional information, you should not rely on it. We have not authorized anyone to provide you with different or additional information.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appearing in this prospectus, any applicable prospectus supplement, any free writing prospectus or the documents incorporated by reference herein or therein is accurate as of any date other than their respective dates. Our business, financial condition, results of operations and prospects may have changed since those dates. </w:t>
      </w:r>
    </w:p>
    <w:p>
      <w:pPr>
        <w:pStyle w:val="TextBody"/>
        <w:bidi w:val="0"/>
        <w:spacing w:before="240" w:after="283"/>
        <w:ind w:left="0" w:right="0" w:firstLine="941"/>
        <w:jc w:val="left"/>
        <w:rPr>
          <w:rFonts w:ascii="Times New Roman" w:hAnsi="Times New Roman"/>
          <w:sz w:val="20"/>
        </w:rPr>
      </w:pPr>
      <w:r>
        <w:rPr>
          <w:rFonts w:ascii="Times New Roman" w:hAnsi="Times New Roman"/>
          <w:b/>
          <w:color w:val="000000"/>
          <w:sz w:val="20"/>
        </w:rPr>
        <w:t>As used in this prospectus and the registration statement on Form S-3 of which this prospectus is a part, unless the context otherwise requires, the terms “we,” “our,” “us” and “our company” refer to Easterly Government Properties, Inc., a Maryland corporation, and its consolidated subsidiaries, including Easterly Government Properties LP, a Delaware limited partnership, which we refer to in this prospectus and registration statement on Form S-3 of which this prospectus is a part, as “our operating partnership.”</w:t>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6" w:name="prospectus_summary"/>
      <w:bookmarkEnd w:id="6"/>
      <w:r>
        <w:rPr>
          <w:rFonts w:ascii="Times New Roman" w:hAnsi="Times New Roman"/>
          <w:b/>
          <w:color w:val="000000"/>
          <w:sz w:val="20"/>
        </w:rPr>
        <w:t>PROSPECTUS SUMMARY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About this Prospectus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This prospectus is part of a “shelf” registration statement that we have filed under the Securities Act of 1933, as amended (the “Securities Act”), with the Securities and Exchange Commission (the “SEC”). By using a shelf registration statement, Easterly Government Properties, Inc. and/or selling security holders are registering an unspecified amount of common stock, preferred stock, stock purchase contracts, depositary shares and warrants, and may sell such securities, at any time and from time to time, in one or more offerings.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exhibits to our registration statement and documents incorporated by reference contain the full text of certain contracts and other important documents that we have summarized in this prospectus or that we may summarize in an accompanying prospectus supplement. Since these summaries may not contain all the information that you may find important in deciding whether to purchase the securities we may offer, you should review the full text of these documents. This prospectus provides you with a general description of the offered securities. Each time we sell any of the offered securities we will provide a prospectus supplement and attach it to this prospectus. The prospectus supplement will contain specific information about the method and terms of that offering. The prospectus supplement may also add, update or change information contained in this prospectus. If there is any inconsistency between the information in this prospectus and a prospectus supplement, you should rely on the information in that prospectus supplement. You should read both this prospectus and the applicable prospectus supplement, together with any additional information described under the heading “Where You Can Find More Information” and “Incorporation of Certain Documents by Reference.”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About Easterly Government Properties, Inc.</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Easterly Government Properties, Inc. is an internally managed real estate investment trust (“REIT”) focused primarily on the acquisition, development and management of Class A commercial properties that are leased to U.S. Government agencies that serve essential functions. We generate substantially all of our revenue by leasing our properties to such agencies either directly or through the U.S. General Services Administration. Our objective is to generate attractive risk-adjusted returns for our stockholders over the long term through dividends and capital appreciation. </w:t>
      </w:r>
    </w:p>
    <w:p>
      <w:pPr>
        <w:pStyle w:val="TextBody"/>
        <w:bidi w:val="0"/>
        <w:spacing w:before="240" w:after="240"/>
        <w:ind w:left="0" w:right="0" w:firstLine="941"/>
        <w:jc w:val="left"/>
        <w:rPr>
          <w:rFonts w:ascii="Times New Roman" w:hAnsi="Times New Roman"/>
          <w:color w:val="000000"/>
          <w:sz w:val="20"/>
        </w:rPr>
      </w:pPr>
      <w:r>
        <w:rPr>
          <w:rFonts w:ascii="Times New Roman" w:hAnsi="Times New Roman"/>
          <w:color w:val="000000"/>
          <w:sz w:val="20"/>
        </w:rPr>
        <w:t>We focus primarily on acquiring, developing and managing U.S. Government-leased properties that are essential to supporting the mission of the tenant agency and strive to be a partner of choice for the U.S. Government, working closely with the tenant agency to meet its needs and objectives. We may also consider other potential opportunities to add properties to our portfolio, including acquiring properties leased to state and local governments with strong creditworthiness and other opportunities that directly or indirectly support the mission of select government agencies. As of December 31, 2023, we wholly owned 81 operating properties and nine operating properties through an unconsolidated joint venture in the United States encompassing approximately 8.8 million leased square feet (8.3 million pro rata), including 88 operating properties that were leased primarily to U.S. Government tenant agencies, one operating property entirely leased to tenant agencies of a U.S. state government and one operating property that was entirely leased to a private tenant. As of December 31, 2023, our operating properties were 97% leased. For purposes of calculating percentage leased, we exclude from the denominator total square feet that was unleased and to which we attributed no value at the time of acquisition. In addition, we wholly owned one property under development that we expect will encompass approximately 0.2 million leased square feet upon completion.</w:t>
      </w:r>
    </w:p>
    <w:p>
      <w:pPr>
        <w:pStyle w:val="TextBody"/>
        <w:bidi w:val="0"/>
        <w:ind w:left="0" w:right="0" w:firstLine="941"/>
        <w:jc w:val="left"/>
        <w:rPr>
          <w:rFonts w:ascii="Times New Roman" w:hAnsi="Times New Roman"/>
          <w:color w:val="000000"/>
          <w:sz w:val="20"/>
        </w:rPr>
      </w:pPr>
      <w:r>
        <w:rPr>
          <w:rFonts w:ascii="Times New Roman" w:hAnsi="Times New Roman"/>
          <w:color w:val="000000"/>
          <w:sz w:val="20"/>
        </w:rPr>
        <w:t>Our operating partnership holds substantially all of our assets and conducts substantially all of our business. We are the sole general partner of our operating partnership and owned approximately 93.8% of the aggregate limited partnership interests in our operating partnership as of December 31, 2023. We have elected to be taxed as a REIT and believe that we have operated and have been organized in conformity with the requirements for qualification and taxation as a REIT for U.S. federal income tax purposes commencing with our taxable year ended December 31, 2015.</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principal executive offices are located at 2001 K Street NW, Suite 775 North, Washington, D.C. 20006, and our telephone number is 202-595-9500.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7" w:name="risk_factors_1"/>
      <w:bookmarkEnd w:id="7"/>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i/>
          <w:color w:val="000000"/>
          <w:sz w:val="20"/>
        </w:rPr>
      </w:pPr>
      <w:r>
        <w:rPr>
          <w:rFonts w:ascii="Times New Roman" w:hAnsi="Times New Roman"/>
          <w:i/>
          <w:color w:val="000000"/>
          <w:sz w:val="20"/>
        </w:rPr>
        <w:t>Investing in our securities involves risks. Before purchasing the securities offered by this prospectus you should carefully consider the risks, uncertainties and additional information (i) set forth in our most recent Annual Report on Form 10-K, any subsequent Quarterly Reports on Form 10-Q and Current Reports on Form 8-K, which are incorporated, or deemed to be incorporated, by reference into this prospectus, and in the other documents incorporated by reference in this prospectus that we file with the SEC after the date of this prospectus and which are deemed incorporated by reference in this prospectus and (ii) contained in any applicable prospectus supplement. For a description of these reports and documents, and information about where you can find them, see “Where You Can Find More Information” and “Incorporation of Certain Documents by Reference.” The risks and uncertainties in the documents incorporated by reference in this prospectus are those that we currently believe may materially affect our company. Additional risks not presently known or that are currently deemed immaterial could also materially and adversely affect our financial condition, results of operations, business and prospects.</w:t>
      </w:r>
    </w:p>
    <w:p>
      <w:pPr>
        <w:pStyle w:val="TextBody"/>
        <w:bidi w:val="0"/>
        <w:spacing w:before="240" w:after="283"/>
        <w:jc w:val="center"/>
        <w:rPr>
          <w:rFonts w:ascii="Times New Roman" w:hAnsi="Times New Roman"/>
          <w:sz w:val="20"/>
        </w:rPr>
      </w:pPr>
      <w:bookmarkStart w:id="8" w:name="cautionary_statement_regarding_forward"/>
      <w:bookmarkEnd w:id="8"/>
      <w:r>
        <w:rPr>
          <w:rFonts w:ascii="Times New Roman" w:hAnsi="Times New Roman"/>
          <w:b/>
          <w:color w:val="000000"/>
          <w:sz w:val="20"/>
        </w:rPr>
        <w:t>CAUTIONARY STATEMENT REGARDING FORWARD-LOOKING STATEMENTS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This prospectus, including the information incorporated by reference into this prospectus, and any accompanying prospectus supplement, contains forward-looking statements within the meaning of the Private Securities Litigation Reform Act of 1995, Section 27A of the Securities Act and Section 21E of the Securities Exchange Act of 1934, as amended (the “Exchange Act”). We caution investors that forward-looking statements presented in this prospectus or any of the documents incorporated by reference are based on management’s beliefs and on assumptions made by, and information currently available to, management. When used, the words “anticipate,” “believe,” “estimate,” “expect,” “intend,” “may,” “might,” “plan,” “potential,” “project,” “result,” “seek,” “should,” “target,” “will” and similar expressions which do not relate solely to historical matters are intended to identify forward-looking statements. These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We expressly disclaim any responsibility to update our forward-looking statements, whether as a result of new information, future events, or otherwise. Accordingly, investors should use caution in relying on forward-looking statements, which are based on results and trends at the time they are made, to anticipate future results or trends. </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 xml:space="preserve">Some of the risks and uncertainties that may cause our actual results, performance, or achievements to differ materially from those expressed or implied by forward-looking statements include, among others, the following: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associated with our dependence on the U.S. Government and its agencies for substantially all of our revenues, including credit risk and risk that the U.S. Government reduces its spending on real estate or that it changes its preference away from leased properties;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associated with ownership and development of real estate;</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of decreased rental rates or increased vacancy rates;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key personnel;</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volatility of the capital and credit markets and the market price of our common stock;</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we may lose one or more major tenants;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difficulties in completing and successfully integrating acquisitions;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of acquisitions or development projects to occur at anticipated levels or yield anticipated results;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associated with actual or threatened terrorist attacks;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associated with our joint venture activities;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intense competition in the real estate market that may limit our ability to attract or retain tenants or re-lease space;</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insufficient amounts of insurance or exposure to events that are either uninsured or underinsured;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uncertainties and risks related to adverse weather conditions, natural disasters and climate change;</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exposure to liability relating to environmental and health and safety matters;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limited ability to dispose of assets because of the relative illiquidity of real estate investments and the nature of our assets;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exposure to litigation or other claims;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associated with breaches of our data security;</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associated with our indebtedness, including failure to refinance current or future indebtedness on favorable terms, or at all, failure to meet the restrictive covenants and requirements in our existing and new debt agreements, fluctuations in interest rates and increased costs to refinance or issue new debt;</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risks associated with derivatives or hedging activity;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risks associated with mortgage debt or unsecured financing or the unavailability thereof, which could make it difficult to finance or refinance properties and could subject us to foreclosure;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impacts from any future pandemic, epidemic or outbreak of any highly infectious disease on the U.S., regional and global economies and our financial condition and results of operations;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other risk factors identified in our most recently filed Annual Report on Form 10-K and Quarterly Report on Form 10-Q, including those described under the caption “Risk Factors,” and our other reports filed from time to time with the SEC.</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While forward-looking statements reflect our good faith beliefs, they are not guarantees of future performance. For further information on these and other factors that could affect us and the statements contained herein, you should refer to the section entitled “Risk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9" w:name="where_you_can_find_more_information"/>
      <w:bookmarkEnd w:id="9"/>
      <w:r>
        <w:rPr>
          <w:rFonts w:ascii="Times New Roman" w:hAnsi="Times New Roman"/>
          <w:b/>
          <w:color w:val="000000"/>
          <w:sz w:val="20"/>
        </w:rPr>
        <w:t>WHERE YOU CAN FIND MORE INFORMATION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file annual, quarterly and special reports, proxy statements and other information with the SEC. The SEC maintains a website that contains reports, proxy and information statements and other information regarding registrants that file electronically with the SEC at http://www.sec.gov. In addition, we maintain a website that contains information about us at www.easterlyreit.com. The information found on, or otherwise accessible through, our website is not incorporated into, and does not form a part of, this prospectus or any other report or documents we file with or furnish to the SEC.</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have filed with the SEC a “shelf” registration statement on Form S-3 under the Securities Act relating to the securities that may be offered by this prospectus. This prospectus is a part of that registration statement, but does not contain all of the information in the registration statement. We have omitted parts of the registration statement in accordance with the rules and regulations of the SEC. For more detail about us and any securities that may be offered by this prospectus, you may review the registration statement and the exhibits filed with it through the SEC’s website. Please be aware that statements in this prospectus referring to a contract or other document are summaries and you should refer to the exhibits that are part of the registration statement for a copy of the contract or document.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bookmarkStart w:id="10" w:name="incorporation_certain_documents_by"/>
      <w:bookmarkEnd w:id="10"/>
      <w:r>
        <w:rPr>
          <w:rFonts w:ascii="Times New Roman" w:hAnsi="Times New Roman"/>
          <w:b/>
          <w:caps/>
          <w:color w:val="000000"/>
          <w:sz w:val="20"/>
        </w:rPr>
        <w:t>Incorporation of Certain Documents by Reference</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SEC allows us to incorporate by reference the information we file with the SEC,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The SEC file number of Easterly Government Properties, Inc. is 001-36834. We are incorporating by reference the documents listed below, which we have already filed with the SEC (other than, in each case, documents or information deemed to have been furnished and not filed in accordance with SEC rules):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Easterly Government Properties, Inc.’s </w:t>
      </w:r>
      <w:hyperlink r:id="rId4">
        <w:r>
          <w:rPr>
            <w:rStyle w:val="InternetLink"/>
            <w:rFonts w:ascii="Times New Roman" w:hAnsi="Times New Roman"/>
            <w:color w:val="0000FF"/>
            <w:sz w:val="20"/>
            <w:u w:val="single"/>
          </w:rPr>
          <w:t>Annual Report on Form 10-K</w:t>
        </w:r>
      </w:hyperlink>
      <w:r>
        <w:rPr>
          <w:color w:val="000000"/>
        </w:rPr>
        <w:t xml:space="preserve"> </w:t>
      </w:r>
      <w:r>
        <w:rPr>
          <w:rFonts w:ascii="Times New Roman" w:hAnsi="Times New Roman"/>
          <w:color w:val="000000"/>
          <w:sz w:val="20"/>
        </w:rPr>
        <w:t>for the year ended December 31, 2023, filed on February 27, 2024;</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Easterly Government Properties, Inc's Current Report on Form 8-K filed on </w:t>
      </w:r>
      <w:hyperlink r:id="rId5">
        <w:r>
          <w:rPr>
            <w:rStyle w:val="InternetLink"/>
            <w:rFonts w:ascii="Times New Roman" w:hAnsi="Times New Roman"/>
            <w:color w:val="0000FF"/>
            <w:sz w:val="20"/>
            <w:u w:val="single"/>
          </w:rPr>
          <w:t>January 25, 2024</w:t>
        </w:r>
      </w:hyperlink>
      <w:r>
        <w:rPr>
          <w:rFonts w:ascii="Times New Roman" w:hAnsi="Times New Roman"/>
          <w:color w:val="000000"/>
          <w:sz w:val="20"/>
        </w:rPr>
        <w:t>;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pPr>
      <w:r>
        <w:rPr>
          <w:rFonts w:ascii="Times New Roman" w:hAnsi="Times New Roman"/>
          <w:color w:val="000000"/>
          <w:sz w:val="20"/>
        </w:rPr>
        <w:t>the description of Easterly Government Properties, Inc.’s common stock contained in Easterly Government Properties, Inc.’s Registration Statement on</w:t>
      </w:r>
      <w:hyperlink r:id="rId6">
        <w:r>
          <w:rPr>
            <w:rStyle w:val="InternetLink"/>
            <w:color w:val="0000FF"/>
            <w:u w:val="single"/>
          </w:rPr>
          <w:t xml:space="preserve"> </w:t>
        </w:r>
      </w:hyperlink>
      <w:hyperlink r:id="rId7">
        <w:r>
          <w:rPr>
            <w:rStyle w:val="InternetLink"/>
            <w:rFonts w:ascii="Times New Roman" w:hAnsi="Times New Roman"/>
            <w:color w:val="0000FF"/>
            <w:sz w:val="20"/>
            <w:u w:val="single"/>
          </w:rPr>
          <w:t>Form 8-A</w:t>
        </w:r>
      </w:hyperlink>
      <w:r>
        <w:rPr>
          <w:rFonts w:ascii="Times New Roman" w:hAnsi="Times New Roman"/>
          <w:color w:val="000000"/>
          <w:sz w:val="20"/>
        </w:rPr>
        <w:t xml:space="preserve">, filed on February 3, 2015, as updated by </w:t>
      </w:r>
      <w:hyperlink r:id="rId8">
        <w:r>
          <w:rPr>
            <w:rStyle w:val="InternetLink"/>
            <w:rFonts w:ascii="Times New Roman" w:hAnsi="Times New Roman"/>
            <w:color w:val="0000FF"/>
            <w:sz w:val="20"/>
            <w:u w:val="single"/>
          </w:rPr>
          <w:t>Exhibit 4.2</w:t>
        </w:r>
      </w:hyperlink>
      <w:r>
        <w:rPr>
          <w:color w:val="000000"/>
        </w:rPr>
        <w:t xml:space="preserve"> </w:t>
      </w:r>
      <w:r>
        <w:rPr>
          <w:rFonts w:ascii="Times New Roman" w:hAnsi="Times New Roman"/>
          <w:color w:val="000000"/>
          <w:sz w:val="20"/>
        </w:rPr>
        <w:t>to Easterly Government Properties, Inc.’s Annual Report on Form 10-K for the year ended December 31, 2021, filed on February 28, 2022, including any amendments or reports filed for the purpose of updating such description.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All documents filed by Easterly Government Properties, Inc. with the SEC pursuant to Sections 13(a), 13(c), 14 or 15(d) of the Exchange Act on or after the date of this prospectus until the earlier of the date on which all of the securities registered hereunder have been sold or this registration statement has been withdrawn shall be deemed incorporated by reference in this prospectus and to be a part of this prospectus from the date of filing of those documents (except as to any portion of any future document that is deemed furnished and not filed in accordance with SEC rules). Upon request, we will provide, without charge, to each person, including any beneficial owner, to whom a copy of this prospectus is delivered, a copy of the documents incorporated by reference in this prospectus. You may request a copy of these filings, and any exhibits we have specifically incorporated by reference as an exhibit in this prospectus, by writing or telephoning us at the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Easterly Government Properties, Inc. </w:t>
      </w:r>
    </w:p>
    <w:p>
      <w:pPr>
        <w:pStyle w:val="TextBody"/>
        <w:bidi w:val="0"/>
        <w:jc w:val="center"/>
        <w:rPr>
          <w:rFonts w:ascii="Times New Roman" w:hAnsi="Times New Roman"/>
          <w:color w:val="000000"/>
          <w:sz w:val="20"/>
        </w:rPr>
      </w:pPr>
      <w:r>
        <w:rPr>
          <w:rFonts w:ascii="Times New Roman" w:hAnsi="Times New Roman"/>
          <w:color w:val="000000"/>
          <w:sz w:val="20"/>
        </w:rPr>
        <w:t>2001 K Street NW, Suite 775 North</w:t>
      </w:r>
    </w:p>
    <w:p>
      <w:pPr>
        <w:pStyle w:val="TextBody"/>
        <w:bidi w:val="0"/>
        <w:jc w:val="center"/>
        <w:rPr>
          <w:rFonts w:ascii="Times New Roman" w:hAnsi="Times New Roman"/>
          <w:color w:val="000000"/>
          <w:sz w:val="20"/>
        </w:rPr>
      </w:pPr>
      <w:r>
        <w:rPr>
          <w:rFonts w:ascii="Times New Roman" w:hAnsi="Times New Roman"/>
          <w:color w:val="000000"/>
          <w:sz w:val="20"/>
        </w:rPr>
        <w:t xml:space="preserve">Washington, D.C. 20006 </w:t>
      </w:r>
    </w:p>
    <w:p>
      <w:pPr>
        <w:pStyle w:val="TextBody"/>
        <w:bidi w:val="0"/>
        <w:jc w:val="center"/>
        <w:rPr>
          <w:rFonts w:ascii="Times New Roman" w:hAnsi="Times New Roman"/>
          <w:color w:val="000000"/>
          <w:sz w:val="20"/>
        </w:rPr>
      </w:pPr>
      <w:r>
        <w:rPr>
          <w:rFonts w:ascii="Times New Roman" w:hAnsi="Times New Roman"/>
          <w:color w:val="000000"/>
          <w:sz w:val="20"/>
        </w:rPr>
        <w:t>Attention: Investor Relations</w:t>
      </w:r>
    </w:p>
    <w:p>
      <w:pPr>
        <w:pStyle w:val="TextBody"/>
        <w:bidi w:val="0"/>
        <w:jc w:val="center"/>
        <w:rPr>
          <w:rFonts w:ascii="Times New Roman" w:hAnsi="Times New Roman"/>
          <w:color w:val="000000"/>
          <w:sz w:val="20"/>
        </w:rPr>
      </w:pPr>
      <w:r>
        <w:rPr>
          <w:rFonts w:ascii="Times New Roman" w:hAnsi="Times New Roman"/>
          <w:color w:val="000000"/>
          <w:sz w:val="20"/>
        </w:rPr>
        <w:t>(202) 595-9500</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 xml:space="preserve">This prospectus is part of a registration statement we filed with the SEC. We have incorporated exhibits into the registration statement. You should read the exhibits carefully for provisions that may be important to you.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You should rely only on the information incorporated by reference or provided in this prospectus or any prospectus supplement. We have not authorized anyone to provide you with different or additional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the date of the applicable documents.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1" w:name="use_of_proceeds_1"/>
      <w:bookmarkEnd w:id="11"/>
      <w:r>
        <w:rPr>
          <w:rFonts w:ascii="Times New Roman" w:hAnsi="Times New Roman"/>
          <w:b/>
          <w:color w:val="000000"/>
          <w:sz w:val="20"/>
        </w:rPr>
        <w:t>USE OF PROCEEDS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Easterly Government Properties, Inc. is required by the terms of the partnership agreement of Easterly Government Properties LP to contribute the net proceeds of any sale of common stock, preferred stock, stock purchase contracts, depository shares or warrants to Easterly Government Properties LP in exchange for securities of Easterly Government Properties LP with economic interests that are substantially similar to the securities issued by Easterly Government Properties, Inc. </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 xml:space="preserve">Unless we provide otherwise in a supplement to this prospectus, following Easterly Government Properties, Inc.’s contribution of any net proceeds to Easterly Government Properties LP, we intend to use the net proceeds from our sale of the securities covered by this prospectus for one or more of the following: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acquisition, development, redevelopment or improvement of properties;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full or partial repayment of debt;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capital expenditures;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working capital; and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general corporate or business purposes.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Pending application of cash proceeds, we may use the net proceeds to temporarily reduce our indebtedness or invest the net proceeds in interest-bearing accounts and short-term, interest-bearing securities which are consistent with our intention to qualify as a REIT for U.S. federal income tax purposes. Further details regarding the use of the net proceeds of a specific series or class of the securities will be set forth in the applicable prospectus supplement.</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will not receive any proceeds from the sale by any selling stockholder of any securities covered by this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2" w:name="description_common_stock_easterly_govern"/>
      <w:bookmarkEnd w:id="12"/>
      <w:r>
        <w:rPr>
          <w:rFonts w:ascii="Times New Roman" w:hAnsi="Times New Roman"/>
          <w:b/>
          <w:color w:val="000000"/>
          <w:sz w:val="20"/>
        </w:rPr>
        <w:t>DESCRIPTION OF COMMON STOCK OF EASTERLY GOVERNMENT PROPERTIES, INC.</w:t>
      </w:r>
    </w:p>
    <w:p>
      <w:pPr>
        <w:pStyle w:val="TextBody"/>
        <w:bidi w:val="0"/>
        <w:spacing w:before="240" w:after="283"/>
        <w:ind w:left="0" w:right="0" w:firstLine="936"/>
        <w:jc w:val="left"/>
        <w:rPr>
          <w:rFonts w:ascii="Times New Roman" w:hAnsi="Times New Roman"/>
          <w:i/>
          <w:color w:val="000000"/>
          <w:sz w:val="20"/>
        </w:rPr>
      </w:pPr>
      <w:r>
        <w:rPr>
          <w:rFonts w:ascii="Times New Roman" w:hAnsi="Times New Roman"/>
          <w:i/>
          <w:color w:val="000000"/>
          <w:sz w:val="20"/>
        </w:rPr>
        <w:t>The following is a summary of the material terms of Easterly Government Properties, Inc.'s common stock. It may not contain all of the information that is important to you. You can access complete information by referring to our charter, bylaws and the relevant provisions of Maryland General Corporation Law (the “MGCL”). The charter and bylaws are incorporated by reference into this prospectus, and the following summary is qualified in its entirety by reference to such documents. References in this section to “we,” “our,” “us,” and “our company” refer to Easterly Government Properties,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charter provides that we may issue up to 200,000,000 shares of our common stock, par value $0.01 per share, referred to as our common stock, and up to 50,000,000 shares of our preferred stock, par value $0.01 per share, referred to as our preferred stock. Our charter authorizes our board of directors, without any action by our stockholders, to amend our charter to increase or decrease the aggregate number of authorized shares of stock or the number of authorized shares of any class or series of our stock. As of February 20, 2024, there were 102,354,702 shares of our common stock outstanding, and no shares of our preferred stock issued and outstanding.</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Under Maryland law, our stockholders generally are not personally liable for our debts and obligations solely as a result of their status as stockholders.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All of the shares of our common stock, when issued, will be duly authorized, validly issued, fully paid and nonassessable and all of the shares of our common stock have equal rights as to earnings, assets, dividends and voting.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Rights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Subject to the preferential rights of holders of any other class or series of our stock, holders of shares of our common stock are entitled to receive dividends and other distributions on such shares if, as and when authorized by our board of directors and declared by us out of assets legally available therefor.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Voting Rights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Except as may otherwise be specified in the terms of any class or series of our common stock, each outstanding share of our common stock entitles the holder to one vote on all matters submitted to a vote of stockholders, including the election of directors, and, except as may be provided with respect to any other class or series of stock, the holders of shares of our common stock will possess the exclusive voting power. See the sections entitled “Material Provisions of Maryland Law and our Charter and Bylaws—Annual Elections” and “Material Provisions of Maryland Law and our Charter and Bylaws—Charter Amendments and Extraordinary Corporate Actions” for more information.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Distributions on Liquidation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In the event of our liquidation, dissolution or winding up, each share of our common stock would be entitled to share ratably in all of our assets that are legally available for distribution after payment of or adequate provision for all of our known debts and other liabilities and subject to any preferential rights of holders of preferred stock, if any preferred stock is outstanding at such time, and restrictions on the transfer and ownership of our stock contained in our charter.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Rights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Holders of shares of our common stock generally have no preemptive, appraisal, preferential exchange, conversion, sinking fund or redemption rights. Our common stock is freely transferable, except where its transfer is restricted by federal and state securities laws, by contract or by the restrictions in our charter.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Listing</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Our common stock is listed on the NYSE under the symbol “DEA.”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The transfer agent and registrar for the shares of our common stock is Computershare Trust Company, 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Relationship to Preferred Stock</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Our board of directors may authorize the issuance of preferred stock, from time to time, in one or more classes or series. Our charter authorizes our board of directors to classify any unissued shares of preferred stock and to reclassify any previously classified but unissued shares of our common stock or preferred stock into one or more classes or series of preferred stock. Prior to the issuance of shares of each class or series, our board of directors is required by the MGCL and our charter to set, subject to the provisions of our charter regarding the restrictions on ownership and transfer of our stock, the terms, the preferences, conversion or other rights, voting powers, restrictions, limitations as to dividends or other distributions, qualifications and terms or conditions of redemption of each such class or series. See the sections entitled “Material Provisions of Maryland Law and our Charter and Bylaws—Power to Reclassify our Unissued Shares of Stock” and “Material Provisions of Maryland Law and our Charter and Bylaws—Power to Increase or Decrease Authorized Shares of Common Stock and Issue Additional Shares of Common and Preferred Stock” for more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Restrictions on Ownership and Transfer</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In order for us to qualify as a REIT under the Internal Revenue Code of 1986, as amended (the “Code”), our stock must be beneficially owned by 100 or more persons during at least 335 days of a taxable year of 12 months or during a proportionate part of a shorter taxable year (other than the first taxable year for which an election to be a REIT has been made). Also, not more than 50% of the value of the outstanding shares of our stock (after taking into account certain options to acquire shares of stock) may be owned, directly or indirectly or through application of certain attribution rules by five or fewer “individuals” (as defined in the Code to include certain entities, such as private foundations) at any time during the last half of a taxable year (other than the first taxable year for which an election to be a REIT has been made), such test being referred to as the 5/50 test. In addition, if 50% or more of our stock is owned by persons owning 50% or more of another REIT, we could be treated as the successor of that REIT and our REIT status for a certain period would depend on that REIT qualifying as a REIT.</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charter contains restrictions on the ownership and transfer of our stock that are intended to assist us in complying with the REIT ownership requirements and in continuing to qualify as a REIT and to prevent us from being treated as a successor of certain entities (the “Easterly Fund REITs”) included in the fund structure of private investment funds that contributed assets in our initial public offering. The relevant sections of our charter provide that no person or entity may actually own or be deemed to own by virtue of the applicable constructive ownership provisions, more than 7.1% (in value or in number of shares, whichever is more restrictive) of the outstanding shares of each class or series of our stock, or 7.1% in value of the aggregate of the outstanding shares of all classes and series of our stock, in each case excluding any shares of our stock that are not treated as outstanding for U.S. federal income tax purposes. Subject to the exceptions described below, our charter further prohibits any person or entity from actually or constructively owning shares in excess of these limits. We refer to each of these restrictions as an “ownership limit” and collectively as the “ownership limits.” A person or entity that would have acquired actual, beneficial or constructive ownership of our stock but for the application of the ownership limits or any of the other restrictions on ownership and transfer of our stock discussed below, and, if appropriate in the context, any person or entity that would have been the record owner of such shares, is referred to as a “prohibited owner.”</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applicable constructive ownership rules under the Code are complex and, for instance, may cause stock owned actually or constructively by a group of related individuals and/or entities to be treated as owned constructively by one individual or entity. As a result, the acquisition of less than 7.1% in value of our outstanding stock or less than 7.1% in the value or number of any class or series of our stock (or the acquisition of an interest in an entity that owns, actually or constructively, our stock) by an individual or entity could nevertheless cause that individual or entity, or another individual or entity, to own, constructively or beneficially, in excess of the ownership limits.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Our charter provides that our board of directors may, prospectively or retroactively, waive the ownership limit with respect to a particular stockholder. In granting such waiver, our board of directors may also require the stockholder receiving such waiver to make certain representations, warranties and covenants related to our ability to qualify as a REIT. As a condition of such waiver, our board of directors may require an opinion of counsel or Internal Revenue Service (“IRS”) ruling, in either case in form and substance satisfactory to our board of directors, in its sole and absolute discretion, in order to determine or ensure our status as a REIT and such representations and undertakings as are reasonably necessary to make the determinations above. Our board of directors may impose such conditions or restrictions as it deems appropriate in connection with such an exception. In connection with certain formation transactions we completed concurrently with our initial public offering, our board of directors granted a waiver to Michael P. Ibe to own up to approximately 21% of our outstanding common stock. We do not expect that the issuance of this waiver will adversely affect our ability to qualify as a REIT.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Our charter further prohibits: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from owning shares of our stock to the extent such ownership would result in our failing to qualify as a REIT;</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from transferring shares of our stock if such transfer would result in shares of our stock being beneficially owned by fewer than 100 persons (determined without reference to any rules of attribution);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from owning shares of our stock to the extent such ownership would result in the beneficial owners of 50% or more of certain entities included in the fund structure of private investment funds that contributed assets in our initial public offering from owning 50% or more of our capital stock, applying certain attribution of ownership rules.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Any person who acquires or attempts or intends to acquire beneficial or constructive ownership of shares of our stock that will or may violate the ownership limitation provisions or any of the other restrictions on ownership or transfer of our stock described above must give written notice immediately to us or, in the case of a proposed or attempted transaction, provide us at least 15 days’ prior written notice and provide us with such other information as we may request in order to determine the effect of such transfer on our qualification as a REIT.</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The ownership limitation provisions and other restrictions on ownership and transfer of our stock described above will not apply if our board of directors determines that it is no longer in our best interests to continue to qualify as a REIT or that compliance with any such restriction or limitation is no longer required for REIT qualification.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Pursuant to our charter, if any purported transfer of our stock or any other event otherwise would result in any person violating the ownership restrictions in our charter, then that number of shares causing the violation (rounded up to the nearest whole share) will be automatically transferred to, and held by, a trust for the exclusive benefit of one or more charitable organizations selected by us. The prohibited owner will have no rights in shares of our stock held by the trustee. The automatic transfer will be effective as of the close of business on the business day prior to the date of the purported transfer or other event that results in the transfer to the trust. Any dividend or other distribution paid to the prohibited owner, prior to our discovery that the shares had been automatically transferred to a trust as described above, must be repaid to the trustee upon demand for distribution to the beneficiary of the trust. If the transfer to the trust as described above is not automatically effective, for any reason, to prevent violation of the applicable ownership limit or our failing to qualify as a REIT, then our charter provides that the transfer of shares resulting in such violation will be void. If any transfer of our stock would result in shares of our stock being beneficially owned by fewer than 100 persons (determined without reference to any rules of attribution), then any such purported transfer will be automatically void and of no force or effect and the intended transferee will acquire no rights in the shares.</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The trustee must sell the shares to a person or entity designated by the trustee who could own the shares without violating the ownership limits or any of the other restrictions on ownership and transfer of our stock; provided that the right of the trustee to sell the shares will be subject to the rights of any person or entity to purchase such shares from the trust that we establish by an agreement entered into prior to the date the shares are transferred to the trust. Upon such sale, the trustee must distribute to the prohibited owner an amount equal to the lesser of: (a) the fair market value of such shares on the day of the transfer or other event that resulted in the transfer of such shares to the trust and (b) the sales proceeds (net of commissions and other expenses of sale) received by the trustee for the shares. The trustee may reduce the amount payable to the prohibited owner by the amount of any dividends or other distributions paid to the prohibited owner and owed by the prohibited owner before our discovery that the shares had been transferred to the trust and that is owed by the prohibited owner to the trustee. Any net sales proceeds in excess of the amount payable to the prohibited owner will be immediately paid to the charitable beneficiary, together with any dividends or other distributions thereon. In addition, if prior to discovery by us that shares of our stock have been transferred to the trust, such shares of stock are sold by a prohibited owner, then such shares shall be deemed to have been sold on behalf of the trust and, to the extent that the prohibited owner received an amount for or in respect of such shares that exceeds the amount that such prohibited owner was entitled to receive, such excess amount shall be paid to the trustee upon demand. The prohibited owner has no rights in the shares held by the trustee.</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The trustee will be designated by us and will be unaffiliated with us and with any prohibited owner. Prior to the sale of any shares by the trust, the trustee will receive, in trust for the charitable beneficiary, all dividends and other distributions paid by us with respect to such shares and may also exercise all voting rights with respect to such shares for the exclusive benefit of the charitable beneficiary.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Subject to Maryland law, effective as of the date that the shares have been transferred to the trust, the trustee shall have the authority, at the trustee’s sole discretion:</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rescind as void any vote cast by a prohibited owner prior to our discovery that the shares have been transferred to the trust;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recast the vote in accordance with the desires of the trustee acting for the benefit of the beneficiary of the trust.</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However, if we have already taken irreversible corporate action, then the trustee may not rescind and recast the vote.</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If our board of directors determines in good faith that a proposed transfer or other event has taken place that would violate the restrictions on ownership and transfer of our stock set forth in our charter, our board of directors will take such action as it deems advisable in its sole discretion to refuse to give effect to or to prevent such transfer, including, but not limited to, causing us to redeem shares of stock, refusing to give effect to the transfer on our books or instituting proceedings to enjoin the transfer.</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Following the end of each REIT taxable year, every owner of 5% or more (or such lower percentage as required by the Code or the regulations promulgated thereunder) of the outstanding shares of any class or series of our stock, within 30 days after the end of each taxable year, must give written notice to us stating the name and address of such owner, the number of shares of each class and series of our stock that the owner beneficially owns and a description of the manner in which the shares are held. Each such owner also must provide us with any additional information that we request in order to determine the effect, if any, of the person’s actual or beneficial ownership on our qualification as a REIT and to ensure compliance with the ownership limitation provisions. In addition, any person or entity that is an actual owner, beneficial owner or constructive owner of shares of our stock and any person or entity (including the stockholder of record) who is holding shares of our stock for an actual owner, beneficial owner or constructive owner must, on request, disclose to us such information as we may request in good faith in order to determine our qualification as a REIT and comply with requirements of any taxing authority or governmental authority or to determine such compliance.</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Any certificates representing shares of our stock will bear a legend referring to the restrictions on ownership and transfer of our stock described above.</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These restrictions on ownership and transfer could delay, defer or prevent a transaction or a change of control of our company that might involve a premium price for our common stock that our stockholders believe to be in their best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3" w:name="description_preferred_stock_of_easter"/>
      <w:bookmarkEnd w:id="13"/>
      <w:r>
        <w:rPr>
          <w:rFonts w:ascii="Times New Roman" w:hAnsi="Times New Roman"/>
          <w:b/>
          <w:color w:val="000000"/>
          <w:sz w:val="20"/>
        </w:rPr>
        <w:t>DESCRIPTION OF PREFERRED STOCK OF EASTERLY GOVERNMENT PROPERTIES, INC.</w:t>
      </w:r>
    </w:p>
    <w:p>
      <w:pPr>
        <w:pStyle w:val="TextBody"/>
        <w:bidi w:val="0"/>
        <w:spacing w:before="240" w:after="283"/>
        <w:ind w:left="0" w:right="0" w:firstLine="936"/>
        <w:jc w:val="left"/>
        <w:rPr>
          <w:rFonts w:ascii="Times New Roman" w:hAnsi="Times New Roman"/>
          <w:i/>
          <w:color w:val="000000"/>
          <w:sz w:val="20"/>
        </w:rPr>
      </w:pPr>
      <w:r>
        <w:rPr>
          <w:rFonts w:ascii="Times New Roman" w:hAnsi="Times New Roman"/>
          <w:i/>
          <w:color w:val="000000"/>
          <w:sz w:val="20"/>
        </w:rPr>
        <w:t>The following description summarizes the terms of preferred stock we may offer. When we offer to sell a particular class or series of preferred stock, we will describe the specific terms of the class or series in a prospectus supplement. This description and the description contained in any prospectus supplement are not complete and are in all respects subject to and qualified entirely by reference to our charter, bylaws and the applicable provisions of the MGCL. Any series of preferred stock we issue will be governed by our charter (as amended and in effect as of the date of such issuance).</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board of directors may authorize the issuance of up to 50,000,000 shares of preferred stock from time to time, in one or more classes or series. Our charter authorizes our board of directors to classify any unissued shares of preferred stock and to reclassify any previously classified but unissued shares of preferred stock into other classes or series of stock. Prior to the issuance of shares of each class or series, our board of directors is required by the MGCL and our charter to set, subject to the provisions of our charter regarding the restrictions on ownership and transfer of stock, the terms, preferences, conversion or other rights, voting powers, restrictions, limitations as to dividends or other distributions, qualifications and terms and conditions of redemption for each such class or series. Thus, our board of directors could authorize the issuance of a class or series of preferred stock with terms and conditions which could have the effect of delaying, deferring or preventing a transaction or a change in control of our company that might involve a premium price for holders of our common stock or otherwise be in their best interests. In addition, our board of directors may afford the holders of any class or series of preferred stock, powers and rights, voting or otherwise, senior to the rights of holders of shares of our common stock.</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 xml:space="preserve">The prospectus supplement relating to the class or series of preferred stock being offered thereby will describe the specific terms of such securities, including: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designation and par value of the preferred stock;</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shares of preferred stock offered, the liquidation preference per share and the offering price per share of the preferred stock;</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dividend rate(s), period(s) and/or payment date(s) or method(s) of calculation thereof applicable to the preferred stock;</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dividends shall be cumulative or non-cumulative and, if cumulative, the date from which dividends on the preferred stock shall accumulate;</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provisions for a sinking fund, if any, for the preferred stock;</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provisions for redemption, if applicable, of the preferred stock;</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preemptive rights, if any;</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terms and conditions, if applicable, upon which the preferred stock will be convertible into our common stock, including the conversion price (or manner of calculation thereof) and conversion period;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voting rights of the preferred stock;</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relative ranking and preferences of the preferred stock as to dividend rights and rights upon our liquidation, dissolution or winding up;</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limitations on issuance of any class or series of preferred stock ranking senior to or on a parity with such class or series of preferred stock as to dividend rights and rights upon our liquidation, dissolution or winding up;</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those limitations described below, any other limitations on actual and constructive ownership and restrictions on transfer;</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listing of the shares of the preferred stock on any securities exchange;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other specific terms, preferences, rights, limitations or restrictions of the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Additionally, the prospectus supplement relating to the class or series of preferred stock being offered thereby will provide a discussion of any material United States federal income tax considerations applicable to such preferred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Rank</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Unless otherwise specified in the prospectus supplement relating to a particular class or series of preferred stock, the preferred stock will, with respect to dividend rights and rights upon our liquidation, dissolution or winding up, rank:</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senior to all classes or series of our common stock, and to all equity securities ranking junior to such preferred stock;</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 parity with all equity securities issued by us the terms of which specifically provide that such equity securities rank on a parity with the preferred stock;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junior to all equity securities issued by us the terms of which specifically provide that such equity securities rank senior to the preferred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Voting Rights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Holders of preferred stock generally will not have any voting rights, except as otherwise indicated in the applicable prospectus supplement.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Conversion Rights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terms and conditions, if any, upon which shares of any class or series of preferred stock are convertible into our common stock will be set forth in the applicable prospectus supplement relating thereto. Such terms will include the number of shares of common stock into which the preferred stock is convertible, the conversion price (or manner of calculation thereof), the conversion period, provisions as to whether conversion will be at the option of the holders of the preferred stock or at our option, the events requiring an adjustment of the conversion price and provisions affecting conversion in the event of the redemption of such preferred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Restrictions on Ownership and Transfer</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To assist us in complying with certain U.S. federal income tax requirements applicable to REITs, among other purposes, we have adopted certain restrictions relating to the ownership and transfer of our stock. The applicable prospectus supplement will specify any additional ownership limitations relating to any class or series of preferred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registrar and transfer agent for a particular series of preferred stock will be set forth in the applicable prospectus supplement.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4" w:name="description_stock_purchase_contracts_eas"/>
      <w:bookmarkEnd w:id="14"/>
      <w:r>
        <w:rPr>
          <w:rFonts w:ascii="Times New Roman" w:hAnsi="Times New Roman"/>
          <w:b/>
          <w:color w:val="000000"/>
          <w:sz w:val="20"/>
        </w:rPr>
        <w:t>DESCRIPTION OF STOCK PURCHASE CONTRACTS OF EASTERLY GOVERNMENT PROPERTIES, INC.</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may issue stock purchase contracts, including contracts obligating holders to purchase from us and us to sell to the holders, a specified number of shares of common stock, preferred stock or depositary shares at a future date or dates. Alternatively, the stock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The stock purchase contracts may provide for settlement by delivery by us or on our behalf of shares of the underlying security, or they may provide for settlement by reference or linkage to the value, performance or trading price of the underlying security. The stock purchase contracts may require us to make periodic payments to the holders of the underlying security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5" w:name="description_depositary_shares_easterly"/>
      <w:bookmarkEnd w:id="15"/>
      <w:r>
        <w:rPr>
          <w:rFonts w:ascii="Times New Roman" w:hAnsi="Times New Roman"/>
          <w:b/>
          <w:color w:val="000000"/>
          <w:sz w:val="20"/>
        </w:rPr>
        <w:t>DESCRIPTION OF DEPOSITARY SHARES OF EASTERLY GOVERNMENT PROPERTIES, INC.</w:t>
      </w:r>
    </w:p>
    <w:p>
      <w:pPr>
        <w:pStyle w:val="TextBody"/>
        <w:bidi w:val="0"/>
        <w:spacing w:before="240" w:after="283"/>
        <w:ind w:left="0" w:right="0" w:firstLine="941"/>
        <w:jc w:val="left"/>
        <w:rPr>
          <w:rFonts w:ascii="Times New Roman" w:hAnsi="Times New Roman"/>
          <w:i/>
          <w:color w:val="000000"/>
          <w:sz w:val="20"/>
        </w:rPr>
      </w:pPr>
      <w:r>
        <w:rPr>
          <w:rFonts w:ascii="Times New Roman" w:hAnsi="Times New Roman"/>
          <w:i/>
          <w:color w:val="000000"/>
          <w:sz w:val="20"/>
        </w:rPr>
        <w:t>This section outlines some of the provisions of a deposit agreement to govern any depositary shares, the depositary shares themselves and the depositary receipts. This information may not be complete in all respects and is qualified entirely by reference to the relevant deposit agreement and depositary receipts with respect to the depositary shares related to any particular series of preferred stock. The specific terms of any series of depositary shares will be described in the applicable prospectus supplement. If so described in the prospectus supplement, the terms of that series of depositary shares may differ from the general description of terms presented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Interest in a Fractional Share, or Multiple Shares, of Preferred Stock</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may, at our option, elect to offer depositary shares, each of which would represent an interest in a fractional share, or multiple shares, of our preferred stock instead of whole shares of preferred stock. If so, we will allow a depositary to issue to the public depositary shares, each of which will represent an interest in a fractional share, or multiple shares, of preferred stock as described in the prospectus supplement.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Deposit Agreement</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shares of the preferred stock underlying any depositary shares will be deposited under a separate deposit agreement between us and a bank or trust company acting as depositary with respect to those shares of preferred stock. The prospectus supplement relating to a series of depositary shares will specify the name and address of the depositary. Under the deposit agreement, each owner of a depositary share will be entitled, in proportion of its interest in a fractional share, or multiple shares, of the preferred stock underlying that depositary share, to all the rights and preferences of that preferred stock, including dividend, voting, redemption, conversion, exchange and liquidation rights.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Depositary shares will be evidenced by one or more depositary receipts issued under the deposit agreement. We will distribute depositary receipts to those persons purchasing such depositary shares in accordance with the terms of the offering made by the related prospectus supplement.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Dividends and Other Distributions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depositary will distribute all cash dividends or other cash distributions in respect of the preferred stock underlying the depositary shares to each record depositary shareholder based on the number of the depositary shares owned by that holder on the relevant record date. The depositary will distribute only that amount which can be distributed without attributing to any depositary shareholders a fraction of one cent, and any balance not so distributed will be added to and treated as part of the next sum received by the depositary for distribution to record depositary shareholders.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If there is a distribution other than in cash, the depositary will distribute property to the entitled record depositary shareholders, unless the depositary determines that it is not feasible to make that distribution. In that case the depositary may, with our approval, adopt the method it deems equitable and practicable for making that distribution, including any sale of property and the distribution of the net proceeds from this sale to the concerned 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Each deposit agreement will also contain provisions relating to the manner in which any subscription or similar rights we offer to holders of the relevant series of preferred stock will be made available to depositary shareholders.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amount distributed in all of the foregoing cases will be reduced by any amounts required to be withheld by us or the depositary on account of taxes and governmental charges.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Withdrawal of Preferred Stock</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Upon surrender of depositary receipts at the office of the depositary and upon payment of the charges provided in the deposit agreement and subject to the terms thereof, a holder of depositary receipts is entitled to have the depositary deliver to such holder the applicable number of shares of preferred stock underlying the depositary shares evidenced by the surrendered depositary receipts. There may be no market, however, for the underlying preferred stock and once the underlying preferred stock is withdrawn from the depositary, it may not be redeposited.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Redemption and Liquidation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terms on which the depositary shares relating to the preferred stock of any series may be redeemed, and any amounts distributable upon our liquidation, dissolution or winding up, will be described in the applicable prospectus supplement.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Voting</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Upon receiving notice of any meeting at which preferred stockholders of any series are entitled to vote, the depositary will mail the information contained in that notice to the record depositary shareholders relating to those series of preferred stock. Each depositary shareholder on the record date will be entitled to instruct the depositary on how to vote the shares of preferred stock underlying that holder’s depositary shares. The depositary will vote the shares of preferred stock underlying those depositary shares according to those instructions, and we will take reasonably necessary actions to enable the depositary to do so. If the depositary does not receive specific instructions from the depositary shareholders relating to that preferred stock, it will abstain from voting those shares of preferred stock, unless otherwise discussed in the applicable prospectus supplement.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Amendment and Termination of Deposit Agreement</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and the depositary may amend the depositary receipt form evidencing the depositary shares and the related deposit agreement. However, any amendment that significantly affects the rights of the depositary shareholders will not be effective unless holders of a majority of the outstanding depositary shares approve that amendment. No amendment, however, may impair the right of any depositary shareholder to receive any money or other property to which he or she may be entitled under the terms of the deposit agreement at the times and in the manner and amount provided for therein. We or the depositary may terminate a deposit agreement only if:</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redeemed or reacquired all outstanding depositary shares relating to the deposit agreement;</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outstanding depositary shares have been converted (if convertible) into shares of common stock or another series of preferred stock; or</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a final distribution in respect of the preferred stock of any series in connection with our liquidation, dissolution or winding up and such distribution has been made to the related depositary shareholders.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Charges of Depositary</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will pay all transfer and other taxes and governmental charges arising solely from the existence of the depositary arrangements. We will also pay all charges of each depositary in connection with the initial deposit and any redemption of the preferred stock. Depositary shareholders will be required to pay any other transfer and other taxes and governmental charges and any other charges expressly provided in the deposit agreement to be for their accounts.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Miscellaneous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Each depositary will forward to the relevant depositary shareholders all our reports and communications that we are required to furnish to preferred stockholders of any series.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deposit agreement will contain provisions relating to adjustments in the fraction of a share of preferred stock represented by a depositary share in the event of a change in par value, split-up, combination or other reclassification of the preferred stock or upon any recapitalization, merger or sale of substantially all of our assets.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Neither the depositary nor our company will be liable if it is prevented or delayed by law or any circumstance beyond its control in performing its obligations under any deposit agreement, or subject to any liability under the deposit agreement to holders of depositary receipts other than for the relevant party’s gross negligence or willful misconduct. The obligations of our company and each depositary under any deposit agreement will be limited to performance in good faith of their duties under that agreement, and they will not be obligated to prosecute or defend any legal proceeding in respect of any depositary shares or preferred stock unless they are provided with satisfactory indemnity. They may rely upon written advice of counsel or accountants, or information provided by persons presenting preferred stock for deposit, depositary shareholders or other persons believed to be competent and on documents believed to be genuine.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Resignation and Removal of Depositary</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 depositary may resign at any time by issuing us a notice of resignation, and we may remove any depositary at any time by issuing it a notice of removal. Resignation or removal will take effect upon the appointment of a successor depositary and its acceptance of appointment. That successor depositary must be appointed within 60 days after delivery of the notice of resignation or removal.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6" w:name="description_warrants_easterly_government"/>
      <w:bookmarkEnd w:id="16"/>
      <w:r>
        <w:rPr>
          <w:rFonts w:ascii="Times New Roman" w:hAnsi="Times New Roman"/>
          <w:b/>
          <w:color w:val="000000"/>
          <w:sz w:val="20"/>
        </w:rPr>
        <w:t>DESCRIPTION OF WARRANTS OF EASTERLY GOVERNMENT PROPERTIES, INC.</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may issue warrants for the purchase of our common stock, preferred stock or depositary shares representing preferred stock by this prospectus. We may issue warrants separately or together with any other securities offered by means of this prospectus, and the warrants may be attached to or separate from such securities. Each series of warrants will be issued under a separate warrant agreement (each, a “warrant agreement”) to be entered into between us and a warrant agent specified therein.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 In the applicable prospectus supplement, we will describe the terms of the warrants and applicable warrant agreement, including, where applicable, the following: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title of such warrants;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their aggregate number;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price or prices at which we will issue them;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designation, number and terms of the securities that can be purchased upon exercise of them;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designation and terms of the other securities, if any, with which such warrants are issued and the number of such warrants issued with each such security;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date, if any, on and after which they and the related securities, if any, will be separately transferable;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price at which each share of securities that can be purchased upon exercise of such warrants may be purchased;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date on which the right to exercise them shall commence and the date on which such right shall expire;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minimum or maximum amount of such warrants which may be exercised at any one time;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information with respect to book-entry procedures, if any;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anti-dilution protections;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discussion of certain U.S. federal income tax considerations; and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other material terms of such warrants, including terms, procedures, and limitations relating to the transferability, exchange, and exercise of such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7" w:name="global_securities"/>
      <w:bookmarkEnd w:id="17"/>
      <w:r>
        <w:rPr>
          <w:rFonts w:ascii="Times New Roman" w:hAnsi="Times New Roman"/>
          <w:b/>
          <w:color w:val="000000"/>
          <w:sz w:val="20"/>
        </w:rPr>
        <w:t>GLOBAL SECURITIES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may issue some or all of our securities of any series as global securities. We will register each global security in the name of a depositary identified in the applicable prospectus supplement. The global securities will be deposited with a depositary or nominee or custodian for the depositary and will bear a legend regarding restrictions on exchanges and registration of transfer as discussed below and any other matters to be provided pursuant to the applicable prospectus supplement.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As long as the depositary or its nominee is the registered holder of a global security, that person will be considered the sole owner and holder of the global security and the securities represented by it for all purposes under the securities and the applicable prospectus supplement. Except in limited circumstances, owners of a beneficial interest in a global security:</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will not be entitled to have the global security or any securities represented by it registered in their names;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will not receive or be entitled to receive physical delivery of certificated securities in exchange for the global security;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will not be considered to be the owners or holders of the global security or any securities represented by it for any purposes under the securities or the applicable prospectus supplement.</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will make all payments of principal and any premium and interest on a global security to the depositary or its nominee as the holder of the global security. The laws of some jurisdictions require that certain purchasers of securities take physical delivery of securities in definitive form. These laws may impair the ability to transfer beneficial interests in a global security.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Ownership of beneficial interests in a global security will be limited to institutions having accounts with the depositary or its nominee, called “participants” for purposes of this discussion, and to persons that hold beneficial interests through participants. When a global security is issued, the depositary will credit on its book-entry, registration and transfer system the principal amounts of securities represented by the global security to the accounts of its participants. Ownership of beneficial interests in a global security will be shown only on, and the transfer of those ownership interests will be effected only through, records maintained by:</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depositary, with respect to participants’ interests; or</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participant, with respect to interests of persons held by the participants on their behalf.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Payments by participants to owners of beneficial interests held through the participants will be the responsibility of the participants. The depositary may from time to time adopt various policies and procedures governing payments, transfers, exchanges and other matters relating to beneficial interests in a global security. None of the following will have any responsibility or liability for any aspect of the depositary’s or any participant’s records relating to, or for payments made on account of, beneficial interests in a global security, or for maintaining, supervising or reviewing any records relating to those beneficial interests: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or our affiliates;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trustee under any applicable prospectus supplement; or</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agent of any of the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8" w:name="material_provisions_maryland_law_and_our"/>
      <w:bookmarkEnd w:id="18"/>
      <w:r>
        <w:rPr>
          <w:rFonts w:ascii="Times New Roman" w:hAnsi="Times New Roman"/>
          <w:b/>
          <w:color w:val="000000"/>
          <w:sz w:val="20"/>
        </w:rPr>
        <w:t>MATERIAL PROVISIONS OF MARYLAND LAW AND OUR CHARTER AND BYLAWS</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The following description of the terms of our stock and of certain provisions of Maryland law is only a summary. Copies of our charter and bylaws are filed as exhibits to the registration statement of which this prospectus is a part and the following summary, to the extent it relates to those documents, is qualified in its entirety by reference to our</w:t>
      </w:r>
      <w:r>
        <w:rPr>
          <w:rFonts w:ascii="Times New Roman" w:hAnsi="Times New Roman"/>
          <w:color w:val="000000"/>
          <w:sz w:val="20"/>
        </w:rPr>
        <w:t xml:space="preserve"> </w:t>
      </w:r>
      <w:r>
        <w:rPr>
          <w:rFonts w:ascii="Times New Roman" w:hAnsi="Times New Roman"/>
          <w:i/>
          <w:color w:val="000000"/>
          <w:sz w:val="20"/>
        </w:rPr>
        <w:t>charter and bylaws and the</w:t>
      </w:r>
      <w:r>
        <w:rPr>
          <w:rFonts w:ascii="Times New Roman" w:hAnsi="Times New Roman"/>
          <w:color w:val="000000"/>
          <w:sz w:val="20"/>
        </w:rPr>
        <w:t xml:space="preserve"> </w:t>
      </w:r>
      <w:r>
        <w:rPr>
          <w:rFonts w:ascii="Times New Roman" w:hAnsi="Times New Roman"/>
          <w:i/>
          <w:color w:val="000000"/>
          <w:sz w:val="20"/>
        </w:rPr>
        <w:t>applicable provisions of Maryland law.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Power to Reclassify Our Unissued Shares of Stock</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 xml:space="preserve">Our charter authorizes our board of directors to classify any unissued shares of preferred stock and to reclassify any previously classified but unissued shares of our common or preferred stock into one or more classes or series of preferred stock. Prior to the issuance of shares of each class or series, our board of directors is required by the MGCL and our charter to set, subject to the provisions of our charter regarding the restrictions on ownership and transfer of our stock, the terms, the preferences, conversion or other rights, voting powers, restrictions, limitations as to dividends or other distributions, qualifications and terms or conditions of redemption of each such class or series. As a result, our board of directors, without the approval of our stockholders, could authorize the issuance of shares of preferred stock that have priority over shares of our common stock with respect to dividends or other distributions or rights upon liquidation or with other terms and conditions that could have the effect of delaying, deferring or preventing a transaction or a change of control of our company that might involve a premium price for holders of our common stock or otherwise believe to be in their best interests.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Power to Increase or Decrease Authorized Shares of Common Stock and Issue Additional Shares of Common and Preferred Stock</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Our charter authorizes our board of directors to amend our charter to increase or decrease the number of authorized shares of stock, to issue additional authorized but unissued shares of our common or preferred stock and to classify or reclassify unissued shares of our common or preferred stock and thereafter to issue such classified or reclassified shares of stock without further action by our stockholders, unless such action is required by applicable law or the rules of any stock exchange or market system on which our securities may be listed or traded. These provisions will provide us with increased flexibility in structuring possible future financings and acquisitions and in meeting other needs that might arise. Although our board of directors does not currently intend to do so, it could authorize us to issue a class or series of stock that could, depending upon the terms of the particular class or series, delay, defer or prevent a transaction or a change of control of our company that might involve a premium price for holders of our common stock or otherwise be in their best interests.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Charter Amendments and Extraordinary Corporate Actions</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Under the MGCL, a Maryland corporation generally cannot dissolve, amend its charter, merge, consolidate, sell all or substantially all of its assets or engage in a statutory share exchange unless declared advisable by its board of directors and approved by the affirmative vote of stockholders entitled to cast at least two-thirds of all of the votes entitled to be cast on the matter unless a lesser percentage (but not less than a majority of all of the votes entitled to be cast on the matter) is set forth in the corporation’s charter. Our charter provides for approval of any of these matters by the affirmative vote of stockholders entitled to cast a majority of all the votes entitled to be cast on such matters, except with respect to the provisions of our charter relating to (a) the restrictions on ownership and transfer of shares of our stock and (b) the vote required to amend the provisions relating to these matters, which provisions may be amended only if such amendment is declared advisable by our board of directors and approved by the affirmative vote of stockholders entitled to cast not less than two-thirds of all of the votes entitled to be cast on the matter.</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 xml:space="preserve">In addition to the approval of mergers, consolidations or sales of all or substantially all of our assets by the affirmative vote of stockholders entitled to cast a majority of all votes entitled to be cast, the Amended and Restated Agreement of Limited Partnership, as amended (the “Partnership Agreement”), of our operating partnership also requires us to obtain partnership approval for any transfers of our interest in our operating partnership, a withdrawal as general partner of our operating partnership or consummation of a fundamental transaction, as such term is defined in the Partnership Agreement. If we do not receive the requisite partnership approval, we would not be permitted to complete a fundamental transaction even if our stockholders entitled to cast a majority of all votes approve any such fundamental transaction.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Amendments to our Bylaws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Our bylaws may be amended or new bylaws may be adopted by our board of directors or by the affirmative vote of a majority of the votes cast on the matter by holders of outstanding shares of our common stock, except the following bylaw provisions,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which may be altered, amended or repealed only with the affirmative vote of a majority of the votes cast on such amendment by holders of outstanding shares of our common stock:</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opting out of the control share acquisition provisions of the MGCL;</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provisions prohibiting our board of directors without the approval of a majority of the votes entitled to be the cast by holders of outstanding shares of our common stock, from revoking, altering or amending any resolution, or adopting any resolution inconsistent with any previously adopted resolution of our board of directors, that exempts any business combination between us and any other person or entity from the business combination provisions of the MGCL;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that require stockholder approval prior to adoption of any stockholder rights plan, except under limited circumstances;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relating to the amendment of our bylaws.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Number of Directors; Vacancies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charter provides that the number of directors will be set only by our board of directors in accordance with our bylaws. Our bylaws provide that a majority of our entire board of directors may at any time increase or decrease the number of directors. However, the number of directors may never be less than the minimum number required by the MGCL, which is one, nor, except as set forth in our charter and our bylaws, more than 15. Because our board of directors has the power to amend our bylaws, it could modify the bylaws to change that range.</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bylaws provide that any and all vacancies on our board of directors may be filled only by the affirmative vote of a majority of the remaining directors in office, even if the remaining directors do not constitute a quorum, and any individual elected to fill such vacancy will serve until the next annual meeting of stockholders and until a successor is duly elected and qualifies.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Annual Elections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Each of our directors is elected by our stockholders to serve until the next annual meeting of stockholders and until his or her successor is duly elected and qualifies. Pursuant to our bylaws, in uncontested elections, a director will be elected if he or she receives more votes for his or her election than votes against his or her election. In contested director elections, directors will be elected by a plurality of the votes cast. There is no cumulative voting in the election of directors.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Under our corporate governance guidelines, any incumbent director who fails to be elected by a majority of the votes cast in an uncontested election must promptly submit a written offer to resign to our board of directors. The nominating and corporate governance committee of our board of directors will make a recommendation to our board on whether to accept or reject the resignation, or whether other action should be taken. Our board of directors will then act on the nominating and corporate governance committee’s recommendation and publicly disclose its decision and, if applicable, the rationale behind it within ninety (90) days from the date of the certification of election results. If the resignation is not accepted, the director will continue to serve until the next annual meeting and until the director’s successor is duly elected and qualified. The director who tenders his or her resignation will not participate in our board’s decision regarding his or her resignation, but will participate in other board matters until our board’s decision is made with respect to his or her resignation.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Removal of Directors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charter provides that, subject to the rights, if any, of holders of any class or series of preferred stock to elect or remove one or more directors, a director may be removed only for cause, and then only by the affirmative vote of at least a majority of the votes entitled to be cast generally in the election of directors. “Cause” is defined in our charter to mean conviction of a director of a felony or a final judgment of a court of competent jurisdiction holding that a director caused demonstrable, material harm to us through bad faith or active and deliberate dishonesty. This provision, when coupled with the exclusive power of our board of directors to fill vacancies on our board of directors, precludes stockholders from (a) removing incumbent directors except upon the affirmative vote of at least a majority of the votes entitled to be cast on the matter and for cause and (b) filling the vacancies created by such removal with their own nominees.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Meetings of Stockholders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Under our bylaws, annual meetings of stockholders must be held each year at a date, time and place determined by our board of directors.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bylaws provide that special meetings of stockholders may be called by the chairman of our board of directors, our chief executive officer, or a majority of our board of directors. Additionally, our bylaws provide that, subject to the satisfaction of certain procedural and informational requirements by the stockholders requesting the meeting, a special meeting of stockholders to act on any matter that may properly be considered at a meeting of stockholders shall be called by our secretary upon the written request of stockholders entitled to cast not less than a majority of all the votes entitled to be cast on such matter at such meeting.</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See the section entitled “—Advance Notice of Director Nominations and New Business” for more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Under the MGCL, certain “business combinations” (including a merger, consolidation, share exchange or, in certain circumstances, an asset transfer or issuance or reclassification of equity securities) between a Maryland corporation and any interested stockholder, or an affiliate of such an interested stockholder, are prohibited for five years following the most recent date on which the interested stockholder became an interested stockholder. Maryland law defines an interested stockholder as any person who beneficially owns, directly or indirectly, 10% or more of the voting power of the corporation’s outstanding voting stock after the date on which the corporation had 100 or more beneficial owners of its stock or an affiliate or associate of an interested stockholder. A person is not an interested stockholder under the statute if the board of directors approved in advance the transaction by which the person otherwise would have become an interested stockholder. The board of directors may provide that its approval is subject to compliance with any terms and conditions determined by it.</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After such five-year period, any such business combination must be recommended by the board of directors of the corporation and approved by the affirmative vote of at least:</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80% of the votes entitled to be cast by holders of outstanding shares of voting stock of the corporation;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These supermajority approval requirements do not apply if, among other conditions, the corporation’s common stockholders receive a minimum price (as defined in the MGCL) for their shares and the consideration is received in cash or in the same form as previously paid by the interested stockholder for its shares. These provisions of the MGCL do not apply, however, to business combinations that are approved or exempted by a corporation’s board of directors prior to the time that the interested stockholder becomes an interested stockholder. Our board of directors has adopted a resolution exempting any business combinations between us and any other person or entity from the business combination provisions of the MGCL. As a result, any other person or entity may be able to enter into business combinations with us that may not be in the best interest of our stockholders without compliance with the supermajority vote requirements and other provisions of the statute.</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bylaws provide that this resolution or any other resolution of our board of directors exempting any business combination from the business combination provisions of the MGCL may only be revoked, altered or amended, and our board of directors may only adopt any resolution inconsistent with any such resolution (including an amendment to that bylaw provision), with the affirmative vote of a majority of the votes cast on the matter by holders of outstanding shares of our common stock. We cannot assure you that our board of directors will not recommend to stockholders that they alter or repeal this resolution in the future. However, an alteration or repeal of the resolution described above will not have any effect on any business combinations that have been consummated or upon any agreements existing at the time of such modification or repeal.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Control Share Acquisitions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MGCL provides that holders of “control shares” of a Maryland corporation acquired in a “control share acquisition” have no voting rights with respect to any control shares except to the extent approved at a special meeting of stockholders by the affirmative vote of at least two-thirds of the votes entitled to be cast on the matter, excluding shares of stock of a corporation in respect of which any of the following persons is entitled to exercise or direct the exercise of the voting power of such shares in the election of directors: (a) a person who makes or proposes to make a control share acquisition; (b) an officer of the corporation; or (c) an employee of the corporation who is also a director of the corporation. “Control shares” are voting shares of stock, which,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one-tenth or more but less than one-third;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one-third or more but less than a majority; or</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majority or more of all voting power.</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Control shares do not include shares that the acquiring person is then entitled to vote as a result of having previously obtained stockholder approval. A “control share acquisition” means the acquisition, directly or indirectly, of ownership of, or the power to direct the exercise of voting power with respect to, issued and outstanding control shares, subject to certain exceptions.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 person who has made or proposes to make a control share acquisition, upon satisfaction of certain conditions (including an undertaking to pay expenses and making an “acquiring person statement” as described in the MGCL), may compel our board of directors to call a special meeting of stockholders to be held within 50 days of demand to consider the voting rights of the shares acquired or to be acquired in the control share acquisition. If no request for a special meeting is made, the corporation may itself present the question at any stockholders meeting.</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of any meeting of stockholders at which the voting rights of such shares are considered and not approved. If voting rights for control shares are approved at a stockholders meeting and the acquirer becomes entitled to vote a majority of the shares entitled to vote, all other stockholders may exercise appraisal rights, unless appraisal rights are eliminated under the corporation’s charter. Our charter generally eliminates all appraisal rights of stockholders.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control share acquisition statute does not apply to: (a) shares acquired in a merger, consolidation or share exchange if the corporation is a party to the transaction, or (b) acquisitions approved or exempted by the charter or bylaws of the corporation.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bylaws contain a provision exempting from the control share acquisition statute any and all acquisitions by any person of shares of our stock. This bylaw provision may be amended only with the affirmative vote of a majority of the votes cast on such an amendment by holders of outstanding shares of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Appraisal Rights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As permitted by the MGCL, our charter provides that stockholders will not be entitled to exercise appraisal rights unless a majority of our board of directors determines that appraisal rights will apply, with respect to all or any classes and series of stock, to one or more transactions occurring after the date of such determination in connection with which holders of such shares would otherwise be entitled to exercise appraisal rights. This is in addition to Maryland law provisions that generally eliminate appraisal rights for exchange-listed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Subtitle 8</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Under Subtitle 8 of Title 3 of the MGCL, a Maryland corporation with a class of equity securities registered under the Exchange Act and at least three directors who are not officers or employees of the corporation, and who are not affiliated with a person who is seeking to acquire control of the corporation, may elect to be subject, by provision in its charter or bylaws or a resolution of its board of directors and notwithstanding any contrary provision in the charter or bylaws, to any or all of the following five provisions: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classified board requirement;</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two-thirds vote requirement for removing a director;</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requirement that the number of directors be fixed only by vote of the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requirement that a vacancy on the board be filled only by the remaining directors and for the remainder of the full term of the class of directors in which the vacancy occurred; or</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requirement for the calling of a special meeting of stockholders only at the written request of stockholders entitled to cast at least a majority of the votes entitled to be cast at the meeting.</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have elected in our charter to be subject to the provisions of Subtitle 8 that provide that vacancies on our board of directors may be filled only by the remaining directors. We have not elected to be subject to any of the other provisions of Subtitle 8, including the provisions that would permit us to classify our board of directors or increase the vote required to remove a director without stockholder approval. Moreover, our charter provides that, without the affirmative vote of a majority of the votes cast on the matter by our stockholders entitled to vote generally in the election of directors, we may not elect to be subject to any of these additional provisions of Subtitle 8.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Through provisions in our charter and bylaws unrelated to Subtitle 8, we already (a) require the affirmative vote of stockholders entitled to cast at least a majority of the votes entitled to be cast in the election of directors for the removal of any director from our board of directors, which removal also requires cause, (b) vest in our board of directors the exclusive power to fix the number of directorships, subject to limitations set forth in our charter and bylaws and (c) require, unless called by the chairman of our board of directors, chief executive officer, president or our board of directors, the request of stockholders entitled to cast not less than a majority of all votes entitled to be cast on a matter at such meeting to call a special meeting to consider and vote on any matter that may properly be considered at a meeting of stockholders. We have not elected to create a classified board.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 Stockholder Rights Plan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have no stockholder rights plan. Under our bylaws, we may not adopt a stockholder rights plan unless our stockholders approve in advance the adoption of a plan or, if adopted by our board of directors, the plan provides that it will expire unless ratified by the affirmative vote of the majority of the votes cast on the matter by stockholders within one year of adoption or extension.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Dissolution of Our Company</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voluntary dissolution of our company must be declared advisable by a majority of our entire board of directors and approved by the affirmative vote of stockholders entitled to cast a majority of all of the votes entitled to be cast on the matter.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Advance Notice of Director Nominations and New Business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bylaws provide that:</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an annual meeting of stockholders, nominations of individuals for election to our board of directors and the proposal of business to be considered by stockholders at the annual meeting may be made only:</w:t>
      </w:r>
    </w:p>
    <w:p>
      <w:pPr>
        <w:pStyle w:val="TextBody"/>
        <w:bidi w:val="0"/>
        <w:spacing w:before="240" w:after="283"/>
        <w:ind w:left="1425"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our notice of the meeting;</w:t>
      </w:r>
    </w:p>
    <w:p>
      <w:pPr>
        <w:pStyle w:val="TextBody"/>
        <w:bidi w:val="0"/>
        <w:spacing w:before="240" w:after="283"/>
        <w:ind w:left="1425"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or at the direction of our board of directors; or</w:t>
      </w:r>
    </w:p>
    <w:p>
      <w:pPr>
        <w:pStyle w:val="TextBody"/>
        <w:bidi w:val="0"/>
        <w:spacing w:before="240" w:after="283"/>
        <w:ind w:left="1425"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a stockholder who was a stockholder of record both at the time of giving the notice required by our bylaws and at the time of the annual meeting, who is entitled to vote at the meeting in the election of each individual so nominated or on such other business and who has complied with the advance notice procedures and provided the information and certifications required by the advance notice procedures set forth in our bylaws;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special meetings of stockholders, only the business specified in our notice of meeting may be brought before the meeting of stockholders, and nominations of individuals for election to our board of directors may be made only:</w:t>
      </w:r>
    </w:p>
    <w:p>
      <w:pPr>
        <w:pStyle w:val="TextBody"/>
        <w:bidi w:val="0"/>
        <w:spacing w:before="240" w:after="283"/>
        <w:ind w:left="1425"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or at the direction of our board of directors;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ind w:left="1425"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provided that the meeting has been called for the purpose of electing directors, by a stockholder who is a stockholder of record both at the time of giving the notice required by our bylaws and at the time of the meeting, who is entitled to vote at the meeting in the election of each individual so nominated and who has complied with the advance notice procedures and provided the information and certifications required by the advance notice procedures set forth in our bylaws.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purpose of requiring stockholders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stockholders and make recommendations regarding the nominations or other proposals. The advance notice procedures also permit a more orderly procedure for conducting our stockholder meetings. Although our bylaws do not give our board of directors any power to disapprove stockholder nominations for the election of directors or proposals recommending certain actions,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Action by Stockholders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charter provides that stockholder action can be taken at an annual or special meeting of stockholders, or by written consent in lieu of a meeting only if such consent is approved unanimously. These provisions, combined with the requirements of our bylaws regarding advance notice of nominations and other business to be considered at a meeting of stockholders and the calling of a stockholder-requested special meeting of stockholders, may have the effect of delaying consideration of a stockholder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Exclusive Forum</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bylaws contain a provision designating the Circuit Court for Baltimore City, Maryland (or, if that court does not have jurisdiction, the U.S. District Court for the District of Maryland, Baltimore Division) as the sole and exclusive forum for derivative claims brought on our behalf, claims against any of our directors, officers or other employees alleging a breach of duty owed to us or our stockholders, claims against us or any of our directors, officers or other employees arising pursuant to any provision of the MGCL or our charter or bylaws, claims against us or any of our directors, officers or other employees governed by the internal affairs doctrine, and any other claims brought by or on behalf of any stockholder of record or any beneficial owner of our common stock (either on his, her or its own behalf or on behalf of any series or class of shares of our stock or any group of our stockholders) against us or any of our directors, officers or other employees, unless we consent to an alternative forum. However, it is possible that a court could find our forum selection provision to be inapplicable or unenforceable.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Indemnification and Limitation of Directors’ and Officers’ Liability</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Maryland law permits a Maryland corporation to include in its charter a provision limiting the liability of its directors and officers to the corporation and its stockholders for money damages except to the extent that (a) it is proved that the person actually received an improper benefit or profit in money, property or services for the amount of the benefit or profit in money, property or services actually received; or (b) a judgment or other final adjudication adverse to the person is entered in a proceeding based on a finding in the proceeding that the person’s action, or failure to act, was the result of active and deliberate dishonesty and was material to the cause of action adjudicated in the proceeding. Our charter contains a provision that eliminates such liability to the maximum extent permitted by Maryland law. The MGCL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or in the defense of any claim, issue or matter in the proceeding, against reasonable expenses incurred by the director or officer in connection with the proceeding, claim, issue or matter. The MGCL permits a Maryland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act or omission of the director or officer was material to the matter giving rise to the proceeding and:</w:t>
      </w:r>
    </w:p>
    <w:p>
      <w:pPr>
        <w:pStyle w:val="TextBody"/>
        <w:bidi w:val="0"/>
        <w:spacing w:before="240" w:after="283"/>
        <w:ind w:left="1425"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was committed in bad faith; or</w:t>
      </w:r>
    </w:p>
    <w:p>
      <w:pPr>
        <w:pStyle w:val="TextBody"/>
        <w:bidi w:val="0"/>
        <w:spacing w:before="240" w:after="283"/>
        <w:ind w:left="1425"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was the result of active and deliberate dishonesty;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director or officer actually received an improper personal benefit in money, property or services;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case of any criminal proceeding, the director or officer had reasonable cause to believe that the act or omission was unlawful.</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Under the MGCL, a Maryland corporation may not, however, indemnify a director or officer for an adverse judgment in a suit by or in the right of the corporation or if the director or officer was adjudged liable on the basis that personal benefit was improperly received. Notwithstanding the foregoing, unless limited by the charter (which our charter does not), a court of appropriate jurisdiction, upon application of a director or officer, may order indemnification if it determines that the director or officer is fairly and reasonably entitled to indemnification in view of all the relevant circumstances, whether or not the director or officer met the standards of conduct described above or has been adjudged liable on the basis that a personal benefit was improperly received, but such indemnification shall be limited to expenses.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In addition, the MGCL permits a Maryland corporation to advance reasonable expenses to a director or officer, without requiring a preliminary determination of the director’s or officer’s ultimate entitlement to indemnification, upon the corporation’s receipt of:</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written affirmation by the director or officer of his or her good faith belief that he or she has met the standard of conduct necessary for indemnification by the corporation;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written undertaking by the director or officer or on the director’s or officer’s behalf to repay the amount paid or reimbursed by the corporation if it is ultimately determined that the director or officer did not meet the standard of conduct.</w:t>
      </w:r>
    </w:p>
    <w:p>
      <w:pPr>
        <w:pStyle w:val="TextBody"/>
        <w:bidi w:val="0"/>
        <w:spacing w:before="240" w:after="283"/>
        <w:ind w:left="0" w:right="0" w:firstLine="1121"/>
        <w:jc w:val="left"/>
        <w:rPr>
          <w:rFonts w:ascii="Times New Roman" w:hAnsi="Times New Roman"/>
          <w:color w:val="000000"/>
          <w:sz w:val="20"/>
        </w:rPr>
      </w:pPr>
      <w:r>
        <w:rPr>
          <w:rFonts w:ascii="Times New Roman" w:hAnsi="Times New Roman"/>
          <w:color w:val="000000"/>
          <w:sz w:val="20"/>
        </w:rPr>
        <w:t>Our charter authorizes us to obligate our company and our bylaws obligate us, to the fullest extent permitted by Maryland law in effect from time to time, to indemnify and to pay or reimburse reasonable expenses in advance of final disposition of a proceeding, except in the case of certain judgments, penalties, and settlements for an accounting of profits from the purchase and sale of our securities, without requiring a preliminary determination of the director’s or officer’s ultimate entitlement to indemnification, to:</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present or former director or officer who is made or threatened to be made a party to the proceeding by reason of his or her service in that capacity; or</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individual who, while serving as our director or officer and at our request, serves or has served as a director, officer, partner, trustee, member or manager of another corporation, REIT, limited liability company, partnership, joint venture, trust, employee benefit plan or other enterprise and who is made or threatened to be made a party to the proceeding by reason of his or her service in that capacity.</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charter and bylaws also permit us to indemnify and advance expenses to any person who served a predecessor of ours in any of the capacities described above and to any officer, employee or agent of our company or a predecessor of our company.</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have entered into indemnification agreements with each of our executive officers and directors, whereby we agree to indemnify our executive officers and directors against all expenses and liabilities and pay or reimburse their reasonable expenses in advance of final disposition of a proceeding to the fullest extent permitted by Maryland law if they are made or threatened to be made a party to the proceeding by reason of their service to our company, subject to limited exceptions. The Partnership Agreement also provides that we, as general partner, and our affiliate limited partner, directors, officers, employees and agents are indemnified to the extent provided therein.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have obtained an insurance policy under which our directors and executive officers will be insured, subject to the limits of the policy, against certain losses arising from claims made against such directors and officers by reason of any acts or omissions covered under such policy in their respective capacities as directors or officers, including certain liabilities under the Securities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Opportunities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charter, to the maximum extent permitted from time to time by Maryland law, provides that our board of directors has the power to cause us to renounce any interest or expectancy that we have in, or any right to be offered an opportunity to participate in, any business opportunities that are from time to time presented to our directors, unless the business opportunity is expressly offered to such person in his or her capacity as a director.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REIT Qualification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Our charter provides that our board of directors may revoke or otherwise terminate our REIT election, without approval of our stockholders, if it determines that it is no longer in our best interests to continue to qualify as a REIT.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9" w:name="certain_united_states_federal_income_tax"/>
      <w:bookmarkEnd w:id="19"/>
      <w:r>
        <w:rPr>
          <w:rFonts w:ascii="Times New Roman" w:hAnsi="Times New Roman"/>
          <w:b/>
          <w:color w:val="000000"/>
          <w:sz w:val="20"/>
        </w:rPr>
        <w:t>CERTAIN UNITED STATES FEDERAL INCOME TAX CONSIDERATIONS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following is a summary of certain U.S. federal income tax considerations relating to our qualification and taxation as a REIT and relating to the purchase, ownership and disposition of our shares of common stock. Because this is a summary that is intended to address only certain material U.S. federal income tax considerations relating to the ownership and disposition of our common stock generally applicable to holders, it may not contain all the information that may be important to you. As you review this discussion, you should keep in mind that: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tax consequences to you may vary depending on your particular tax situation;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special rules that are not discussed below may apply to you if, for example, you are a broker-dealer, a dealer in securities or currencies, a trust, an estate, a regulated investment company, a REIT, a financial institution, a bank, an insurance company, a person who holds 10% or more (by vote or value) of our stock, a partnership or similar pass-through entity or an investor in such an entity, a person subject to the alternative minimum tax provisions of the Code, a person holding our common stock as part of a “straddle,” “hedge,” “short sale,” “conversion transaction,” “synthetic security” or other integrated investment, a person who acquired our common stock in connection with the performance of services, a person who marks-to market our common stock, a tax-deferred or other retirement account, a U.S. expatriate, a U.S. stockholder (as defined below) whose functional currency is not the U.S. dollar or are otherwise subject to special tax treatment under the Code;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summary does not address state, local, non-U.S., alternative minimum or any U.S. federal taxes other than income taxes (such as estate taxes);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summary assumes that stockholders hold our common stock as a “capital asset” within the meaning of Section 1221 of the Code;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summary does not address U.S. federal income tax considerations applicable to tax-exempt organizations and non-U.S. persons, except to the limited extent described below; and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discussion is not intended to be, and should not be construed as, tax advice. </w:t>
      </w:r>
    </w:p>
    <w:p>
      <w:pPr>
        <w:pStyle w:val="TextBody"/>
        <w:bidi w:val="0"/>
        <w:spacing w:before="240" w:after="283"/>
        <w:ind w:left="0" w:right="0" w:firstLine="941"/>
        <w:jc w:val="left"/>
        <w:rPr>
          <w:rFonts w:ascii="Times New Roman" w:hAnsi="Times New Roman"/>
          <w:b/>
          <w:color w:val="000000"/>
          <w:sz w:val="20"/>
        </w:rPr>
      </w:pPr>
      <w:r>
        <w:rPr>
          <w:rFonts w:ascii="Times New Roman" w:hAnsi="Times New Roman"/>
          <w:b/>
          <w:color w:val="000000"/>
          <w:sz w:val="20"/>
        </w:rPr>
        <w:t>In addition, this summary does not address tax considerations relating to the purchase, ownership and disposition of preferred stock, stock purchase contracts, depositary shares or warrants. In the event we issue any such preferred stock, stock purchase contracts, depositary shares or warrants, the prospectus supplement will discuss the related U.S. federal income tax considerations in greater detail. Furthermore, the following summary does not address any U.S. federal income tax considerations to holders of our outstanding stock that could result if we issue any redeemable preferred stock at a price that exceeds its redemption price by more than a de minimis amount or that otherwise provides for dividends that are economically a return of the stockholder’s investment (rather than a return on the stockholder’s investment), which preferred stock could be considered “fast-pay stock” under Treasury Regulations promulgated under Section 7701(l) of the Code and treated under such regulations as a financing instrument among the holders of the fast-pay stock and our other stockholders. This summary also does not address tax considerations relating to the acquisition or ongoing ownership of operating partnership units of Easterly Government Properties LP, except to the limited extent described below.</w:t>
      </w:r>
    </w:p>
    <w:p>
      <w:pPr>
        <w:pStyle w:val="TextBody"/>
        <w:bidi w:val="0"/>
        <w:spacing w:before="240" w:after="283"/>
        <w:ind w:left="0" w:right="0" w:firstLine="936"/>
        <w:jc w:val="left"/>
        <w:rPr>
          <w:rFonts w:ascii="Times New Roman" w:hAnsi="Times New Roman"/>
          <w:sz w:val="20"/>
        </w:rPr>
      </w:pPr>
      <w:r>
        <w:rPr>
          <w:rFonts w:ascii="Times New Roman" w:hAnsi="Times New Roman"/>
          <w:b/>
          <w:color w:val="000000"/>
          <w:sz w:val="20"/>
        </w:rPr>
        <w:t>You are urged both to review the following discussion and to consult with your tax advisor to determine the effect of the purchase, ownership and disposition of our common stock on your particular tax situation, including any state, local or non-U.S. tax consequences.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For purposes of this discussion, references to “we,” “us” or “our” and any similar terms, refer solely to Easterly Government Properties, Inc. and not our operating partnership. For purposes of this discussion, the term “corporation” includes any entity treated as a corporation for U.S. federal income tax purposes, and the term “stock” means interests treated as equity in a corporation for U.S. federal income tax purposes. For purposes of this discussion, the term “partnership” includes any entity treated as a partnership for U.S. federal income tax purposes, and the term “partner” includes any person treated as a member of a partnership for U.S. federal income tax purposes.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information in this section is based on the current Code, current, temporary and proposed Treasury Regulations, the legislative history of the Code, current administrative interpretations and practices of the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rulings from the IRS concerning the tax treatment of the matters discussed below. Thus, it is possible that the IRS could challenge the statements in this discussion that do not bind the IRS or the courts, and that a court could agree with the IRS. </w:t>
      </w:r>
    </w:p>
    <w:p>
      <w:pPr>
        <w:pStyle w:val="TextBody"/>
        <w:bidi w:val="0"/>
        <w:spacing w:before="240" w:after="283"/>
        <w:jc w:val="left"/>
        <w:rPr>
          <w:rFonts w:ascii="Times New Roman" w:hAnsi="Times New Roman"/>
          <w:sz w:val="20"/>
        </w:rPr>
      </w:pPr>
      <w:r>
        <w:rPr>
          <w:rFonts w:ascii="Times New Roman" w:hAnsi="Times New Roman"/>
          <w:b/>
          <w:color w:val="000000"/>
          <w:sz w:val="20"/>
        </w:rPr>
        <w:t>Classification and Taxation of Easterly Government Properties, Inc. as a REIT</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elected to be taxed as a REIT for U.S. federal income tax purposes commencing with our taxable year ended December 31, 2015. A REIT generally is not subject to U.S. federal income tax on the income that it distributes to its stockholders if it meets the applicable REIT distribution requirements and other requirements for qualification.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believe that our ownership, form of organization and operations through the date hereof and our proposed ownership, organization and method of operations thereafter have enabled and will enable us to qualify as a REIT beginning with our taxable year ended December 31, 2015. In connection with our filing of this registration statement, we have received an opinion of our tax counsel, Goodwin Procter LLP, to the effect that (i) commencing with our taxable year ended December 31, 2015, we have been organized in conformity with the requirements for qualification and taxation as a REIT, and (ii) our prior, current and proposed ownership, organization, distributions and method of operation as represented by management have allowed and will allow us to satisfy the requirements for qualification and taxation as a REIT commencing with our taxable year ended December 31, 2015. This opinion was based on representations and covenants made by us as to certain factual matters relating to our formation, prior and intended ownership, organization, and method of operation, including a representation that our past, current and future ownership has not and will not cause us to be a successor of either of the Easterly Fund REITs. Goodwin Procter LLP has not verified those representations, and their opinion assumes that such representations and covenants are true, correct and complete, that we have been owned, organized and operated and will continue to be owned and organized and will continue to operate in accordance with such representations and covenants. In addition, this opinion was based on the law existing and in effect as of its date (and to the extent applicable, the law in effect for prior periods covered by this opinion). Our qualification and taxation as a REIT has depended and will depend on our ability to have met and to meet on a continuing basis, through actual operating results, asset composition, distribution levels, diversity of share ownership and various other qualification tests imposed under the Code discussed below. Goodwin Procter LLP has not reviewed and will not review our compliance with these tests on a continuing basis. Accordingly, the opinion of our tax counsel does not guarantee our ability to have qualified as or to remain qualified as a REIT, and no assurance can be given that we have satisfied and will satisfy such tests for our taxable year ended December 31, 2015 or for any subsequent period. Also, the opinion of Goodwin Procter LLP is not binding on the IRS or any court, and could be subject to modification or withdrawal based on future legislative, judicial or administrative changes to U.S. federal income tax laws, any of which could be applied retroactively. Goodwin Procter LLP will have no obligation to advise us or the holders of our stock of any subsequent change in the matters addressed in its opinion, the factual representations or assumptions on which the conclusions in the opinion are based, or of any subsequent change in applicable law.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So long as we qualify for taxation as a REIT, we generally will be entitled to a deduction for dividends that we pay and therefore will not be subject to U.S. federal income tax on that portion of our taxable income or net capital gain that we distribute currently to our stockholders. This treatment substantially eliminates “double taxation” (that is, taxation at both the corporate and stockholder levels) that generally results from an investment in a corporation. However, even if we qualify for taxation as a REIT, we will be subject to U.S. federal income tax as follows: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be subject to regular U.S. federal corporate income tax on any undistributed taxable income and/or net capital gain.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have net income from the sale or other disposition of “foreclosure property” that is held primarily for sale to customers in the ordinary course of business, or other nonqualifying income from foreclosure property, we will be subject to tax at the highest U.S. federal corporate income tax rate on this income.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have net income from “prohibited transactions” we will be subject to a 100% tax on this income. In general, prohibited transactions are sales or other dispositions of property held primarily for sale to customers in the ordinary course of business other than foreclosure property.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satisfy any of the REIT asset tests, as described below, other than a failure by a de minimis amount of the 5% or 10% assets tests, and we qualify for and satisfy certain cure provisions, then we will be required to pay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40" w:after="283"/>
        <w:ind w:left="936" w:right="0" w:hanging="0"/>
        <w:jc w:val="left"/>
        <w:rPr/>
      </w:pPr>
      <w:r>
        <w:rPr>
          <w:rFonts w:ascii="Times New Roman" w:hAnsi="Times New Roman"/>
          <w:color w:val="000000"/>
          <w:sz w:val="20"/>
        </w:rPr>
        <w:t>tax equal to the greater of $50,000 or the product of (x) the net income generated by the nonqualifying assets during the period in which we failed to satisfy the asset tests and (y) the highest U.S. federal income tax rate then applicable to corporations.</w:t>
      </w:r>
      <w:r>
        <w:rPr>
          <w:color w:val="000000"/>
        </w:rPr>
        <w:t xml:space="preserv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satisfy any provision of the Code that would result in our failure to qualify as a REIT (other than a gross income or asset test requirement) and that violation is due to reasonable cause and not due to willful neglect, we may retain our REIT qualification, but we will be required to pay a penalty of $50,000 for each such failure.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qualify for taxation as a REIT because at the end of a taxable year we have earnings and profits accumulated in a non-REIT taxable year (such as earnings and profits we inherit from a taxable C corporation that we acquired during the year through a tax-free merger or tax-free liquidation), and the failure to comply with the prohibition on non-REIT earnings and profits was not due to fraud with intent to evade tax, we generally may retain our REIT status by paying a special distribution, but we will be required to pay an interest charge on 50% of the amount of undistributed non-REIT earnings and profits.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required to pay monetary penalties to the IRS if we fail to meet record-keeping requirements intended to monitor our compliance with rules relating to the composition of our stockholders, as described below in “—Requirements for Qualification as a REIT.”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be subject to a nondeductible 4% excise tax on the excess of the required distribution over the sum of amounts actually distributed and amounts retained for which U.S. federal income tax was paid, if we fail to distribute during each calendar year at least the sum of 85% of our REIT ordinary income for the year, 95% of our REIT capital gain net income for the year; and any undistributed taxable income from prior taxable years.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be subject to a 100% penalty tax on some payments we receive or on certain other amounts (or on certain expenses deducted by our taxable REIT subsidiaries (“TRSs,” and each a “TRS”)) if arrangements among us, our tenants and/or our TRSs are not comparable to similar arrangements among unrelated parties.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subject to tax on gain recognized in a taxable disposition of assets acquired by way of a tax-free merger or other tax-free reorganization with a non-REIT corporation or a tax-free liquidation of a non-REIT corporation into us. Specifically, to the extent we acquire (or have acquired) any asset from a C corporation in a carry-over basis transaction and we subsequently recognize gain on a disposition of such asset during a five-year period beginning on the date on which we acquired the asset, then, to the extent of any “built-in gain,” such gain will be subject to U.S. federal income tax at the highest regular corporate tax rate, which is currently 21%. Built-in gain means the excess of (i) the fair market value of the asset as of the beginning of the applicable recognition period over (ii) our adjusted basis in such asset as of the beginning of such recognition period. The results described in this paragraph assume that the non-REIT corporation does not elect, in lieu of this treatment, to be subject to an immediate tax when the asset is acquired by us. See “—Tax on Built-in Gains of Former C Corporation Assets.”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its proportionate share of the tax that we paid on such gain and (3) be allowed a credit for its proportionate share of the tax deemed to have been paid, with an adjustment made to increase the stockholders’ basis in our stock by the difference between (i) the amount of capital gain included in income and (ii) the amount of tax deemed paid by the stockholder.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have subsidiaries or own interests in other lower-tier entities that are C corporations that will elect, jointly with us, to be treated as our TRSs, the earnings of which would be subject to U.S. federal corporate income tax.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No assurance can be given that the amount of any such U.S. federal income taxes will not be substantial. In addition, we and our subsidiaries may be subject to a variety of taxes other than U.S. federal income tax, including payroll taxes and state, local and non-U.S. income, franchise, property and other taxes on assets and operations. We could also be subject to tax in situations and on transactions not presently contemplated.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Requirements for Qualification as a REIT</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elected to be taxed as a REIT under the Code effective with our taxable year ended December 31, 2015. In order to have so qualified, we must have met and continue to meet the requirements discussed below, relating to our organization, ownership, sources of income, nature of assets and distributions of income to stockholders, beginning with our taxable year ended December 31, 2015, unless otherwise noted.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Code defines a REIT as a corporation, trust, or association: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is managed by one or more trustees or directors;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beneficial ownership of which is evidenced by transferable shares, or by transferable certificates of beneficial interest;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would be taxable as a domestic corporation, but for its election to be subject to tax as a REIT under Sections 856 through 860 of the Code;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is neither a financial institution nor an insurance company subject to applicable provisions of the Code;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beneficial ownership of which is held by 100 or more persons;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last half of each taxable year not more than 50% in value of the outstanding shares of which is owned directly or indirectly by five or fewer “individuals,” as defined in the Code to include specified entities;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uses a calendar year for U.S. federal income tax purposes; and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meets other applicable tests, described below, regarding the nature of its income and assets and the amount of its distributions. </w:t>
      </w:r>
    </w:p>
    <w:p>
      <w:pPr>
        <w:pStyle w:val="TextBody"/>
        <w:bidi w:val="0"/>
        <w:spacing w:before="240" w:after="283"/>
        <w:ind w:left="0" w:right="0" w:firstLine="941"/>
        <w:jc w:val="left"/>
        <w:rPr>
          <w:rFonts w:ascii="Times New Roman" w:hAnsi="Times New Roman"/>
          <w:sz w:val="20"/>
        </w:rPr>
      </w:pPr>
      <w:r>
        <w:rPr>
          <w:rFonts w:ascii="Times New Roman" w:hAnsi="Times New Roman"/>
          <w:color w:val="000000"/>
          <w:sz w:val="20"/>
        </w:rPr>
        <w:t xml:space="preserve">Conditions (1), (2), (3) and (4) above must be met during the entire taxable year and condition (5) above must be met during at least 335 days of a taxable year of 12 months, or during a proportionate part of a taxable year of less than 12 months. Conditions (5) and (6) need not be satisfied during a corporation’s initial tax year as a REIT (which, in our case, was our taxable year ended December 31, 2015).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 A successful challenge to our valuation determination could jeopardize our ability to comply with condition (6) above. For purposes of its opinion, Goodwin Procter </w:t>
      </w:r>
      <w:r>
        <w:rPr>
          <w:rFonts w:ascii="Times New Roman" w:hAnsi="Times New Roman"/>
          <w:color w:val="000000"/>
          <w:sz w:val="15"/>
        </w:rPr>
        <w:t>LLP</w:t>
      </w:r>
      <w:r>
        <w:rPr>
          <w:rFonts w:ascii="Times New Roman" w:hAnsi="Times New Roman"/>
          <w:color w:val="000000"/>
          <w:sz w:val="20"/>
        </w:rPr>
        <w:t xml:space="preserve"> is relying on our determinations of relative values of our shares.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believe that we have sufficient diversity of ownership to allow us to satisfy conditions (5) and (6) above. In addition, our charter provides restrictions regarding the transfer and ownership of shares of our capital stock that are intended to assist us in satisfying the share ownership requirements described in conditions (5) and (6) above. These restrictions, however, may not ensure that we will be able to satisfy these share ownership requirements.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To monitor its compliance with condition (6) above, a REIT is required to send annual demand letters to certain of its stockholders requesting information regarding the actual ownership of its shares. If we comply with the annual demand letters requirement and we do not know or, exercising reasonable diligence, would not have known of our failure to meet condition (6) above, then we will be treated as having met condition (6) above. Failure to comply with such requirements could subject us to monetary penalties. If you fail or refuse to comply with the annual demand letters, you will be required by the Treasury Regulations to submit a statement with your tax return disclosing your actual ownership of our shares and other information.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have complied with condition (7) above by making our REIT election as part of our U.S. federal income tax return for our taxable year ended December 31, 2015. Our ability to elect REIT status could be delayed for up to four taxable years if we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determined to have become a “successor” to another REIT whose REIT election has been terminated. We generally intend to avoid successor status with respect to any other REITs, including the Easterly Fund REITs, so that any infirmities with respect to any such other REIT’s qualification do not impact our ability to elect REIT status. In furtherance of that objective, our charter prohibits ownership of our capital stock by direct or indirect owners of the Easterly Fund REITs to the extent that ownership would cause us to be a successor of an Easterly Fund REIT, and we monitor and enforce that provision to the extent practicable.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For purposes of condition (8) above, we will use a calendar year for U.S. federal income tax purposes.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Prior to our initial public offering, we elected to be treated as a “subchapter S” corporation for U.S. federal income tax purposes. In connection with the closing of our formation transactions, we terminated our subchapter S status and thereby closed that taxable year, so that our first REIT taxable year began substantially concurrently with the consummation of the formation transactions.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Non-REIT Accumulated Earnings and Profits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As a REIT, we may not have any undistributed earnings and profits accumulated in a non-REIT year (sometimes referred to as “non-REIT earnings and profits”) at the end of any taxable year, including our first REIT taxable year ended December 31, 2015. Such non-REIT earnings and profits include any accumulated earnings and profits of corporations whose assets we acquire (or are deemed to have acquired) through tax-free mergers and other tax-free reorganizations and through tax-free liquidations. Although we do not currently expect to have any non-REIT earnings and profits, if it is subsequently determined that we had undistributed non-REIT earnings and profits as of the end of our first taxable year as a REIT or at the end of any subsequent taxable year, we could fail to qualify as a REIT beginning with the applicable taxable year. </w:t>
      </w:r>
    </w:p>
    <w:p>
      <w:pPr>
        <w:pStyle w:val="TextBody"/>
        <w:bidi w:val="0"/>
        <w:spacing w:before="240" w:after="283"/>
        <w:jc w:val="left"/>
        <w:rPr>
          <w:rFonts w:ascii="Times New Roman" w:hAnsi="Times New Roman"/>
          <w:sz w:val="20"/>
        </w:rPr>
      </w:pPr>
      <w:r>
        <w:rPr>
          <w:rFonts w:ascii="Times New Roman" w:hAnsi="Times New Roman"/>
          <w:b/>
          <w:i/>
          <w:color w:val="000000"/>
          <w:sz w:val="20"/>
        </w:rPr>
        <w:t>Taxable REIT Subsidiaries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sz w:val="20"/>
        </w:rPr>
      </w:pPr>
      <w:r>
        <w:rPr>
          <w:rFonts w:ascii="Times New Roman" w:hAnsi="Times New Roman"/>
          <w:color w:val="000000"/>
          <w:sz w:val="20"/>
        </w:rPr>
        <w:t>A TRS of ours is a corporation in which we directly or indirectly own stock and that jointly with us elects to be treated as our TRS under Section 856(</w:t>
      </w:r>
      <w:r>
        <w:rPr>
          <w:rFonts w:ascii="Times New Roman" w:hAnsi="Times New Roman"/>
          <w:i/>
          <w:color w:val="000000"/>
          <w:sz w:val="20"/>
        </w:rPr>
        <w:t>l</w:t>
      </w:r>
      <w:r>
        <w:rPr>
          <w:rFonts w:ascii="Times New Roman" w:hAnsi="Times New Roman"/>
          <w:color w:val="000000"/>
          <w:sz w:val="20"/>
        </w:rPr>
        <w:t xml:space="preserve">) of the Code. In addition, if a TRS of ours owns, directly or indirectly, securities representing more than 35% of the vote or value of a subsidiary corporation, that subsidiary will also be treated as our TRS. A domestic TRS is a corporation subject to U.S. federal income tax, and state and local income tax, where applicable, as a regular C corporation.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Generally, a TRS of ours can perform impermissible tenant services without causing us to receive impermissible tenant services income from those services under the REIT income tests. A TRS may also engage in other activities that, if conducted by us other than through a TRS, could result in the receipt of non-qualified income or the ownership of non-qualified assets. However, several provisions regarding the arrangements between a REIT and its TRSs ensure that a TRS will be subject to an appropriate level of U.S. federal income taxation. For example, we will be obligated to pay a 100% penalty tax on some payments that we receive or on certain expenses deducted by a TRS of ours if the economic arrangements among us, our tenants and/or the TRS are not comparable to similar arrangements among unrelated parties.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own and may continue to own interests in one or more TRSs that may perform certain services for our tenants (including in particular construction management services and certain other non-customary services we have identified), receive management fee income and/or hold interests in joint ventures and private equity real estate funds that might hold assets or generate income that could cause us to fail the REIT income or asset tests or subject us to the 100% tax on prohibited transactions. Our TRSs may incur significant amounts of U.S. federal, state and local income taxes.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Although we do not expect any non-U.S. TRSs (or other non-U.S. subsidiaries) to incur significant U.S. income taxes, any such non-U.S. entities may incur significant non-U.S. taxes.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 REIT’s ownership of securities of a TRS is not subject to the 5% or 10% asset tests described below. However, no more than 20% of the gross value of a REIT’s assets may be represented by securities of one or more TRSs (or 25% for our taxable years beginning before January 1, 2018).</w:t>
      </w:r>
    </w:p>
    <w:p>
      <w:pPr>
        <w:pStyle w:val="TextBody"/>
        <w:bidi w:val="0"/>
        <w:spacing w:before="240" w:after="283"/>
        <w:jc w:val="left"/>
        <w:rPr>
          <w:rFonts w:ascii="Times New Roman" w:hAnsi="Times New Roman"/>
          <w:sz w:val="20"/>
        </w:rPr>
      </w:pPr>
      <w:r>
        <w:rPr>
          <w:rFonts w:ascii="Times New Roman" w:hAnsi="Times New Roman"/>
          <w:b/>
          <w:i/>
          <w:color w:val="000000"/>
          <w:sz w:val="20"/>
        </w:rPr>
        <w:t>Subsidiary REITs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may from time to time own interests in other entities that intend to qualify as REITs for U.S. federal income tax purposes. Each such subsidiary REIT generally will be individually subject to the same REIT qualification requirements described in this prospectus. Additionally, if any such REIT in which we hold an interest fails to qualify for taxation as a REIT in any taxable year, that failure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that is not a REIT or a TRS, as further described below. Investments in subsidiary REITs may pose additional challenges, such as smaller income and asset bases against which to absorb nonqualifying income and assets.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case of a subsidiary REIT acquired by purchase, its REIT qualification during our period of ownership could depend on the seller’s compliance with the REIT requirements for periods prior to acquisition. If we sell a subsidiary REIT during the year, such subsidiary’s qualification as a REIT for the portion of the year prior to the sale generally would depend on the buyer’s compliance with the REIT requirements for the remainder of such subsidiary’s taxable year in which the sale occurs.</w:t>
      </w:r>
    </w:p>
    <w:p>
      <w:pPr>
        <w:pStyle w:val="TextBody"/>
        <w:bidi w:val="0"/>
        <w:spacing w:before="240" w:after="283"/>
        <w:jc w:val="left"/>
        <w:rPr>
          <w:rFonts w:ascii="Times New Roman" w:hAnsi="Times New Roman"/>
          <w:sz w:val="20"/>
        </w:rPr>
      </w:pPr>
      <w:r>
        <w:rPr>
          <w:rFonts w:ascii="Times New Roman" w:hAnsi="Times New Roman"/>
          <w:b/>
          <w:i/>
          <w:color w:val="000000"/>
          <w:sz w:val="20"/>
        </w:rPr>
        <w:t>Ownership of Partnership Interests and Disregarded Subsidiaries by a REIT</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 REIT that is a partner in a partnership (or a member of a limited liability company or other entity that is treated as a partnership for U.S. federal income tax purposes)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our proportionate share of the assets and items of income of our operating partnership, Easterly Government Properties LP, including our operating partnership’s share of the assets, liabilities and items of income of any subsidiary partnership (or other entity treated as a partnership for U.S. federal income tax purposes) in which our operating partnership holds an interest, will be treated as our assets, liabilities and items of income for purposes of applying the REIT income and asset tests. As a result, to the extent that our operating partnership holds interests in partnerships that it does not control, our operating partnership may need to hold such interests through TRSs.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If a REIT owns a corporate subsidiary (including an entity that is treated as an association taxable as a corporation for U.S. federal income tax purposes) that is a “qualified REIT subsidiary,” the separate existence of that subsidiary is disregarded for U.S. federal income tax purposes. Generally, a qualified REIT subsidiary is a corporation, other than a TRS, all of the capital stock of which is owned by the REIT (either directly or through other disregarded subsidiaries). For U.S. federal income tax purposes, all assets, liabilities and items of income, deduction and credit of the qualified REIT subsidiary will be treated as assets, liabilities and items of income, deduction and credit of the REIT itself. Our qualified REIT subsidiaries will not be subject to U.S. federal income taxation, but may be subject to state and local taxation in some states. Certain other wholly owned entities also may be treated as disregarded as separate from their owners for U.S. federal income tax purposes, generally including any domestic unincorporated entity that would be treated as a partnership if it had more than one owner. For U.S. federal income tax purposes, all assets, liabilities and items of income, deduction and credit of any such disregarded entity will be treated as assets, liabilities and items of income, deduction and credit of the owner of the disregarded entity.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Tests Applicable to REITs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To qualify as a REIT, we must satisfy two gross income tests annually. First, at least 75% of our gross income, excluding gross income from prohibited transactions and certain other income and gains, for each taxable year generally must be derived from investments relating to real property or mortgages on real property, including “rents from real property,” gains on the disposition of real estate assets, including gain from the sale of certain personal property ancillary to such real estate assets, as discussed below (but not including interest and gain on certain debt instruments issued by publicly offered REITs that are not secured by mortgages on real property or interests on real property), dividends paid by another REIT, and interest on obligations secured by mortgages on real property or on interests in real property, or from some types of temporary investments. Second, at least 95% of our gross income for each taxable year, excluding gross income from prohibited transactions and certain other income and gains, generally must be derived from any combination of income qualifying under the 75% test and dividends, interest and gain from the sale or disposition of stock or other securities that are not assets held primarily for sale to customers in the ordinary course of our trade or business.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TRS and either (i) at least 90% of the total leased space of the property is leased to unrelated tenants and the rent paid by the TRS is substantially comparable to the rent paid by the unrelated tenants for comparable space, or (ii) the property leased is a “qualified lodging facility,” as defined in Section 856(d)(9)(D) of the Code, or a “qualified health care property,” as defined in Section 856(e)(6)(D)(i) of the Code,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Accordingly, we may not provide “impermissible services” to tenants (except through an independent contractor from whom we derive no revenue and that meets other requirements or through a TRS) without giving rise to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have earned and expect to continue to earn fees from certain construction management services we will provide to our tenants and other third parties. Gross income from such services generally may only constitute qualifying income for purposes of the 75% and 95% gross income tests to the extent that it is attributable to construction services provided to our tenants in connection with the entering into, extension of or renewal of a lease and certain other requirements are satisfied. Construction management services provided to our tenants other than in such circumstances might constitute non-customary services. As a result, to the extent that we provide construction management services to third parties or to tenants other than in connection with the entering into, extension of or renewal of a lease, we have provided and intend to continue to provide such services through a TRS, which will be subject to full corporate tax with respect to such income.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believe that we have not derived, and we do not anticipate deriving, rents based in whole or in part on the income or profits of any person, rents from related party tenants and/or rents attributable to personal property leased in connection with real property that exceeds 15% of the total rents from that property, in any such case or in the aggregate in sufficient amounts to jeopardize our status as REIT. We also believe that we have not derived, and we do not anticipate deriving, impermissible tenant service income that exceeds 1% of our total income from any property if the treatment of the rents from such property as nonqualifying rents would jeopardize our status as a REIT. Our operating partnership and its subsidiaries may receive other amounts of nonqualifying income, such as management fees, but we intend to structure our interests in those sources of nonqualifying income as needed to preserve our REIT status, such as by conducting management activities that might earn excessive amounts of management fees though a TRS.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we attach a schedule of the sources of our income to our U.S. federal income tax return and otherwise comply with the applicable Treasury Regulations. It is not possible, however, to state whether in all circumstances we would be entitled to the benefit of these relief provisions. For example, if we fail to satisfy the 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Even if these relief provisions apply, a tax would be imposed based on the amount of nonqualifying income. </w:t>
      </w:r>
    </w:p>
    <w:p>
      <w:pPr>
        <w:pStyle w:val="TextBody"/>
        <w:bidi w:val="0"/>
        <w:spacing w:before="240" w:after="283"/>
        <w:jc w:val="left"/>
        <w:rPr>
          <w:rFonts w:ascii="Times New Roman" w:hAnsi="Times New Roman"/>
          <w:sz w:val="20"/>
        </w:rPr>
      </w:pPr>
      <w:r>
        <w:rPr>
          <w:rFonts w:ascii="Times New Roman" w:hAnsi="Times New Roman"/>
          <w:b/>
          <w:i/>
          <w:color w:val="000000"/>
          <w:sz w:val="20"/>
        </w:rPr>
        <w:t>Asset Tests Applicable to REITs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At the close of each quarter of our taxable year, we must satisfy five tests relating to the nature of our assets: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least 75% of the value of our total assets must be represented by real estate assets, cash, cash items and U.S. government securities. Real estate assets include interests in real property (such as land, buildings, leasehold interest in real property and, for taxable years beginning on or after January 1, 2016, personal property leased with real property if the rents attributable to the personal property would be rents from real property under the income tests discussed above), interests in mortgages on real property or on interests in real property, shares in other qualifying REITs, and stock or debt instruments held for less than one year purchased with the proceeds from an offering of shares of our stock or certain debt and, for tax years beginning on or after January 1, 2016, debt instruments issued by publicly offered REITs;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more than 25% of the value of our total assets may be represented by securities other than those in the 75% asset class;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for equity investments in REITs, qualified REIT subsidiaries, other securities that qualify as “real estate assets” for purposes of the test described in clause (1) or securities of our TRSs, the value of any one issuer’s securities owned by us may not exceed 5% of the value of our total assets; we may not own more than 10% of any one issuer’s outstanding voting securities; and we generally may not own more than 10% of the value of the outstanding securities of any one issuer;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more than 25% (for taxable years beginning before January 1, 2018) or 20% (for taxable years beginning on or after January 1, 2018) of the value of our total assets may be represented by securities of one or more TRSs; and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more than 25% of the value of our total assets may be represented by debt instruments of publicly offered REITs that are not secured by mortgages on real property or interests in real property.</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Securities for purposes of the asset tests may include debt securities that are not fully secured by a mortgage on real property (or treated as such). However, the 10% value test does not apply to certain “straight debt” and other excluded securities, as described in the Code, including, but not limited to, any loan to an individual or estate,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for purposes of applying the 10% value test if at least 75% of the partnership’s gross income is derived from sources that would qualify for the 75% REIT gross income test; and (c) for purposes of applying the 10% value test,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believe that our assets comply with the above asset tests and that we can operate so that we can continue to comply with those tests. However, our ability to satisfy these asset tests depends upon our analysis of the characterization and fair market values of our assets, some of which are not susceptible to a precise determination and for which we will not obtain independent appraisals. For example, we may hold significant assets through our TRSs or hold significant non-real estate assets (such as certain goodwill), and we cannot provide any assurance that the IRS might not disagree with our determinations.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After initially meeting the asset tests at the close of any quarter, we will not lose our status as a REIT if we fail to satisfy the asset tests at the end of a later quarter solely by reason of changes in the relative values of our assets (including changes in relative value as a result of fluctuations in foreign currency exchange rates). If the failure to satisfy the asset tests results from an acquisition of securities or other property during a quarter, the failure can be cured by disposition of sufficient non-qualifying assets within 30 days after the close of that quarter. We intend to maintain adequate records of the value of our assets to ensure compliance with the asset tests and to take any available actions within 30 days after the close of any quarter as may be required to cure any noncompliance with the asset tests.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30 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If we rely on this provision to preserve our REIT status, we must pay a tax equal to the greater of $50,000 or the product of (x) the net income generated by the nonqualifying assets during the period in which we failed to satisfy the relevant asset test and (y) the highest U.S. federal income tax rate then applicable to U.S. corporations.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Annual Distribution Requirements Applicable to REITs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net income, after tax, from foreclosure property, minus (2) the sum of certain specified items of noncash income. For purposes of the distribution requirements, any built-in gain (net of the applicable tax) we recognize during the applicable recognition period that existed on an asset at the time we acquired it from a C corporation in a carry-over basis transaction will be included in our REIT taxable income. See “—Tax on Built-in Gains of Former C Corporation Assets” for a discussion of the possible recognition of built-in gain. These distributions must be paid either in the taxable year to which they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relate, or in the following taxable year if declared before we timely file our tax return for the prior year and if paid with or before the first regular dividend payment date after the declaration is made. In addition, any dividend that we declare in October, November or December of any calendar year and that is payable to a stockholder of record on a specified date in any such month will be treated as both paid by us and received by the stockholder on December 31 of such year, if such dividend is actually paid during January of the following calendar year.</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For any non-publicly offered REIT in which we invest, in order for distributions to be counted as satisfying the annual distribution requirements for REITs, and to provide such REIT with a REIT-level tax deduction, the distributions must not be “preferential dividends.” A dividend is not a preferential dividend if the distribution is (i) pro rata among all outstanding shares of stock within a particular class, and (ii) in accordance with the preferences among different classes of stock as set forth in the organizational documents of such REIT.</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To the extent that we do not distribute (and are not deemed to have distributed) all of our net capital gain or distribute at least 90%, but less than 100%, of our REIT taxable income, as adjusted, we will be subject to regular U.S. federal corporate income tax on these retained amounts.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will be subject to a nondeductible 4% excise tax on the excess of the required distribution over the sum of amounts actually distributed and amounts retained for which U.S. federal income tax was paid, if we fail to distribute during each calendar year at least the sum of: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85% of our REIT ordinary income for the year;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95% of our REIT capital gain net income for the year; and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undistributed taxable income from prior taxable years.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believe that we have made and intend to continue to make timely distributions sufficient to satisfy the annual distribution requirements.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anticipate that we will generally have sufficient cash or liquid assets to enable us to satisfy the 90% distribution requirement and to distribute such greater amount as may be necessary to avoid U.S. federal income and excise taxes. It is possible, however, that, from time to time, we may not have sufficient cash or other liquid assets to fund required distributions as a result, for example, of differences in timing between our cash flow, the receipt of income for GAAP purposes and the recognition of income for U.S. federal income tax purposes, the effect of non-deductible capital expenditures, limitations on interest expense or net operating loss deductibility, the creation of reserves, payment of required debt service or amortization payments, or the need to make additional investments in qualifying real estate assets. The insufficiency of our cash flow to cover our distribution requirements could require us to (1) sell assets in adverse market conditions, (2) borrow on unfavorable terms, (3) distribute amounts that would otherwise be invested in future acquisitions or capital expenditures or used for the repayment of debt, (4) pay dividends in the form of taxable stock dividends or (5) use cash reserves, in order to comply with the REIT distribution requirements. 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 </w:t>
      </w:r>
    </w:p>
    <w:p>
      <w:pPr>
        <w:pStyle w:val="TextBody"/>
        <w:bidi w:val="0"/>
        <w:spacing w:before="240" w:after="283"/>
        <w:jc w:val="left"/>
        <w:rPr>
          <w:rFonts w:ascii="Times New Roman" w:hAnsi="Times New Roman"/>
          <w:sz w:val="20"/>
        </w:rPr>
      </w:pPr>
      <w:r>
        <w:rPr>
          <w:rFonts w:ascii="Times New Roman" w:hAnsi="Times New Roman"/>
          <w:b/>
          <w:i/>
          <w:color w:val="000000"/>
          <w:sz w:val="20"/>
        </w:rPr>
        <w:t>Tax on Built-in Gains of Former C Corporation Assets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If a REIT acquires an asset from a C corporation in a transaction in which the REIT’s basis in the asset is determined by reference to the basis of the asset in the hands of the C corporation (e.g., a tax-free reorganization under Section 368(a) of the Code or a tax-free liquidation), the REIT may be subject to an entity-level tax upon a taxable disposition during the 5-year period following the acquisition date. The amount of the tax is determined by applying the highest regular corporate tax rate, which is currently 21%, to the lesser of (i) the excess, if any, of the asset’s fair market value over the REIT’s basis in the asset on the acquisition date, or (ii) the gain recognized by the REIT in the disposition. The amount described in clause (i) is referred to as “built-in gain.” We do not believe we have acquired and do not currently expect to acquire assets the disposition of which would be subject to the built-in gains tax but are not foreclosed from doing so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Prohibited Transactions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by us for at least two years and meeting certain additional requirements will not be treated as prohibited transactions, but compliance with the safe harbor may not always be practical. We have conducted and intend to continue to conduct our operations so that no asset that we own (or are treated as owning) will be treated as, or as having been, held as inventory or for sale to customers and that a sale of any such asset will not be treated as having been in the ordinary course of our business. We intend to hold our properties for investment with a view to long-term appreciation, to engage in the business of owning and operating properties and to make sales of properties that are consistent with our investment objectives (or will be covered by the above-referenced safe harbor or made through a TRS) so that none of our asset sales have been or will be subject to the 100% tax. However, no assurance can be given that any particular property in which we hold a direct or indirect interest will not be treated as property held for sale to customers or that the safe-harbor provisions will apply to any particular sale. The 100% tax will not apply to gains from the sale of property held through a TRS or other taxable corporation, although such income will be subject to regular U.S. federal corporate income tax. The potential application of the prohibited transactions tax could cause us to forego potential dispositions of other property or to forego other opportunities that might otherwise be attractive to us (such as developing property for sale), or to undertake such dispositions or other opportunities through a TRS, which would generally result in corporate income taxes being incurred. </w:t>
      </w:r>
    </w:p>
    <w:p>
      <w:pPr>
        <w:pStyle w:val="TextBody"/>
        <w:bidi w:val="0"/>
        <w:spacing w:before="240" w:after="283"/>
        <w:jc w:val="left"/>
        <w:rPr>
          <w:rFonts w:ascii="Times New Roman" w:hAnsi="Times New Roman"/>
          <w:sz w:val="20"/>
        </w:rPr>
      </w:pPr>
      <w:r>
        <w:rPr>
          <w:rFonts w:ascii="Times New Roman" w:hAnsi="Times New Roman"/>
          <w:b/>
          <w:i/>
          <w:color w:val="000000"/>
          <w:sz w:val="20"/>
        </w:rPr>
        <w:t>Foreclosure Property</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(currently 21%)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Hedging Transactions and Foreign Currency Gains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including gain from the disposition or termination of such a transaction, will not constitute gross income for purposes of the 95% gross income test and the 75% gross income test if the hedging transaction is (1) made in the normal course of our business primarily to manage risk of interest rate or price changes or currency fluctuations with respect to borrowings made or to be made, or ordinary obligations incurred or to be incurred by us to acquire or own real estate assets, (2) entered into primarily to manage the risk of currency fluctuations with respect to any item of income or gain that would be qualifying income under the 75% or 95% income tests (or any property that generates such income or gain), or, (3) for taxable years beginning after December 31, 2015, hedges against transactions described in clause (1) or (2) and is entered into in connection with the extinguishment of debt or sale of property that is being hedged against by the transaction described in clause (1) or (2), and which complies with certain identification requirements. To the extent we enter into other types of hedging transactions or do not make proper tax identifications, as applicable, the income from those transactions is likely to be treated as nonqualifying income for purposes of both the 75% and 95% gross income tests. We intend to structure any hedging transactions in a manner that does not jeopardize our ability to qualify as a REIT. No assurances can be given, however, that our hedging activities will not give rise to income that does not qualify for purposes of either or both of the gross income tests and that such income will not adversely affect our ability to satisfy the REIT qualification requirements.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In addition, certain foreign currency gains may be excluded from gross income for purposes of one or both of the REIT gross income tests, provided we do not deal in or engage in substantial and regular trading in securities.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Investments in Loans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 real estate mortgage loan that we own generally will be treated as a real estate asset for purposes of the 75% asset test, and interest and gain from such loan will be treated as interest and gain from an obligation secured by a mortgage on real property,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value of the real property securing the loan on the date that we acquire, originate or modify the loan is equal to or greater than the principal amount (and value) of the loan or (2) for taxable years beginning after December 31, 2015, the loan is secured by both real property and personal property and the fair market value of such personal property does not exceed 15% of the total fair market value of all such property (determined on the date we acquire, originate or modify the loan or, for purposes of characterizing gain from the sale of such loan, at the time of sale).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IRS has provided a safe harbor with respect to the treatment of a mezzanine loan as a mortgage loan and therefore as a qualifying asset for purposes of the REIT asset tests, but not rules of substantive law. Pursuant to the safe harbor, if a mezzanine loan meets certain requirements, it will be treated by the IRS as a qualifying real estate asset for purposes of the REIT asset tests, and interest derived from the mezzanine loan will be treated as qualifying mortgage interest for purposes of the REIT 75% income test. However, structuring a mezzanine loan to meet the requirements of the safe harbor may not always be practical. To the extent that any of our mezzanine loans do not meet all of the requirements for reliance on the safe harbor, such loans might not be properly treated as qualifying mortgage loans for REIT purposes. </w:t>
      </w:r>
    </w:p>
    <w:p>
      <w:pPr>
        <w:pStyle w:val="TextBody"/>
        <w:bidi w:val="0"/>
        <w:spacing w:before="240" w:after="283"/>
        <w:jc w:val="left"/>
        <w:rPr>
          <w:rFonts w:ascii="Times New Roman" w:hAnsi="Times New Roman"/>
          <w:sz w:val="20"/>
        </w:rPr>
      </w:pPr>
      <w:r>
        <w:rPr>
          <w:rFonts w:ascii="Times New Roman" w:hAnsi="Times New Roman"/>
          <w:b/>
          <w:i/>
          <w:color w:val="000000"/>
          <w:sz w:val="20"/>
        </w:rPr>
        <w:t>Tax Aspects of Our Operating Partnership</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In General.</w:t>
      </w:r>
      <w:r>
        <w:rPr>
          <w:rFonts w:ascii="Times New Roman" w:hAnsi="Times New Roman"/>
          <w:color w:val="000000"/>
          <w:sz w:val="20"/>
        </w:rPr>
        <w:t xml:space="preserve"> We will own all or substantially all of our assets through our operating partnership, and our operating partnership in turn will own a substantial portion of its assets through interests in various partnerships and limited liability companies.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Except in the case of subsidiaries that have elected REIT or TRS status, we expect that our operating partnership and its partnership and limited liability company subsidiaries will be treated as partnerships or disregarded entities for U.S. federal income tax purposes. In general (and subject to the discussion below under “—Partnership Audit Rules”), entities that are classified as partnerships for U.S. federal income tax purposes are treated as “pass-through” entities that are not required to pay U.S. federal income taxes. Rather, partners or members of such entities are allocated their share of the items of income, gain, loss, deduction and credit of the entity and are potentially required to pay tax on that income without regard to whether the partners or members receive a distribution of cash from the entity. We will include in our income our allocable share of the foregoing items for purposes of computing our REIT taxable income, based on the applicable operating agreement. For purposes of applying the REIT income and asset tests, we will include our pro rata share of the income generated by and the assets held by our operating partnership, including our operating partnership’s share of the income and assets of any subsidiary partnerships and limited liability companies treated as partnerships for U.S. federal income tax purposes, based on our capital interests in such entities. See “—Ownership of Partnership Interests and Disregarded Subsidiaries by a REIT.”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Our ownership interests in such subsidiaries involve special tax considerations, including the possibility that the IRS might challenge the status of these entities as partnerships or disregarded entities, as opposed to associations taxable as corporations, for U.S. federal income tax purposes. If our operating partnership or one or more of its subsidiary partnerships or limited liability companies that intended to be taxed as a partnership, were instead treated as an association, it would be taxable as a corporation and would be subject to U.S. federal income taxes on its income. In that case, the character of the entity and its income would change for purposes of the asset and income tests applicable to REITs and could prevent us from satisfying these tests. See “—Asset Tests Applicable to REITs” and “—Income Tests Applicable to REITs.” This, in turn, could prevent us from qualifying as a REIT. See “—Failure to Qualify as a REIT” for a discussion of the effect of our failure to meet these tests for a taxable year.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believe that our operating partnership and other subsidiary partnerships and limited liability companies that do not elect REIT or TRS status have been and/or will be classified as partnerships or disregarded entities for U.S. federal income tax purposes, and the remainder of the discussion under this section “—Tax Aspects of Our Operating Partnership” is based on such classification.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Although a domestic unincorporated entity is generally treated as a partnership (if it has more than one owner) or a disregarded entity (if it has a single owner) for U.S. federal income tax purposes, in certain situations such an entity may be treated as a corporation for U.S. federal income tax purposes, including if the entity is a “publicly traded partnership” that does not qualify for an exemption based on the character of its income. A partnership is a “publicly traded partnership” under Section 7704 of the Code if: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interests in the partnership are traded on an established securities market; or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interests in the partnership are readily tradable on a “secondary market” or the “substantial equivalent” of a secondary market.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 partnership will not be treated as a publicly traded partnership if it qualifies for certain safe harbors, one of which applies to certain partnerships with 100 or fewer partners. Our operating partnership qualified for this safe harbor immediately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the consummation of the formation transactions and continues to qualify for this safe harbor, but we may exceed the 100 partners limit in future periods.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right of a holder of operating partnership common units to redeem the units for cash (or common stock at our option) could cause operating partnership common units to be considered readily tradable on the substantial equivalent of a secondary market, and we may not be eligible for a safe harbor at all times. If our operating partnership is a publicly traded partnership, it will be taxed as a corporation unless at least 90% of its gross income for each taxable year beginning with the first year it is treated as a publicly traded partnership has consisted and will consist of “qualifying income” under Section 7704 of the Code. Qualifying income generally includes real property rents and certain other types of passive income. We believe that our operating partnership has had and will continue to have sufficient qualifying income so that it would be taxed as a partnership, even if it were classified as a publicly traded partnership. The income requirements applicable to REITs under the Code and the definition of qualifying income under the publicly traded partnership rules are very similar. Although differences exist between these two income tests that may cause certain amounts that qualify as rents from real property under the REIT rules to fail to qualify as such under the publicly traded partnership qualifying income rules, we do not believe that these differences will cause our operating partnership to fail the 90% qualifying income test applicable to publicly traded partnerships. We could also seek to qualify for a “lack of actual trading” safe harbor that, among other requirements, requires us to limit the annual volume of certain transfers and redemptions. However, the application of that safe harbor is unclear in some respects, and thus it is possible we may not be successful in complying with such safe harbor in the event we seek to do so. </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Allocations of Income, Gain, Loss and Deduction.</w:t>
      </w:r>
      <w:r>
        <w:rPr>
          <w:rFonts w:ascii="Times New Roman" w:hAnsi="Times New Roman"/>
          <w:color w:val="000000"/>
          <w:sz w:val="20"/>
        </w:rPr>
        <w:t xml:space="preserve"> A partnership or limited liability company agreement will generally determine the allocation of income and losses among partners or members for U.S. federal income tax purposes. These allocations, however, will be disregarded for tax purposes if they do not comply with the provisions of Section 704(b) of the Code and the related Treasury Regulations. Generally, Section 704(b) of the Code and the related Treasury Regulations require that partnership and limited liability company allocations respect the economic arrangement of their partners or members. If an allocation is not recognized by the IRS for U.S. federal income tax purposes, the item subject to the allocation will be reallocated according to the partners’ or members’ interests in the partnership or limited liability company, as the case may be. This reallocation will be determined by taking into account all of the facts and circumstances relating to the economic arrangement of the partners or members with respect to such item. The allocations of taxable income and loss in our operating partnership and its partnership subsidiaries are intended to comply with the requirements of Section 704(b) of the Code and the Treasury Regulations promulgated thereunder. </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Tax Allocations with Respect to Contributed Properties.</w:t>
      </w:r>
      <w:r>
        <w:rPr>
          <w:rFonts w:ascii="Times New Roman" w:hAnsi="Times New Roman"/>
          <w:color w:val="000000"/>
          <w:sz w:val="20"/>
        </w:rPr>
        <w:t xml:space="preserve"> In general, when property is contributed to a partnership in exchange for a partnership interest, the partnership inherits the carry-over tax basis of the contributing partner in the contributed property. Any difference between the fair market value and the adjusted tax basis of contributed property at the time of contribution is referred to as a “book-tax difference.” Under Section 704(c) of the Code, income, gain, loss and deduction attributable to property with a book-tax difference that is contributed to a partnership in exchange for an interest in the partnership must be allocated in a manner so that the contributing partner is charged with the unrealized gain or benefits from the unrealized loss associated with the property at the time of the contribution, as adjusted from time to time, so that, to the extent possible under the applicable method elected under Section 704(c) of the Code, the non-contributing partners receive allocations of depreciation and gain or loss for tax purposes comparable to the allocations they would have received in the absence of book-tax differences. These allocations are solely for U.S. federal income tax purposes and do not affect the book capital accounts or other economic or legal arrangements among the partners or members. Similar tax allocations are required with respect to the book-tax differences in the assets owned by a partnership when additional assets are contributed in exchange for a new partnership interest.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A significant portion of our operating partnership’s assets have book tax differences, including assets contributed by our operating partnership’s limited partners (or their predecessors). Consequently, the agreement of limited partnership of our operating partnership requires allocations to be made in a manner consistent with Section 704(c) of the Code. As a result of such tax allocations and the carry-over basis of any assets we contribute to our operating partnership in the future, we may be allocated lower amounts of depreciation and other deductions for tax purposes, and possibly greater amounts of taxable income in the event of a disposition, as compared to our share of such items for economic or book purposes. Thus, these rules may cause us to recognize taxable income in excess of cash proceeds, which might adversely affect our ability to comply with the REIT distribution requirements. See “—Annual Distribution Requirements Applicable to REITs.”</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Withholding Obligations with Respect to Non-U.S. Partners.</w:t>
      </w:r>
      <w:r>
        <w:rPr>
          <w:rFonts w:ascii="Times New Roman" w:hAnsi="Times New Roman"/>
          <w:color w:val="000000"/>
          <w:sz w:val="20"/>
        </w:rPr>
        <w:t xml:space="preserve"> With respect to any non-U.S. limited partner, our operating partnership generally will be required to withhold with respect to the non-U.S. limited partner’s share of our operating partnership income (with the rate varying based on the character of the items comprising the income and the status of the limited partner for U.S. federal income tax purposes), regardless of the amounts distributed to such non-U.S. limited partner. We will be liable for any under withholdings (including interest and penalties). Our operating partnership will have to make the withholding payments in any event even if the withholding obligation exceeds a limited partner’s share of distributions. Unless it can recover the excess withholdings from the limited partner, our operating partnership will have to find other sources of cash to fund excess withholdings. In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cases, we also could be required to withhold with respect to operating partnership units transferred by a non-U.S. limited partner if the transferee fails to make required withholdings.</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 xml:space="preserve">Partnership Audit Rules. </w:t>
      </w:r>
      <w:r>
        <w:rPr>
          <w:rFonts w:ascii="Times New Roman" w:hAnsi="Times New Roman"/>
          <w:color w:val="000000"/>
          <w:sz w:val="20"/>
        </w:rPr>
        <w:t>Under the rules applicable to U.S. federal income tax audits of partnerships (such as our operating partnership) and the collection of any tax resulting from any such audits or other tax proceedings, the partnership itself may be liable for a hypothetical increase in partner-level taxes (including interest and penalties) resulting from an adjustment of “partnership-related items” on audit, regardless of changes in the composition of the partners (or their relative ownership) between the year under audit and the year of the adjustment. The rules also include an elective alternative method under which the additional taxes resulting from the adjustment are assessed against the affected direct or indirect partners (often referred to as a “push-out election”), subject to a higher rate of interest than otherwise would apply. In addition, Treasury Regulations provide that when a push-out election affects a partner that is a REIT, such REIT may be able to use deficiency dividend procedures with respect to adjustments resulting from such election. However, these partnership audit rules could increase the U.S. federal income tax, interest, and/or penalties otherwise borne by us in the event of a U.S. federal income tax audit of our operating partnership or one of its subsidiary partnerships.</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Qualify as a REIT</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In the event we violate a provision of the Code that would result in our failure to qualify as a REIT, specified relief provisions generally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It is not possible to state whether, in all circumstances, we will be entitled to this statutory relief. If we fail to qualify as a REIT in any taxable year, and the relief provisions of the Code do not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maximum rate of 20%, and dividends received by our corporate U.S. stockholders may be eligible for a dividends received deduction. Unless we are entitled to relief under specific statutory provisions, we will also be disqualified from re-electing REIT status for the four taxable years following a year during which qualification was lost. </w:t>
      </w:r>
    </w:p>
    <w:p>
      <w:pPr>
        <w:pStyle w:val="TextBody"/>
        <w:bidi w:val="0"/>
        <w:spacing w:before="240" w:after="283"/>
        <w:jc w:val="left"/>
        <w:rPr>
          <w:rFonts w:ascii="Times New Roman" w:hAnsi="Times New Roman"/>
          <w:sz w:val="20"/>
        </w:rPr>
      </w:pPr>
      <w:r>
        <w:rPr>
          <w:rFonts w:ascii="Times New Roman" w:hAnsi="Times New Roman"/>
          <w:b/>
          <w:color w:val="000000"/>
          <w:sz w:val="20"/>
        </w:rPr>
        <w:t>Taxation of Stockholders and Potential Tax Consequences of Their Investment in Shares of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Taxation of Taxable U.S. Stockholders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term “U.S. stockholder” means a holder of shares of our common stock who, for U.S. federal income tax purposes, is: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individual who is a citizen or resident of the United States, as defined in Code Section 7701(b);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corporation (including an entity treated as a corporation for U.S. federal income tax purposes) created or organized under the laws of the United States any state thereof or the District of Columbia;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estate, the income of which is subject to U.S. federal income taxation regardless of its source; or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under the Code.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If a partnership holds our stock, the U.S. federal income tax treatment of a partner in the partnership will generally depend on the status of the partner and the activities of the partnership. If you are a partner in a partnership holding our common stock, you should consult your tax advisor regarding the consequences of the ownership and disposition of shares of our stock by the partnership. </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xml:space="preserve"> As long as we qualify as a REIT, a taxable U.S. stockholder must generally take into account as ordinary income distributions made out of our 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20% tax rate for “qualified dividend income.” Qualified dividend income generally includes dividends paid to most U.S. non-corporate taxpayers by domestic C corporations and certain qualified foreign corporations. Because we are not generally subject to U.S. federal income tax on the portion of our REIT taxable income distributed to our stockholders, our ordinary dividends generally will not be eligible for the 20% tax 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qualified dividend income. As a result, our ordinary dividends will continue to be taxed at the higher tax rate applicable to ordinary income. However, for taxable years beginning before January 1, 2026, U.S. stockholders that are individuals, trusts or estates generally may deduct up to 20% of “qualified REIT dividends” received from us (generally, dividends that we do not designate as capital gain dividends and that are not qualified dividend income). If we fail to qualify as a REIT, such stockholders may not claim this deduction with respect to ordinary dividends paid by us.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20% tax rate for qualified dividend income will apply to our ordinary dividends (1) attributable to dividends received by us from taxable corporations, such as our TRSs, and (2) to the extent attributable to income upon which we have paid corporate income tax (e.g., to the extent that we distribute less than 100% of our taxable income). In general, to qualify for the reduced tax rate on qualified dividend income, a U.S. stockholder must hold our stock for more than 60 days during the 121-day period beginning on the date that is 60 days before the date on which our stock becomes ex-dividend.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Dividends paid to a corporate U.S. stockholder will not qualify for the dividends received deduction generally available to corporations. If we declare a dividend in October, November, or December of any calendar year that is payable to a U.S. stockholder of record on a specified date in any such month, such dividend will be treated as both paid by us and received by the U.S. stockholder on December 31 of such calendar year, provided that we actually pay the dividend during January of the following calendar year.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Dividends from us that are designated as capital gain dividends will be taxed to U.S. stockholders as long-term capital gains, to the extent that they do not exceed our actual net capital gains for the taxable year, without regard to the period for which the U.S. stockholder has held our common stock. Corporate U.S. stockholders may be required to treat up to 20% of some capital gain dividends as ordinary income. Long-term capital gains are generally taxable currently at a maximum U.S. federal rate of 20%, in the case of U.S. stockholders who are individuals, and 21% for corporations. Capital gains dividends attributable to the sale of depreciable real property held for more than 12 months are subject to a 25% U.S. federal income tax rate for U.S. stockholders who are individuals, trusts or estates, to the extent of certain previously claimed depreciation deductions. Capital gain dividends are not eligible for the dividends received deduction for corporations.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 U.S. stockholder will not incur tax on a distribution in excess of our current and accumulated earnings and profits if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if the shares of stock have been held for more than one year, or short-term capital gain, if the shares of stock have been held for one year or less.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Stockholders may not include in their own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activity income and, therefore, stockholders subject to the “passive loss rules” generally will not be able to apply any “passive activity losses,” such as losses from certain types of limited partnerships in which the stockholder is a limited partner, against such income. In addition, taxable distributions from us generally will be treated as investment income for purposes of the investment interest limitations. A U.S. stockholder that elects to treat capital gain dividends, capital gains from the disposition of stock or qualified dividend income as investment income for purposes of the investment interest limitation will be taxed at ordinary income rates on such amounts.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discussion in this section applies equally to distributions payable in cash and taxable stock distributions. The Code provides that certain distributions payable in stock will be treated as taxable stock dividends. We may make distributions to U.S. stockholders that are paid in common stock or preferred stock and are intended to be treated as dividends for U.S. federal income tax purposes. In that event, our U.S. stockholders would generally be required to include as dividend income the fair market value of the common stock or preferred stock received plus any cash or other property received in the distribution, to the extent of our current and accumulated earnings and profits for U.S. federal income tax purposes, and such U.S. stockholders may have tax liability on account of such distributions in excess of cash (if any) that is received in the distribution.</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Dispositions of Stock.</w:t>
      </w:r>
      <w:r>
        <w:rPr>
          <w:rFonts w:ascii="Times New Roman" w:hAnsi="Times New Roman"/>
          <w:color w:val="000000"/>
          <w:sz w:val="20"/>
        </w:rPr>
        <w:t xml:space="preserve"> In general, a U.S. stockholder who is not a dealer in securities must treat any gain or loss realized upon a taxable disposition of our stock as long-term capital gain or loss if the U.S. stockholder has held our stock for more than 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may be disallowed if the U.S. stockholder repurchases our common stock within 30 days before or after the disposition. </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Capital Gains and Losses.</w:t>
      </w:r>
      <w:r>
        <w:rPr>
          <w:rFonts w:ascii="Times New Roman" w:hAnsi="Times New Roman"/>
          <w:color w:val="000000"/>
          <w:sz w:val="20"/>
        </w:rPr>
        <w:t xml:space="preserve"> The tax rate differential between capital gain and ordinary income for non-corporate U.S. stockholders may be significant. As noted above, U.S. stockholders 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U.S. stockholders is 20% for sales and exchanges of capital assets held for more than one year. The maximum tax rate on long-term capital gain from the sale or exchange of “section 1250 property,” or depreciable real property, is 25% to the extent that such gains are “unrecaptured section 1250 gains.” With respect to distributions that we designate as capital gain dividends and any retained capital gain that we are deemed to distribute, we generally may designate whether such a distribution is taxable to our non-corporate U.S. stockholders as long-term capital gains or unrecaptured section 1250 gains. The IRS has the authority to prescribe, but has not yet prescribed, regulations that would apply a capital gain tax rate of 25% (which is generally higher than the long-term capital gain tax rates for non-corporate taxpayers) to a portion of capital gain realized by a non-corporate U.S. stockholder on the sale of REIT stock that would correspond to the REIT’s “unrecaptured Section 1250 gain.” In addition, the characterization of income as capital gain or ordinary income may affect the deductibility of capital losses. A non-corporate U.S. stockholder may deduct capital losses not offset by capital gains against its ordinary income only up to a maximum annual amount of $3,000. A non-corporate U.S. stockholder may carry forward unused capital losses indefinitely. A corporate U.S. stockholder must pay tax on its net capital gain at ordinary corporate rates (currently 21%). A corporate U.S. stockholder can deduct capital losses only to the extent of capital gains, with unused losses being carried back three years and forward five years. Corporate U.S. stockholders may be required to treat up to 20% of some capital gain dividends as ordinary income.</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If a U.S. stockholder recognizes a loss upon a subsequent disposition of our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Medicare Tax.</w:t>
      </w:r>
      <w:r>
        <w:rPr>
          <w:rFonts w:ascii="Times New Roman" w:hAnsi="Times New Roman"/>
          <w:color w:val="000000"/>
          <w:sz w:val="20"/>
        </w:rPr>
        <w:t xml:space="preserve"> A U.S. stockholder that is an individual is subject to a 3.8% tax on the lesser of (1) the U.S. stockholder’s “net investment income” for the relevant taxable year and (2) the excess of the U.S. stockholder’s modified gross income for the taxable year over a certain threshold (which currently is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includes dividends on our stock and gain from the sale of our stock. If you are a U.S. stockholder that is an individual, estate or trust, you are urged to consult your tax advisors regarding the applicability of this tax to your income and gains in respect of your investment in our common stock. </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Information Reporting and Backup Withholding.</w:t>
      </w:r>
      <w:r>
        <w:rPr>
          <w:rFonts w:ascii="Times New Roman" w:hAnsi="Times New Roman"/>
          <w:color w:val="000000"/>
          <w:sz w:val="20"/>
        </w:rPr>
        <w:t xml:space="preserve"> We will report to our U.S. stockholders and to the IRS the amount of distributions we pay during each calendar year, the proceeds of any sale or other disposition of our stock and the amount of tax we withhold, if any. Under the backup withholding rules, a U.S. stockholder may be subject to backup withholding at a current rate of up to 24% with respect to such distributions unless the U.S. stockholder: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 a corporation or comes within certain other exempt categories and, when required, demonstrates this fact; or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provides a taxpayer identification number, certifies as to no loss of exemption from backup withholding and otherwise complies with the applicable requirements of the backup withholding rules.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A U.S. stockholder who does not provide us with its correct taxpayer identification number also may be subject to penalties imposed by the IRS. Backup withholding is not an additional tax. Any amount paid as backup withholding will be creditable against the U.S. stockholder’s income tax liability. In addition, we may be required to withhold a portion of any dividends or capital gain distributions to any U.S. stockholders who fail to certify their non-foreign status to us. For a discussion of the backup withholding rules as applied to non-U.S. stockholders, see “—Taxation of Non-U.S.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i/>
          <w:color w:val="000000"/>
          <w:sz w:val="20"/>
        </w:rPr>
        <w:t>Taxation of U.S. Tax-Exempt Stockholders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U.S. tax-exempt entities, including qualified employee pension and profit sharing trusts and individual retirement accounts, generally are exempt from U.S. federal income taxation. However, they are subject to taxation on their unrelated business taxable income. U.S. tax-exempt entities generally must separately compute their taxable income and loss for each unrelated trade or business activity for purposes of determining their unrelated business taxable income. Unrelated business taxable income generally includes (1) any income or gain not sufficiently related to a tax-exempt organization’s exempt purpose, other than certain passive investment income, such as dividends, interest, rents from real property and capital gains, and (2) debt-financed income derived from property not sufficiently related to such exempt purpose that is subject to “acquisition indebtedness.” Subject to the exceptions described below, a U.S. tax-exempt stockholder generally would not recognize unrelated business taxable income as a result of an investment in our common stock. However, if a U.S. tax-exempt stockholder were to finance its acquisition of common stock with debt, a portion of the income that it receives from us and a portion of the gain on sale of our common stock could constitute unrelated business taxable income pursuant to the “debt-financed property” rules. Furthermore, social clubs, voluntary employee benefit associations, or supplemental unemployment benefit trusts that are exempt from taxation under special provisions of the U.S. federal income tax laws are subject to different unrelated business taxable income rules, which generally will require them to characterize distributions that they receive from us as unrelated business taxable income. Finally, in certain circumstances, a qualified employee pension or profit-sharing trust that owns more than 10% of our stock by value at any time during a taxable year must treat a percentage of the dividends that it receives from us for the taxable year as unrelated business taxable income.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by value only if: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percentage of our dividends that the tax-exempt trust must treat as unrelated business taxable income is at least 5%;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either (a) one pension trust owns more than 25% of the value of our stock; or (b) a group of pension trusts individually holding more than 10% of the value of our stock collectively owns more than 50% of the value of our stock.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Taxation of Non-U.S. Stockholders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rules governing U.S. federal income taxation of nonresident alien individuals and foreign corporations (“non-U.S. stockholders”) are complex, and as such, only a summary of such rules is provided in this prospectus. A “non-U.S. stockholder” means a nonresident alien individual or foreign corporation for U.S. federal income tax purposes that is not otherwise subject to special treatment under the Code. This disclosure does not address stockholders that are non-U.S. trusts or estates, and additional considerations may apply to stockholders that are non-U.S. trusts or estates and to the beneficiaries of any such non-U.S. trusts or estates. We urge non-U.S. stockholders to consult their tax advisors to determine the impact that U.S. federal, state and local income tax or similar laws will have on such investors as a result of an investment in our stock., including any reporting requirements. The discussion below assumes we have qualified as a REIT and will continue to qualify as a REIT. </w:t>
      </w:r>
    </w:p>
    <w:p>
      <w:pPr>
        <w:pStyle w:val="TextBody"/>
        <w:bidi w:val="0"/>
        <w:spacing w:before="240" w:after="283"/>
        <w:ind w:left="0" w:right="0" w:firstLine="941"/>
        <w:jc w:val="both"/>
        <w:rPr>
          <w:rFonts w:ascii="Times New Roman" w:hAnsi="Times New Roman"/>
          <w:sz w:val="20"/>
        </w:rPr>
      </w:pPr>
      <w:r>
        <w:rPr>
          <w:rFonts w:ascii="Times New Roman" w:hAnsi="Times New Roman"/>
          <w:i/>
          <w:color w:val="000000"/>
          <w:sz w:val="20"/>
        </w:rPr>
        <w:t>Distributions — In General</w:t>
      </w:r>
      <w:r>
        <w:rPr>
          <w:rFonts w:ascii="Times New Roman" w:hAnsi="Times New Roman"/>
          <w:color w:val="000000"/>
          <w:sz w:val="20"/>
        </w:rPr>
        <w:t>. Distributions paid by us that are not attributable to gain from our sales or exchanges of United States real property interests, or USRPIs (discussed further below), and not designated by us as capital gain dividends will be treated as dividends of ordinary income to the extent that they are made out of our current or accumulated earnings and profits. Such dividends to non</w:t>
        <w:noBreakHyphen/>
        <w:t>U.S. stockholders ordinarily will be subject to a withholding tax equal to 30% of the gross amount of the dividend unless an applicable tax treaty reduces or eliminates that tax. Under some treaties, however, lower rates generally applicable to dividends do not apply to dividends from REITs. If income from the investment in our stock is treated as effectively connected with the non</w:t>
        <w:noBreakHyphen/>
        <w:t>U.S. stockholder’s conduct of a U.S. trade or business, the non</w:t>
        <w:noBreakHyphen/>
        <w:t>U.S. stockholder generally will be subject to U.S. federal income tax at the graduated rates applicable to ordinary income, in the same manner as U.S. stockholders are taxed with respect to such dividends, unless an applicable income tax treaty provides otherwise (and also may be subject to a 30% branch profits tax on its effectively connected earnings and profits in the case of a stockholder that is a foreign corporation that is not entitled to the benefits of a treaty that exempts it from such tax or reduces the rate of such tax). In general, non</w:t>
        <w:noBreakHyphen/>
        <w:t xml:space="preserve">U.S. stockholders will not be considered to be engaged in a U.S. trade or business solely as a result of their ownership of our stock. Distributions in excess of our current and accumulated earnings and profits and not attributable to gain from our sales or exchanges of USRPIs will not be taxable to a stockholder to the extent they do not exceed the adjusted basis of the stockholder’s shares (determined separately for each share). Instead, they will reduce the adjusted basis of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shares. To the extent that such dividends exceed both our current and accumulated earnings and profits and the adjusted basis of a non</w:t>
        <w:noBreakHyphen/>
        <w:t>U.S. stockholder’s shares, they will be treated as gain from the sale or disposition of the non-U.S. stockholder's shares and may be subject to tax as described in the “—Sales of Shares” portion of this section below. However, as discussed below, we may nevertheless withhold on such distributions.</w:t>
      </w:r>
    </w:p>
    <w:p>
      <w:pPr>
        <w:pStyle w:val="TextBody"/>
        <w:bidi w:val="0"/>
        <w:spacing w:before="240" w:after="283"/>
        <w:ind w:left="0" w:right="0" w:firstLine="941"/>
        <w:jc w:val="both"/>
        <w:rPr>
          <w:rFonts w:ascii="Times New Roman" w:hAnsi="Times New Roman"/>
          <w:sz w:val="20"/>
        </w:rPr>
      </w:pPr>
      <w:r>
        <w:rPr>
          <w:rFonts w:ascii="Times New Roman" w:hAnsi="Times New Roman"/>
          <w:color w:val="000000"/>
          <w:sz w:val="20"/>
        </w:rPr>
        <w:t>Distributions to a non-U.S. stockholder that do not arise from the disposition of a USRPI and that we properly designate as capital gain dividends generally should not be subject to U.S. federal income taxation except as described below under “—Sales of Shares</w:t>
      </w:r>
      <w:r>
        <w:rPr>
          <w:rFonts w:ascii="Times New Roman" w:hAnsi="Times New Roman"/>
          <w:i/>
          <w:color w:val="000000"/>
          <w:sz w:val="20"/>
        </w:rPr>
        <w:t xml:space="preserve">,” </w:t>
      </w:r>
      <w:r>
        <w:rPr>
          <w:rFonts w:ascii="Times New Roman" w:hAnsi="Times New Roman"/>
          <w:color w:val="000000"/>
          <w:sz w:val="20"/>
        </w:rPr>
        <w:t xml:space="preserve">although we may nonetheless withhold with respect to such distributions as discussed below. </w:t>
      </w:r>
    </w:p>
    <w:p>
      <w:pPr>
        <w:pStyle w:val="TextBody"/>
        <w:bidi w:val="0"/>
        <w:spacing w:before="240" w:after="283"/>
        <w:ind w:left="0" w:right="0" w:firstLine="941"/>
        <w:jc w:val="both"/>
        <w:rPr>
          <w:rFonts w:ascii="Times New Roman" w:hAnsi="Times New Roman"/>
          <w:sz w:val="20"/>
        </w:rPr>
      </w:pPr>
      <w:r>
        <w:rPr>
          <w:rFonts w:ascii="Times New Roman" w:hAnsi="Times New Roman"/>
          <w:i/>
          <w:color w:val="000000"/>
          <w:sz w:val="20"/>
        </w:rPr>
        <w:t>Distributions Attributable to Sale or Exchange of Real Property</w:t>
      </w:r>
      <w:r>
        <w:rPr>
          <w:rFonts w:ascii="Times New Roman" w:hAnsi="Times New Roman"/>
          <w:color w:val="000000"/>
          <w:sz w:val="20"/>
        </w:rPr>
        <w:t xml:space="preserve">. Except as discussed below with respect to 10% or less holders of regularly traded classes of stock, “qualified shareholders,” “qualified foreign pension funds” and “qualified holders,” for any year in which we qualify as a REIT, a non-U.S. stockholder will incur tax on distributions by us that are attributable to gain from our sale or exchange of USRPIs under special provisions of the U.S. federal income tax laws known as the Foreign Investment in Real Property Act, or FIRPTA. The term USRPIs includes interests in real property and shares in corporations at least 50% of whose real estate and business assets consist of interests in U.S. real property. Under those rules, a non-U.S. stockholder is taxed on distributions by us attributable to gain from sales or exchanges of USRPIs as if the gain were effectively connected with a U.S. trade or business of the non-U.S. stockholder. A non-U.S. stockholder thus would be taxed on such a distribution at regular tax rates applicable to U.S. stockholders. A corporate non-U.S. stockholder not entitled to treaty relief or exemption also may be subject to the 30% branch profits tax on such a distribution. We must withhold 21% of any distribution that is a distribution attributable to USRPI gain. A non-U.S. stockholder may receive a credit against its tax liability for the amount we withhold. However, FIRPTA and this 21% withholding tax will not apply to any distribution with respect to any class of our stock that is regularly traded on an established securities market located in the United States if the recipient non-U.S. stockholder did not own more than 10% of such class of stock at any time during the one-year period ending on the date of distribution. In the case of a capital gain dividend attributable to USRPI gain, a recipient exempt from tax under FIRPTA by reason of not owning more than 10% of such class of stock must treat the capital gain dividend as an ordinary dividend subject to the rules discussed above, which generally impose a 30% withholding tax (unless reduced by treaty). </w:t>
      </w:r>
    </w:p>
    <w:p>
      <w:pPr>
        <w:pStyle w:val="TextBody"/>
        <w:bidi w:val="0"/>
        <w:spacing w:before="240" w:after="283"/>
        <w:ind w:left="0" w:right="0" w:firstLine="941"/>
        <w:jc w:val="both"/>
        <w:rPr>
          <w:rFonts w:ascii="Times New Roman" w:hAnsi="Times New Roman"/>
          <w:sz w:val="20"/>
        </w:rPr>
      </w:pPr>
      <w:r>
        <w:rPr>
          <w:rFonts w:ascii="Times New Roman" w:hAnsi="Times New Roman"/>
          <w:i/>
          <w:color w:val="000000"/>
          <w:sz w:val="20"/>
        </w:rPr>
        <w:t>U.S. Federal Income Tax Withholding on Distributions not Subject to FIRPTA</w:t>
      </w:r>
      <w:r>
        <w:rPr>
          <w:rFonts w:ascii="Times New Roman" w:hAnsi="Times New Roman"/>
          <w:color w:val="000000"/>
          <w:sz w:val="20"/>
        </w:rPr>
        <w:t>. For U.S. federal income tax withholding purposes, we generally will withhold tax at the rate of 30% on the amount of any distribution (other than distributions of USRPI gain subject to FIRPTA as discussed above) made to a non</w:t>
        <w:noBreakHyphen/>
        <w:t>U.S. stockholder, unless the non</w:t>
        <w:noBreakHyphen/>
        <w:t>U.S. stockholder provides us with appropriate documentation (i) evidencing that such non</w:t>
        <w:noBreakHyphen/>
        <w:t>U.S. stockholder is eligible for an exemption or reduced rate under an applicable income tax treaty, generally an IRS Form W</w:t>
        <w:noBreakHyphen/>
        <w:t>8BEN or W-8BEN-E (in which case we will withhold at the lower treaty rate) or (ii) claiming that the dividend is effectively connected with the non</w:t>
        <w:noBreakHyphen/>
        <w:t>U.S. stockholder’s conduct of a trade or business within the U.S., generally an IRS Form W</w:t>
        <w:noBreakHyphen/>
        <w:t>8ECI (in which case we will not withhold tax). Distributions to a non-U.S. stockholder that we properly designate as capital gain dividends, other than those attributable to gain from sales or exchanges by us from the disposition of a USRPI, generally should not be subject to U.S. federal income taxation unless (1) the investment in our stock is effectively connected with the non-U.S. stockholder’s U.S. trade or business, in which case the non-U.S. stockholder will be subject to the same treatment as U.S. stockholders with respect to any gain, except that a non-U.S. stockholder that is a foreign corporation also may be subject to the 30% branch profits tax (which branch profits tax may be reduced or eliminated by an applicable income tax treaty), or (2) the non-U.S. stockholder is a nonresident alien individual who is present in the United States for 183 days or more during the taxable year and has a “tax home” in the United States, in which case the nonresident alien individual will be subject to a 30% tax on his or her net U.S. source capital gains.</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Treasury Regulations coordinating FIRPTA withholding rules and withholding rules generally applicable to dividends do not appear to require withholding with respect to our capital gain dividends that are not attributable to gain from the sale or exchange by us of a USRPI. As noted below, however, we may withhold with respect to amounts designated as capital gain dividends even if the dividends are not subject to U.S. federal income tax.</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Any such withheld amounts under the FIRPTA rules (but not the 30% withholding on ordinary dividends not attributable to sales of USRPIs or capital gain dividends) do not represent actual tax liabilities, but rather, represent payments in respect of those tax liabilities described in the preceding three paragraphs. Therefore, such withheld amounts are creditable by the non</w:t>
        <w:noBreakHyphen/>
        <w:t>U.S. stockholder against its actual U.S. federal income tax liabilities, including those described in the preceding two paragraphs. The non</w:t>
        <w:noBreakHyphen/>
        <w:t>U.S. stockholder would be entitled to a refund of any amounts withheld in excess of such non</w:t>
        <w:noBreakHyphen/>
        <w:t>U.S. stockholder’s actual U.S. federal income tax liabilities, provided the required information is timely furnished to the IRS.</w:t>
      </w:r>
    </w:p>
    <w:p>
      <w:pPr>
        <w:pStyle w:val="TextBody"/>
        <w:bidi w:val="0"/>
        <w:spacing w:before="240" w:after="283"/>
        <w:ind w:left="0" w:right="0" w:firstLine="941"/>
        <w:jc w:val="both"/>
        <w:rPr>
          <w:rFonts w:ascii="Times New Roman" w:hAnsi="Times New Roman"/>
          <w:color w:val="000000"/>
          <w:sz w:val="20"/>
        </w:rPr>
      </w:pPr>
      <w:r>
        <w:rPr>
          <w:rFonts w:ascii="Times New Roman" w:hAnsi="Times New Roman"/>
          <w:color w:val="000000"/>
          <w:sz w:val="20"/>
        </w:rPr>
        <w:t xml:space="preserve">Additional withholding regulations may require us to withhold 15% of any distribution that exceeds our current and accumulated earnings and profits. </w:t>
      </w:r>
    </w:p>
    <w:p>
      <w:pPr>
        <w:pStyle w:val="TextBody"/>
        <w:bidi w:val="0"/>
        <w:spacing w:before="240" w:after="283"/>
        <w:ind w:left="0" w:right="0" w:firstLine="941"/>
        <w:jc w:val="both"/>
        <w:rPr>
          <w:rFonts w:ascii="Times New Roman" w:hAnsi="Times New Roman"/>
          <w:color w:val="000000"/>
          <w:sz w:val="20"/>
        </w:rPr>
      </w:pPr>
      <w:r>
        <w:rPr>
          <w:rFonts w:ascii="Times New Roman" w:hAnsi="Times New Roman"/>
          <w:color w:val="000000"/>
          <w:sz w:val="20"/>
        </w:rPr>
        <w:t xml:space="preserve">In light of potential difficulties in properly characterizing a distribution for purposes of the above withholding rules, we may determine to withhold at the highest rate that we determine could apply.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240" w:after="283"/>
        <w:ind w:left="0" w:right="0" w:firstLine="941"/>
        <w:jc w:val="both"/>
        <w:rPr>
          <w:rFonts w:ascii="Times New Roman" w:hAnsi="Times New Roman"/>
          <w:sz w:val="20"/>
        </w:rPr>
      </w:pPr>
      <w:r>
        <w:rPr>
          <w:rFonts w:ascii="Times New Roman" w:hAnsi="Times New Roman"/>
          <w:i/>
          <w:color w:val="000000"/>
          <w:sz w:val="20"/>
        </w:rPr>
        <w:t>Sales of Shares</w:t>
      </w:r>
      <w:r>
        <w:rPr>
          <w:rFonts w:ascii="Times New Roman" w:hAnsi="Times New Roman"/>
          <w:color w:val="000000"/>
          <w:sz w:val="20"/>
        </w:rPr>
        <w:t xml:space="preserve">. A non-U.S. stockholder generally will not incur tax under FIRPTA with respect to gain on a disposition of our common stock as long as at all times during the five-year period ending on the date of disposition non-U.S. persons (as determined for purposes of FIRPTA) hold, directly or indirectly, less than 50% in value of our stock. For these purposes, in the case of any class of our stock that is regularly traded on an established securities market a person holding less than 5% of such class of stock for five years will be treated as a U.S. person unless we have actual knowledge that such person is not a U.S. person. Because our common stock is publicly traded, we cannot assure you that our non-U.S. ownership will be less than 50% at any time. Even if our non-U.S. ownership remains under 50% for five years and we otherwise meet the requirements of this rule, pursuant to “certain wash sale” rules under FIRPTA, a non-U.S. stockholder may incur tax under FIRPTA to the extent such stockholder disposes of our stock within a certain period prior to a distribution attributable to USRPI gain on which the stockholder would have been subject to tax under FIRPTA as described above and directly or indirectly (including through certain affiliates) reacquires our stock within certain prescribed periods, provided that this rule will not apply to a disposition and reacquisition of our common stock by a non-U.S. stockholder owning, actually or constructively, 5% or less of our common stock at any time during the one-year period ending on the date of such distribution attributable to USRPI gain. </w:t>
      </w:r>
    </w:p>
    <w:p>
      <w:pPr>
        <w:pStyle w:val="TextBody"/>
        <w:bidi w:val="0"/>
        <w:spacing w:before="240" w:after="283"/>
        <w:ind w:left="0" w:right="0" w:firstLine="941"/>
        <w:jc w:val="both"/>
        <w:rPr>
          <w:rFonts w:ascii="Times New Roman" w:hAnsi="Times New Roman"/>
          <w:color w:val="000000"/>
          <w:sz w:val="20"/>
        </w:rPr>
      </w:pPr>
      <w:r>
        <w:rPr>
          <w:rFonts w:ascii="Times New Roman" w:hAnsi="Times New Roman"/>
          <w:color w:val="000000"/>
          <w:sz w:val="20"/>
        </w:rPr>
        <w:t xml:space="preserve">Regardless of the extent of our non-U.S. ownership, but potentially subject to the wash sale rule described above, a non-U.S. stockholder will not incur tax under FIRPTA on a disposition of shares of a class of our publicly traded stock if such non-U.S. stockholder owned, actually or constructively, at all times during a specified testing period, 10% or less of the total fair market value of such class of stock. The testing period is the shorter of (1) the period during which the non-U.S. stockholder held the shares and (2) the five-year period ending on the disposition date. </w:t>
      </w:r>
    </w:p>
    <w:p>
      <w:pPr>
        <w:pStyle w:val="TextBody"/>
        <w:bidi w:val="0"/>
        <w:spacing w:before="240" w:after="283"/>
        <w:ind w:left="0" w:right="0" w:firstLine="941"/>
        <w:jc w:val="both"/>
        <w:rPr>
          <w:rFonts w:ascii="Times New Roman" w:hAnsi="Times New Roman"/>
          <w:color w:val="000000"/>
          <w:sz w:val="20"/>
        </w:rPr>
      </w:pPr>
      <w:r>
        <w:rPr>
          <w:rFonts w:ascii="Times New Roman" w:hAnsi="Times New Roman"/>
          <w:color w:val="000000"/>
          <w:sz w:val="20"/>
        </w:rPr>
        <w:t>If the gain on the sale of our stock were taxed under FIRPTA, the gain would be treated as income effectively connected with a U.S. trade or business, and a non-U.S. stockholder would be taxed on that gain in the same manner as U.S. stockholders; provided that the 30% branch profits tax will not apply to a non-corporate non-U.S. stockholder if the gain is treated as such effectively connected income solely as a result of FIRPTA.</w:t>
      </w:r>
    </w:p>
    <w:p>
      <w:pPr>
        <w:pStyle w:val="TextBody"/>
        <w:bidi w:val="0"/>
        <w:spacing w:before="240" w:after="283"/>
        <w:ind w:left="0" w:right="0" w:firstLine="941"/>
        <w:jc w:val="both"/>
        <w:rPr>
          <w:rFonts w:ascii="Times New Roman" w:hAnsi="Times New Roman"/>
          <w:color w:val="000000"/>
          <w:sz w:val="20"/>
        </w:rPr>
      </w:pPr>
      <w:r>
        <w:rPr>
          <w:rFonts w:ascii="Times New Roman" w:hAnsi="Times New Roman"/>
          <w:color w:val="000000"/>
          <w:sz w:val="20"/>
        </w:rPr>
        <w:t xml:space="preserve">Furthermore, a non-U.S. stockholder generally will incur U.S. federal income tax on gain not subject to FIRPTA (including a properly designated capital gain dividend not attributable to USRPI gain) if: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gain is effectively connected with the non-U.S. stockholder’s U.S. trade or business, in which case, unless an applicable income tax treaty provides otherwise, the non-U.S. stockholder will be subject to the same treatment as U.S. stockholders with respect to such gain and may be subject to the 30% branch profits tax on its effectively connected earnings and profits, subject to adjustments, in the case of a foreign corporation; or </w:t>
      </w:r>
    </w:p>
    <w:p>
      <w:pPr>
        <w:pStyle w:val="TextBody"/>
        <w:bidi w:val="0"/>
        <w:spacing w:before="240" w:after="283"/>
        <w:ind w:left="936"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non-U.S. stockholder is a nonresident alien individual who was present in the United States for 183 days or more during the taxable year and meets certain other criteria, in which case the Non-U.S. stockholder will incur a 30% tax on his or her capital gains derived from sources within the United States (net of certain losses derived from sources within the United States), unless an applicable income tax treaty provides otherwise. </w:t>
      </w:r>
    </w:p>
    <w:p>
      <w:pPr>
        <w:pStyle w:val="TextBody"/>
        <w:bidi w:val="0"/>
        <w:spacing w:before="240" w:after="283"/>
        <w:ind w:left="0" w:right="0" w:firstLine="941"/>
        <w:jc w:val="both"/>
        <w:rPr>
          <w:rFonts w:ascii="Times New Roman" w:hAnsi="Times New Roman"/>
          <w:sz w:val="20"/>
        </w:rPr>
      </w:pPr>
      <w:r>
        <w:rPr>
          <w:rFonts w:ascii="Times New Roman" w:hAnsi="Times New Roman"/>
          <w:i/>
          <w:color w:val="000000"/>
          <w:sz w:val="20"/>
        </w:rPr>
        <w:t>Qualified Shareholders</w:t>
      </w:r>
      <w:r>
        <w:rPr>
          <w:rFonts w:ascii="Times New Roman" w:hAnsi="Times New Roman"/>
          <w:color w:val="000000"/>
          <w:sz w:val="20"/>
        </w:rPr>
        <w:t>. To the extent our stock is held directly (or indirectly through one or more partnerships) by a “qualified shareholder,” it will not be treated as a USRPI for such qualified shareholder. Thus, gain from the sale or exchange of our stock (including distributions treated as gain from the sale or exchange of our stock) will not be subject to U.S. federal income tax unless such gain is treated as effectively connected with the qualified shareholder’s conduct of a U.S. trade or business. Further, to the extent such treatment applies, any distribution to such shareholder will not be treated as gain recognized from the sale or exchange of a USRPI (but may be treated as regular distributions potentially subject to the 30% withholding tax discussed above).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New York Stock Exchange or Nasdaq, (ii) is a “qualified collective investment vehicle” (within the meaning of Section 897(k)(3)(B) of the Code) and (iii) maintains records of persons holding 5% or more of the class of interests described in clauses (i)(A) or (i)(B) 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(other than a qualified shareholder) who generally holds an interest in the qualified shareholder and holds more than 10% of our stock (applying certain constructive ownership rules).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240" w:after="283"/>
        <w:ind w:left="0" w:right="0" w:firstLine="941"/>
        <w:jc w:val="both"/>
        <w:rPr>
          <w:rFonts w:ascii="Times New Roman" w:hAnsi="Times New Roman"/>
          <w:sz w:val="20"/>
        </w:rPr>
      </w:pPr>
      <w:r>
        <w:rPr>
          <w:rFonts w:ascii="Times New Roman" w:hAnsi="Times New Roman"/>
          <w:i/>
          <w:color w:val="000000"/>
          <w:sz w:val="20"/>
        </w:rPr>
        <w:t>Qualified Foreign Pension Funds</w:t>
      </w:r>
      <w:r>
        <w:rPr>
          <w:rFonts w:ascii="Times New Roman" w:hAnsi="Times New Roman"/>
          <w:color w:val="000000"/>
          <w:sz w:val="20"/>
        </w:rPr>
        <w:t xml:space="preserve">. For purposes of the effectively connected income provisions of FIRPTA, and subject to the discussion below regarding “qualified holders,”neither a “qualified foreign pension fund” nor any entity all of the interests of which are held by a qualified foreign pension fund is treated as a foreign person, thereby exempting such entities from tax under FIRPTA.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 </w:t>
      </w:r>
    </w:p>
    <w:p>
      <w:pPr>
        <w:pStyle w:val="TextBody"/>
        <w:bidi w:val="0"/>
        <w:spacing w:before="240" w:after="283"/>
        <w:ind w:left="0" w:right="0" w:firstLine="941"/>
        <w:jc w:val="both"/>
        <w:rPr>
          <w:rFonts w:ascii="Times New Roman" w:hAnsi="Times New Roman"/>
          <w:color w:val="000000"/>
          <w:sz w:val="20"/>
        </w:rPr>
      </w:pPr>
      <w:r>
        <w:rPr>
          <w:rFonts w:ascii="Times New Roman" w:hAnsi="Times New Roman"/>
          <w:color w:val="000000"/>
          <w:sz w:val="20"/>
        </w:rPr>
        <w:t>Treasury Regulations further require that a qualified foreign pension fund or qualified controlled entity will not be exempt from FIRPTA with respect to dispositions of USRPIs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USRPI or the REIT distribution. Under the first test, a qualified foreign pension fund or qualified controlled entity is a qualified holder if it owned no USRPIs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USRPIs as of the earliest date during the period described in the preceding sentence, it can be a qualified holder only if it satisfies certain testing period requirements.</w:t>
      </w:r>
    </w:p>
    <w:p>
      <w:pPr>
        <w:pStyle w:val="TextBody"/>
        <w:bidi w:val="0"/>
        <w:spacing w:before="240" w:after="283"/>
        <w:ind w:left="0" w:right="0" w:firstLine="941"/>
        <w:jc w:val="both"/>
        <w:rPr>
          <w:rFonts w:ascii="Times New Roman" w:hAnsi="Times New Roman"/>
          <w:color w:val="000000"/>
          <w:sz w:val="20"/>
        </w:rPr>
      </w:pPr>
      <w:r>
        <w:rPr>
          <w:rFonts w:ascii="Times New Roman" w:hAnsi="Times New Roman"/>
          <w:color w:val="000000"/>
          <w:sz w:val="20"/>
        </w:rPr>
        <w:t>Treasury Regulations also provide that a foreign partnership all of the interests of which are held by qualified holders, including through one or more partnerships, may certify its status as such and will not be treated as a foreign person for purposes of withholding under FIRPTA.</w:t>
      </w:r>
    </w:p>
    <w:p>
      <w:pPr>
        <w:pStyle w:val="TextBody"/>
        <w:bidi w:val="0"/>
        <w:spacing w:before="240" w:after="283"/>
        <w:ind w:left="0" w:right="0" w:firstLine="941"/>
        <w:jc w:val="both"/>
        <w:rPr>
          <w:rFonts w:ascii="Times New Roman" w:hAnsi="Times New Roman"/>
          <w:color w:val="000000"/>
          <w:sz w:val="20"/>
        </w:rPr>
      </w:pPr>
      <w:r>
        <w:rPr>
          <w:rFonts w:ascii="Times New Roman" w:hAnsi="Times New Roman"/>
          <w:color w:val="000000"/>
          <w:sz w:val="20"/>
        </w:rPr>
        <w:t>As a result of this exemption from FIRPTA, but subject to the discussion below regarding income or gain effectively connected with the conduct of a U.S. trade or business, (i) distributions received by qualified foreign pension funds and their non-U.S. wholly owned subsidiaries and qualified controlled entities will be taxed as dividends of ordinary income to the extent that the distributions are made out of our current or accumulated earnings and profits and not designated by us as capital gain dividends, and to that extent will be subject to a withholding tax equal to 30% of the gross amount of the dividend unless an applicable tax treaty reduces or eliminates that tax, (ii) distributions in excess of our current or accumulated earnings and profits and distributions that we designate as capital gain dividends received by qualified foreign pension funds and their non-U.S. wholly owned subsidiaries and qualified controlled entities will not be subject to U.S. federal income tax and (iii) gain of a qualified foreign pension fund or its non-U.S. wholly owned subsidiary or qualified controlled entity from the sale or exchange of our stock will not be subject to U.S. federal income tax. Notwithstanding the preceding sentence, the qualified foreign pension fund (or subsidiary or qualified controlled entity) generally will be subject to a U.S. federal income tax at the same graduated rates applicable to U.S. stockholders with respect to any ordinary dividends, capital gain dividends and/or gains from the sale or exchange of our stock (including distributions in excess of current or accumulated earnings and profits treated as gain from the sale or exchange of our stock) that are treated as effectively connected with the qualified foreign pension fund’s (or the subsidiary’s or qualified controlled entity’s, as applicable) conduct of a U.S. trade or business, unless an applicable income tax treaty provides otherwise, and a qualified foreign pension fund (or subsidiary or qualified controlled entity) also treated as a corporation for U.S. federal income tax purposes may be subject to the additional 30% branch profits tax on its effectively connected earnings and profits, subject to certain adjustments.</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FATCA Withholding on Certain Foreign Accounts and Entities.</w:t>
      </w:r>
      <w:r>
        <w:rPr>
          <w:rFonts w:ascii="Times New Roman" w:hAnsi="Times New Roman"/>
          <w:color w:val="000000"/>
          <w:sz w:val="20"/>
        </w:rPr>
        <w:t xml:space="preserve"> The Foreign Account Tax Compliance Act (“FATCA”) provisions of the Code, together with administrative guidance issued and certain intergovernmental agreements (“IGAs”) entered into thereunder, impose a 30% withholding tax on “withholdable payments” made to “foreign financial institutions” and certain other non-U.S. entities unless (1) the foreign financial institution undertakes certain diligence and reporting obligations or (2) the foreign non-financial entity either certifies it does not have any substantial U.S. owners or furnishes identifying information regarding each substantial United States owner. “Withholdable payments” generally include any payment of interest, dividends and certain other types of generally passive income if such payment is from sources within the United States. Although gross proceeds from a disposition of property that can produce U.S. source interest or dividends after December 31, 2018 would have been treated as withholdable payments, proposed Treasury Regulations that may be relied on have eliminated FATCA withholding on such payments. If the payee is a foreign financial institution that is not exempt under the administrative guidance or not subject to special treatment under certain IGAs, it must enter into an agreement with the U.S. Treasury Department requiring, among other things, that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undertakes to identify accounts (and certain debt and equity interests in such foreign financial institutions) held by certain U.S. persons or U.S.-owned foreign entities, annually report certain information about such accounts and withhold 30% on payments to account holders whose actions prevent them from complying with these reporting and other requirements. Investors in jurisdictions that have entered into a so-called Model 1 IGA may, in lieu of foregoing requirements, be required to report such information to their home jurisdiction. The compliance requirements under FATCA are complex and special requirements may apply to certain categories of payees. Prospective investors should consult their tax advisors regarding the particular consequences to them of FATCA, any applicable IGAs and other guidance issued thereunder with respect to an investment in our stock.</w:t>
      </w:r>
    </w:p>
    <w:p>
      <w:pPr>
        <w:pStyle w:val="TextBody"/>
        <w:bidi w:val="0"/>
        <w:spacing w:before="240" w:after="283"/>
        <w:ind w:left="0" w:right="0" w:firstLine="941"/>
        <w:jc w:val="left"/>
        <w:rPr>
          <w:rFonts w:ascii="Times New Roman" w:hAnsi="Times New Roman"/>
          <w:sz w:val="20"/>
        </w:rPr>
      </w:pPr>
      <w:r>
        <w:rPr>
          <w:rFonts w:ascii="Times New Roman" w:hAnsi="Times New Roman"/>
          <w:i/>
          <w:color w:val="000000"/>
          <w:sz w:val="20"/>
        </w:rPr>
        <w:t>Information Reporting and Backup Withholding.</w:t>
      </w:r>
      <w:r>
        <w:rPr>
          <w:rFonts w:ascii="Times New Roman" w:hAnsi="Times New Roman"/>
          <w:color w:val="000000"/>
          <w:sz w:val="20"/>
        </w:rPr>
        <w:t xml:space="preserve"> Generally, we must report annually to the IRS the amount of dividends paid to a non-U.S. stockholder, such holder’s name and address and the amount of tax withheld, if any. A similar report is sent to the non-U.S. stockholder. Pursuant to tax treaties or other agreements, the IRS may make its reports available to tax authorities in the non-U.S. stockholder’s country of residence. Payments of dividends or of proceeds from the disposition of stock made to a non-U.S. stockholder may be subject to information reporting and backup withholding unless such holder establishes an exemption, for example, by properly certifying its non- U.S. status on an IRS Form W-8BEN, IRS Form W-8BEN-E or another appropriate version of IRS Form W-8. Notwithstanding the foregoing, backup withholding may apply if either we or our paying agent has actual knowledge, or reason to know, that a non-U.S. stockholder is a U.S. person.</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Backup withholding is not an additional tax. Rather, the U.S. income tax liability of persons subject to backup withholding will be reduced by the amount of tax withheld. If withholding results in an overpayment of taxes, a refund or credit may be obtained, provided the required information is furnished to the IRS.</w:t>
      </w:r>
    </w:p>
    <w:p>
      <w:pPr>
        <w:pStyle w:val="TextBody"/>
        <w:bidi w:val="0"/>
        <w:spacing w:before="240" w:after="283"/>
        <w:jc w:val="left"/>
        <w:rPr>
          <w:rFonts w:ascii="Times New Roman" w:hAnsi="Times New Roman"/>
          <w:sz w:val="20"/>
        </w:rPr>
      </w:pPr>
      <w:r>
        <w:rPr>
          <w:rFonts w:ascii="Times New Roman" w:hAnsi="Times New Roman"/>
          <w:b/>
          <w:color w:val="000000"/>
          <w:sz w:val="20"/>
        </w:rPr>
        <w:t>State, Local and Non-U.S. Taxes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and/or holders of our stock may be subject to state, local and non-U.S. taxation in various state or local or non-U.S. jurisdictions, including those in which we or they transact business or reside. The non-U.S., state and local tax treatment of us and of holders of our stock may not conform to the U.S. federal income tax considerations discussed above. In addition, for taxable years beginning before January 1, 2026, itemized deductions for individuals for state and local income, property and sales taxes in excess of a combined limit of $10,000 per year are disallowed. Prospective investors should consult their tax advisors regarding the effect of state, local and non-U.S. tax laws on an investment in our common stock. </w:t>
      </w:r>
    </w:p>
    <w:p>
      <w:pPr>
        <w:pStyle w:val="TextBody"/>
        <w:bidi w:val="0"/>
        <w:spacing w:before="240" w:after="283"/>
        <w:jc w:val="left"/>
        <w:rPr>
          <w:rFonts w:ascii="Times New Roman" w:hAnsi="Times New Roman"/>
          <w:sz w:val="20"/>
        </w:rPr>
      </w:pPr>
      <w:r>
        <w:rPr>
          <w:rFonts w:ascii="Times New Roman" w:hAnsi="Times New Roman"/>
          <w:b/>
          <w:color w:val="000000"/>
          <w:sz w:val="20"/>
        </w:rPr>
        <w:t>Legislative or Other Actions Affecting REITs</w:t>
      </w:r>
      <w:r>
        <w:rPr>
          <w:rFonts w:ascii="Times New Roman" w:hAnsi="Times New Roman"/>
          <w:color w:val="000000"/>
          <w:sz w:val="20"/>
        </w:rPr>
        <w:t xml:space="preserv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our stockholders may be enacted, amended or repealed. Changes to the U.S. federal income tax laws and to interpretations of the U.S. federal income tax laws could adversely affect an investment in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0" w:name="selling_security_holders"/>
      <w:bookmarkEnd w:id="20"/>
      <w:r>
        <w:rPr>
          <w:rFonts w:ascii="Times New Roman" w:hAnsi="Times New Roman"/>
          <w:b/>
          <w:color w:val="000000"/>
          <w:sz w:val="20"/>
        </w:rPr>
        <w:t>SELLING SECURITY 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Information about selling security holders of Easterly Government Properties, Inc., where applicable, will be set forth in a prospectus supplement, in a post-effective amendment, or in filings we make with the SEC which are incorporated into this prospectus by reference. </w:t>
      </w:r>
    </w:p>
    <w:p>
      <w:pPr>
        <w:pStyle w:val="TextBody"/>
        <w:bidi w:val="0"/>
        <w:spacing w:before="240" w:after="283"/>
        <w:jc w:val="center"/>
        <w:rPr>
          <w:rFonts w:ascii="Times New Roman" w:hAnsi="Times New Roman"/>
          <w:b/>
          <w:color w:val="000000"/>
          <w:sz w:val="20"/>
        </w:rPr>
      </w:pPr>
      <w:bookmarkStart w:id="21" w:name="plan_of_distribution_1"/>
      <w:bookmarkEnd w:id="21"/>
      <w:r>
        <w:rPr>
          <w:rFonts w:ascii="Times New Roman" w:hAnsi="Times New Roman"/>
          <w:b/>
          <w:color w:val="000000"/>
          <w:sz w:val="20"/>
        </w:rPr>
        <w:t>PLAN OF DISTRIBUTION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Sales by Us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may sell the securities in any one or more of the following ways: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directly to investors, including through a specific bidding, auction or other process;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investors through agents;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or through underwriters, brokers or dealers;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“at the market” offerings, within the meaning of Rule 415(a)(4) of the Securities Act to or through a market maker or into an existing trading market on an exchange or otherwise;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block trades;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a combination of any such methods of sale; and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any other method permitted by applicable law and described in a prospectus supplement.</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Easterly Government Properties, Inc. common stock or preferred stock may be issued upon conversion of debt securities or preferred stock of Easterly Government Properties, Inc. or in exchange for debt securities of Easterly Government Properties LP. Securities may also be issued upon exercise of warrants of Easterly Government Properties, Inc. Easterly Government Properties, Inc. and Easterly Government Properties LP reserve the right to sell securities directly to investors on their own behalf in those jurisdictions where they are authorized to do so. In addition to the foregoing, we may issue shares of our common stock to holders of common units of Easterly Government Properties LP, and any of their pledgees, donees, transferees or other successors in interest, in exchange for their common units. We may only offer our common stock in this manner if the holders of these common units present them for redemption under the Partnership Agreement, and we exercise our right to issue our common stock to them instead of paying a cash amount. We will receive no cash proceeds from any issuance of the shares of our common stock in exchange for common units, but we will acquire additional common units in exchange for any such issuances.</w:t>
      </w:r>
    </w:p>
    <w:p>
      <w:pPr>
        <w:pStyle w:val="TextBody"/>
        <w:bidi w:val="0"/>
        <w:spacing w:before="240" w:after="240"/>
        <w:ind w:left="0" w:right="0" w:firstLine="941"/>
        <w:jc w:val="left"/>
        <w:rPr>
          <w:rFonts w:ascii="Times New Roman" w:hAnsi="Times New Roman"/>
          <w:color w:val="000000"/>
          <w:sz w:val="20"/>
        </w:rPr>
      </w:pPr>
      <w:r>
        <w:rPr>
          <w:rFonts w:ascii="Times New Roman" w:hAnsi="Times New Roman"/>
          <w:color w:val="000000"/>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before="0" w:after="240"/>
        <w:ind w:left="0" w:right="0" w:firstLine="941"/>
        <w:jc w:val="left"/>
        <w:rPr>
          <w:rFonts w:ascii="Times New Roman" w:hAnsi="Times New Roman"/>
          <w:color w:val="000000"/>
          <w:sz w:val="20"/>
        </w:rPr>
      </w:pPr>
      <w:r>
        <w:rPr>
          <w:rFonts w:ascii="Times New Roman" w:hAnsi="Times New Roman"/>
          <w:color w:val="000000"/>
          <w:sz w:val="20"/>
        </w:rPr>
        <w:t xml:space="preserve">Any underwritten offering may be on a best efforts or a firm commitment basis. 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ind w:left="0" w:right="0" w:firstLine="941"/>
        <w:jc w:val="left"/>
        <w:rPr>
          <w:rFonts w:ascii="Times New Roman" w:hAnsi="Times New Roman"/>
          <w:color w:val="000000"/>
          <w:sz w:val="20"/>
        </w:rPr>
      </w:pPr>
      <w:r>
        <w:rPr>
          <w:rFonts w:ascii="Times New Roman" w:hAnsi="Times New Roman"/>
          <w:color w:val="000000"/>
          <w:sz w:val="20"/>
        </w:rPr>
        <w:t xml:space="preserve">Sales of the securities may be effected from time to time in one or more transactions, including negotiated transactions: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a fixed price or prices, which may be changed;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market prices prevailing at the time of sale;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prices related to prevailing market prices; or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negotiated prices.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240" w:after="120"/>
        <w:ind w:left="0" w:right="0" w:firstLine="941"/>
        <w:jc w:val="left"/>
        <w:rPr>
          <w:rFonts w:ascii="Times New Roman" w:hAnsi="Times New Roman"/>
          <w:color w:val="000000"/>
          <w:sz w:val="20"/>
        </w:rPr>
      </w:pPr>
      <w:r>
        <w:rPr>
          <w:rFonts w:ascii="Times New Roman" w:hAnsi="Times New Roman"/>
          <w:color w:val="000000"/>
          <w:sz w:val="20"/>
        </w:rPr>
        <w:t xml:space="preserve">Any of the prices may represent a discount from the then prevailing market prices. </w:t>
      </w:r>
    </w:p>
    <w:p>
      <w:pPr>
        <w:pStyle w:val="TextBody"/>
        <w:bidi w:val="0"/>
        <w:spacing w:before="120" w:after="120"/>
        <w:ind w:left="0" w:right="0" w:firstLine="941"/>
        <w:jc w:val="left"/>
        <w:rPr>
          <w:rFonts w:ascii="Times New Roman" w:hAnsi="Times New Roman"/>
          <w:color w:val="000000"/>
          <w:sz w:val="20"/>
        </w:rPr>
      </w:pPr>
      <w:r>
        <w:rPr>
          <w:rFonts w:ascii="Times New Roman" w:hAnsi="Times New Roman"/>
          <w:color w:val="000000"/>
          <w:sz w:val="20"/>
        </w:rPr>
        <w:t xml:space="preserve">In the sale of the securities, underwriters or agents may receive compensation from us in the form of underwriting discounts or commissions and may also receive compensation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Discounts, concessions and commissions may be changed from time to time. Dealers and agents that participate in the distribution of the securities may be deemed to be underwriters under the Securities Act, and any discounts, concessions or commissions they receive from us and any profit on the resale of securities they realize may be deemed to be underwriting compensation under applicable federal and state securities laws. </w:t>
      </w:r>
    </w:p>
    <w:p>
      <w:pPr>
        <w:pStyle w:val="TextBody"/>
        <w:bidi w:val="0"/>
        <w:spacing w:before="120" w:after="120"/>
        <w:ind w:left="0" w:right="0" w:firstLine="941"/>
        <w:jc w:val="left"/>
        <w:rPr>
          <w:rFonts w:ascii="Times New Roman" w:hAnsi="Times New Roman"/>
          <w:color w:val="000000"/>
          <w:sz w:val="20"/>
        </w:rPr>
      </w:pPr>
      <w:r>
        <w:rPr>
          <w:rFonts w:ascii="Times New Roman" w:hAnsi="Times New Roman"/>
          <w:color w:val="000000"/>
          <w:sz w:val="20"/>
        </w:rPr>
        <w:t xml:space="preserve">The applicable prospectus supplement will, where applicable: </w:t>
      </w:r>
    </w:p>
    <w:p>
      <w:pPr>
        <w:pStyle w:val="TextBody"/>
        <w:bidi w:val="0"/>
        <w:spacing w:before="120" w:after="283"/>
        <w:ind w:left="936"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any such underwriter, dealer or agent;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describe any compensation in the form of discounts, concessions, commissions or otherwise received from us by each such underwriter or agent and in the aggregate by all underwriters and agents;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describe any discounts, concessions or commissions allowed by underwriters to participating dealers;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 the amounts underwritten; and </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 the nature of the underwriter’s or underwriters’ obligation to take the securities.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Unless otherwise specified in the related prospectus supplement, each series of securities will be a new issue with no established trading market, other than shares of common stock of Easterly Government Properties, Inc., which are listed on the NYSE. Any common stock sold pursuant to a prospectus supplement will be listed on the NYSE, subject to official notice of issuance. We may elect to list any series of preferred stock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may enter into derivative transactions with third parties, or sell securities not covered by this prospectus to third parties in privately negotiated transactions. If disclosed in the applicable prospectus supplement, in connection with those derivative transactions third parties may sell securities covered by this prospectus and such prospectus supplement, including in short sale transactions. If so, the third party may use securities pledged by us or borrowed from us or from others to settle those short sales or to close out any related open borrowings of securities, and may use securities received from us in settlement of those derivative transactions to close out any related open borrowings of securities. If the third party is or may be deemed to be an underwriter under the Securities Act, it will be identified in the applicable prospectus supplements.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Until the distribution of the securities is completed, rules of the SEC may limit the ability of any underwriters and selling group members to bid for and purchase the securities. As an exception to these rules, underwriters are permitted to engage in some transactions that stabilize the price of the securities. Such transactions consist of bids or purchases for the purpose of pegging, fixing or maintaining the price of the securities.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Underwriters could make sales in privately negotiated transactions and/or any other method permitted by law, including sales deemed to be an “at-the-market” offering, sales made directly on the NYSE or sales made to or through a market maker other than on an exchange.</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The lead underwriters may also impose a penalty bid on other underwriters and selling group members participating in an offering. This means that if the lead underwriters purchase securities in the open market to reduce the underwriters’ short position or to stabilize the price of the securities, they may reclaim the amount of any selling concession from the underwriters and selling group members who sold those securities as part of the offering.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 before the distribution is completed.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Under agreements into which we may enter, underwriters, dealers and agents who participate in the distribution of the securities may be entitled to indemnification by us against or contribution towards certain civil liabilities, including liabilities under the applicable securities laws.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Underwriters, dealers and agents may engage in transactions with us, perform services for us or be our tenants in the ordinary course of business.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amount of the securities less the amount thereof covered by the contracts. The underwriters and such other agents will not have any responsibility in respect of the validity or performance of such contracts.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 </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 xml:space="preserve">Underwriters, dealers or agents that participate in the offer of securities, or their affiliates or associates, may have engaged or engage in transactions with and perform services for, Easterly Government Properties, Inc., Easterly Government Properties LP or our affiliates in the ordinary course of business for which they may have received or receive customary fees and reimbursement of expenses.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Sales by Selling Security Holders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selling security 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 holders (including but not limited to persons who receive securities from a named selling security holder as a gift, partnership distribution or other non-sale related transfer after the date of this prospectus) may also use this prospectus and are included when we refer to “selling security holders” in this prospectus. The selling security holders may sell the securities by one or more of the following methods, without limitation:</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block trades (which may include cross trades) in which the broker or dealer so engaged will attempt to sell the securities as agent but may position and resell a portion of the block as principal to facilitate the transaction;</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purchases by a broker or dealer as principal and resale by the broker or dealer for its own account;</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exchange distribution or secondary distribution in accordance with the rules of any stock exchange on which the securities may be listed;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ordinary brokerage transactions and transactions in which the broker solicits purchases;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offering at other than a fixed price on or through the facilities of any stock exchange on which the securities are listed or to or through a market maker other than on that stock exchange;</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privately negotiated transactions, directly or through agents;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short sales;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the writing of options on the securities, whether or not the options are listed on an options exchange;</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the distribution of the securities by any security holders to its partners, members or stockholders;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one or more underwritten offerings;</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agreements between a broker or dealer and any security holder to sell a specified number of the securities at a stipulated price per share;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combination of any of these methods of sale or distribution, or any other method permitted by applicable law.</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The security holders may also transfer the securities by gift.</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The selling security holders may engage brokers and dealers, and any brokers or dealers may arrange for other brokers or dealers to participate in effecting sales of the securities. These brokers, dealers or underwriters may act as principals, or as an agent of a selling security holder. Broker-dealers may agree with a selling security holder to sell a specified number of the securities at a stipulated price per share. If the broker-dealer is unable to sell securities acting as agent for a selling security holder, it may purchase as principal any unsold securities at the stipulated price. Broker-dealers who acquire securities as principals may thereafter resell the securities from time to time in transactions on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From time to time, one or more of the selling security holders may pledge, hypothecate or grant a security interest in some or all of the securities owned by them. The pledgees, secured parties or persons to whom the securities have been hypothecated will, upon foreclosure in the event of default, be deemed to be selling security holders. The number of a selling security holder’s securities offered under this prospectus will decrease as and when it takes such actions. The plan of distribution for that selling security holder’s securities will otherwise remain unchanged. In addition, a selling security holder may, from time to time, sell the securities short, and, in those instances, this prospectus may be delivered in connection with the short sales and the securities offered under this prospectus may be used to cover short sales.</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The selling security 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A selling security holder may enter into hedging transactions with broker-dealers and the broker-dealers may engage in short sales of the securities in the course of hedging the positions they assume with that selling security holder, including, without limitation, in connection with distributions of the securities by those broker-dealers. A selling security holder may enter into option or other transactions with broker-dealers that involve the delivery of the securities offered hereby to the broker-dealers, who may then resell or otherwise transfer those securities. A selling security holder may also loan or pledge the securities offered hereby to a broker-dealer and the broker-dealer may sell the securities offered hereby so loaned or upon a default may sell or otherwise transfer the pledged securities offered hereby.</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The selling security 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 holders and any other person. The anti-manipulation rules under the Exchange Act may apply to sales of securities in the market and to the activities of the selling security 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We may agree to indemnify the selling security 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 holders may agree to indemnify us, the other selling security holders and any underwriter or other person who participates in the offering of the securities, against specified liabilities arising from information provided by the selling security 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 holders may agree to indemnify any brokers, dealers or agents who participate in transactions involving sales of the securities against specified liabilities arising under the federal securities laws in connection with the offering and sale of the securities.</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We will not receive any proceeds from sales of any securities by the selling security holders.</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We cannot assure you that the selling security holders will sell all or any portion of the securities offered hereby.</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We will supply the selling security holders and any stock exchange upon which the securities are listed with reasonable quantities of copies of this prospectus. To the extent required by Rule 424 under the Securities Act in connection with any resale or redistribution by a selling security holder, we will file a prospectus supplement setting forth:</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number of securities to be sold;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purchase price;</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public offering price;</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applicable, the names of any underwriter, agent or broker-dealer; and</w:t>
      </w:r>
    </w:p>
    <w:p>
      <w:pPr>
        <w:pStyle w:val="TextBody"/>
        <w:bidi w:val="0"/>
        <w:spacing w:before="240" w:after="283"/>
        <w:ind w:left="936" w:right="0" w:hanging="0"/>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applicable commissions, discounts, concessions, fees or other items constituting compensation to underwriters, agents or broker-dealers with respect to the particular transaction (which may exceed customary commissions or compensation).</w:t>
      </w:r>
    </w:p>
    <w:p>
      <w:pPr>
        <w:pStyle w:val="TextBody"/>
        <w:bidi w:val="0"/>
        <w:spacing w:before="240" w:after="283"/>
        <w:ind w:left="0" w:right="0" w:firstLine="936"/>
        <w:jc w:val="left"/>
        <w:rPr>
          <w:rFonts w:ascii="Times New Roman" w:hAnsi="Times New Roman"/>
          <w:color w:val="000000"/>
          <w:sz w:val="20"/>
        </w:rPr>
      </w:pPr>
      <w:r>
        <w:rPr>
          <w:rFonts w:ascii="Times New Roman" w:hAnsi="Times New Roman"/>
          <w:color w:val="000000"/>
          <w:sz w:val="20"/>
        </w:rPr>
        <w:t>If a selling security 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2" w:name="legal_matters_1"/>
      <w:bookmarkEnd w:id="22"/>
      <w:r>
        <w:rPr>
          <w:rFonts w:ascii="Times New Roman" w:hAnsi="Times New Roman"/>
          <w:b/>
          <w:color w:val="000000"/>
          <w:sz w:val="20"/>
        </w:rPr>
        <w:t>LEGAL MATTERS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Certain legal matters in connection with the offering will be passed upon for us by Goodwin Procter LLP, Boston, Massachusetts.</w:t>
      </w:r>
    </w:p>
    <w:p>
      <w:pPr>
        <w:pStyle w:val="TextBody"/>
        <w:bidi w:val="0"/>
        <w:spacing w:before="240" w:after="283"/>
        <w:jc w:val="center"/>
        <w:rPr>
          <w:rFonts w:ascii="Times New Roman" w:hAnsi="Times New Roman"/>
          <w:b/>
          <w:color w:val="000000"/>
          <w:sz w:val="20"/>
        </w:rPr>
      </w:pPr>
      <w:bookmarkStart w:id="23" w:name="experts_1"/>
      <w:bookmarkEnd w:id="23"/>
      <w:r>
        <w:rPr>
          <w:rFonts w:ascii="Times New Roman" w:hAnsi="Times New Roman"/>
          <w:b/>
          <w:color w:val="000000"/>
          <w:sz w:val="20"/>
        </w:rPr>
        <w:t>EXPERTS</w:t>
      </w:r>
    </w:p>
    <w:p>
      <w:pPr>
        <w:pStyle w:val="TextBody"/>
        <w:bidi w:val="0"/>
        <w:spacing w:before="240" w:after="283"/>
        <w:ind w:left="0" w:right="0" w:firstLine="941"/>
        <w:jc w:val="left"/>
        <w:rPr>
          <w:rFonts w:ascii="Times New Roman" w:hAnsi="Times New Roman"/>
          <w:color w:val="000000"/>
          <w:sz w:val="20"/>
        </w:rPr>
      </w:pPr>
      <w:r>
        <w:rPr>
          <w:rFonts w:ascii="Times New Roman" w:hAnsi="Times New Roman"/>
          <w:color w:val="000000"/>
          <w:sz w:val="20"/>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pPr>
      <w:r>
        <w:rPr/>
        <w:drawing>
          <wp:inline distT="0" distB="0" distL="0" distR="0">
            <wp:extent cx="3790950" cy="1238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3790950" cy="1238250"/>
                    </a:xfrm>
                    <a:prstGeom prst="rect">
                      <a:avLst/>
                    </a:prstGeom>
                  </pic:spPr>
                </pic:pic>
              </a:graphicData>
            </a:graphic>
          </wp:inline>
        </w:drawing>
      </w:r>
    </w:p>
    <w:p>
      <w:pPr>
        <w:pStyle w:val="TextBody"/>
        <w:pBdr>
          <w:bottom w:val="single" w:sz="4" w:space="1" w:color="000000"/>
        </w:pBdr>
        <w:bidi w:val="0"/>
        <w:spacing w:before="0" w:after="480"/>
        <w:ind w:left="2160" w:right="2160" w:hanging="0"/>
        <w:jc w:val="center"/>
        <w:rPr/>
      </w:pPr>
      <w:r>
        <w:rPr/>
        <w:t> </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$300,000,000</w:t>
      </w:r>
    </w:p>
    <w:p>
      <w:pPr>
        <w:pStyle w:val="TextBody"/>
        <w:bidi w:val="0"/>
        <w:spacing w:before="0" w:after="200"/>
        <w:jc w:val="center"/>
        <w:rPr>
          <w:rFonts w:ascii="Times New Roman" w:hAnsi="Times New Roman"/>
          <w:b/>
          <w:color w:val="000000"/>
          <w:sz w:val="48"/>
        </w:rPr>
      </w:pPr>
      <w:r>
        <w:rPr>
          <w:rFonts w:ascii="Times New Roman" w:hAnsi="Times New Roman"/>
          <w:b/>
          <w:color w:val="000000"/>
          <w:sz w:val="48"/>
        </w:rPr>
        <w:t>Easterly Government Properties, Inc.</w:t>
      </w:r>
    </w:p>
    <w:p>
      <w:pPr>
        <w:pStyle w:val="TextBody"/>
        <w:pBdr>
          <w:bottom w:val="single" w:sz="4" w:space="24" w:color="000000"/>
        </w:pBdr>
        <w:bidi w:val="0"/>
        <w:spacing w:before="0" w:after="200"/>
        <w:ind w:left="2160" w:right="2160" w:hanging="0"/>
        <w:jc w:val="center"/>
        <w:rPr>
          <w:rFonts w:ascii="Times New Roman" w:hAnsi="Times New Roman"/>
          <w:b/>
          <w:color w:val="000000"/>
          <w:sz w:val="28"/>
        </w:rPr>
      </w:pPr>
      <w:r>
        <w:rPr>
          <w:rFonts w:ascii="Times New Roman" w:hAnsi="Times New Roman"/>
          <w:b/>
          <w:color w:val="000000"/>
          <w:sz w:val="28"/>
        </w:rPr>
        <w:t>Common Stock</w:t>
      </w:r>
    </w:p>
    <w:tbl>
      <w:tblPr>
        <w:tblW w:w="10205" w:type="dxa"/>
        <w:jc w:val="left"/>
        <w:tblInd w:w="0" w:type="dxa"/>
        <w:tblLayout w:type="fixed"/>
        <w:tblCellMar>
          <w:top w:w="28" w:type="dxa"/>
          <w:left w:w="28" w:type="dxa"/>
          <w:bottom w:w="28" w:type="dxa"/>
          <w:right w:w="28" w:type="dxa"/>
        </w:tblCellMar>
      </w:tblPr>
      <w:tblGrid>
        <w:gridCol w:w="946"/>
        <w:gridCol w:w="1220"/>
        <w:gridCol w:w="1397"/>
        <w:gridCol w:w="1367"/>
        <w:gridCol w:w="601"/>
        <w:gridCol w:w="1213"/>
        <w:gridCol w:w="1115"/>
        <w:gridCol w:w="1472"/>
        <w:gridCol w:w="874"/>
      </w:tblGrid>
      <w:tr>
        <w:trPr/>
        <w:tc>
          <w:tcPr>
            <w:tcW w:w="94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Citigroup</w:t>
            </w:r>
          </w:p>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BMO Capital Markets</w:t>
            </w:r>
          </w:p>
        </w:tc>
        <w:tc>
          <w:tcPr>
            <w:tcW w:w="136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BTIG</w:t>
            </w:r>
          </w:p>
        </w:tc>
        <w:tc>
          <w:tcPr>
            <w:tcW w:w="121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pPr>
            <w:r>
              <w:rPr/>
              <w:t> </w:t>
            </w:r>
          </w:p>
        </w:tc>
        <w:tc>
          <w:tcPr>
            <w:tcW w:w="1115"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Compass Point</w:t>
            </w:r>
          </w:p>
          <w:p>
            <w:pPr>
              <w:pStyle w:val="TableContents"/>
              <w:bidi w:val="0"/>
              <w:spacing w:before="0" w:after="283"/>
              <w:jc w:val="center"/>
              <w:rPr/>
            </w:pPr>
            <w:r>
              <w:rPr/>
              <w:t> </w:t>
            </w:r>
          </w:p>
        </w:tc>
        <w:tc>
          <w:tcPr>
            <w:tcW w:w="14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Jefferies</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Raymond James</w:t>
            </w:r>
          </w:p>
          <w:p>
            <w:pPr>
              <w:pStyle w:val="TableContents"/>
              <w:bidi w:val="0"/>
              <w:spacing w:before="0" w:after="283"/>
              <w:jc w:val="center"/>
              <w:rPr/>
            </w:pPr>
            <w:r>
              <w:rPr/>
              <w:t> </w:t>
            </w:r>
          </w:p>
        </w:tc>
        <w:tc>
          <w:tcPr>
            <w:tcW w:w="13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RBC Capital Markets</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Truist Securities</w:t>
            </w:r>
          </w:p>
        </w:tc>
        <w:tc>
          <w:tcPr>
            <w:tcW w:w="111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14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Wells Fargo Securities</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spacing w:before="240" w:after="200"/>
        <w:ind w:left="2160" w:right="216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dea_exfilingfees.htm"/>
      <w:bookmarkStart w:id="25" w:name="ksdea_exfilingfees"/>
      <w:bookmarkEnd w:id="24"/>
      <w:bookmarkEnd w:id="25"/>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107</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Calculation of Filing Fee</w:t>
      </w:r>
    </w:p>
    <w:p>
      <w:pPr>
        <w:pStyle w:val="TextBody"/>
        <w:bidi w:val="0"/>
        <w:spacing w:before="0" w:after="240"/>
        <w:jc w:val="center"/>
        <w:rPr>
          <w:rFonts w:ascii="Times New Roman" w:hAnsi="Times New Roman"/>
          <w:sz w:val="20"/>
        </w:rPr>
      </w:pPr>
      <w:r>
        <w:rPr>
          <w:rFonts w:ascii="Times New Roman" w:hAnsi="Times New Roman"/>
          <w:b/>
          <w:color w:val="000000"/>
          <w:sz w:val="22"/>
        </w:rPr>
        <w:t>424(b)(5)</w:t>
        <w:br/>
      </w:r>
      <w:r>
        <w:rPr>
          <w:rFonts w:ascii="Times New Roman" w:hAnsi="Times New Roman"/>
          <w:color w:val="000000"/>
          <w:sz w:val="22"/>
        </w:rPr>
        <w:t>(Form Type)</w:t>
      </w:r>
    </w:p>
    <w:p>
      <w:pPr>
        <w:pStyle w:val="TextBody"/>
        <w:bidi w:val="0"/>
        <w:spacing w:before="0" w:after="240"/>
        <w:jc w:val="center"/>
        <w:rPr>
          <w:rFonts w:ascii="Times New Roman" w:hAnsi="Times New Roman"/>
          <w:sz w:val="20"/>
        </w:rPr>
      </w:pPr>
      <w:r>
        <w:rPr>
          <w:rFonts w:ascii="Times New Roman" w:hAnsi="Times New Roman"/>
          <w:b/>
          <w:color w:val="000000"/>
          <w:sz w:val="22"/>
        </w:rPr>
        <w:t>Easterly Government Properties, Inc.</w:t>
        <w:br/>
      </w:r>
      <w:r>
        <w:rPr>
          <w:rFonts w:ascii="Times New Roman" w:hAnsi="Times New Roman"/>
          <w:color w:val="000000"/>
          <w:sz w:val="22"/>
        </w:rPr>
        <w:t>(Exact Name of Registrant as Specified in its Charter)</w:t>
      </w:r>
    </w:p>
    <w:p>
      <w:pPr>
        <w:pStyle w:val="TextBody"/>
        <w:bidi w:val="0"/>
        <w:spacing w:before="0" w:after="240"/>
        <w:jc w:val="center"/>
        <w:rPr>
          <w:rFonts w:ascii="Times New Roman" w:hAnsi="Times New Roman"/>
          <w:sz w:val="20"/>
        </w:rPr>
      </w:pPr>
      <w:r>
        <w:rPr>
          <w:rFonts w:ascii="Times New Roman" w:hAnsi="Times New Roman"/>
          <w:b/>
          <w:color w:val="000000"/>
          <w:sz w:val="22"/>
        </w:rPr>
        <w:t>Table 1: Newly Registered and Carry Forward Securities</w:t>
      </w:r>
      <w:r>
        <w:rPr>
          <w:rFonts w:ascii="Times New Roman" w:hAnsi="Times New Roman"/>
          <w:color w:val="000000"/>
          <w:sz w:val="20"/>
        </w:rPr>
        <w:t xml:space="preserve"> </w:t>
      </w:r>
    </w:p>
    <w:tbl>
      <w:tblPr>
        <w:tblW w:w="11039" w:type="dxa"/>
        <w:jc w:val="left"/>
        <w:tblInd w:w="0" w:type="dxa"/>
        <w:tblLayout w:type="fixed"/>
        <w:tblCellMar>
          <w:top w:w="28" w:type="dxa"/>
          <w:left w:w="28" w:type="dxa"/>
          <w:bottom w:w="28" w:type="dxa"/>
          <w:right w:w="28" w:type="dxa"/>
        </w:tblCellMar>
      </w:tblPr>
      <w:tblGrid>
        <w:gridCol w:w="856"/>
        <w:gridCol w:w="256"/>
        <w:gridCol w:w="676"/>
        <w:gridCol w:w="751"/>
        <w:gridCol w:w="886"/>
        <w:gridCol w:w="826"/>
        <w:gridCol w:w="826"/>
        <w:gridCol w:w="1096"/>
        <w:gridCol w:w="871"/>
        <w:gridCol w:w="931"/>
        <w:gridCol w:w="691"/>
        <w:gridCol w:w="691"/>
        <w:gridCol w:w="736"/>
        <w:gridCol w:w="946"/>
      </w:tblGrid>
      <w:tr>
        <w:trPr/>
        <w:tc>
          <w:tcPr>
            <w:tcW w:w="8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856" w:type="dxa"/>
            <w:tcBorders>
              <w:top w:val="single" w:sz="8" w:space="0" w:color="000000"/>
              <w:left w:val="single" w:sz="8"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pPr>
            <w:r>
              <w:rPr/>
              <w:t> </w:t>
            </w:r>
          </w:p>
        </w:tc>
        <w:tc>
          <w:tcPr>
            <w:tcW w:w="676"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Security Type</w:t>
            </w:r>
          </w:p>
        </w:tc>
        <w:tc>
          <w:tcPr>
            <w:tcW w:w="751"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Security Class Title</w:t>
            </w:r>
          </w:p>
        </w:tc>
        <w:tc>
          <w:tcPr>
            <w:tcW w:w="886"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 Calculation or Carry Forward Rule</w:t>
            </w:r>
          </w:p>
        </w:tc>
        <w:tc>
          <w:tcPr>
            <w:tcW w:w="826"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 Registered</w:t>
            </w:r>
          </w:p>
        </w:tc>
        <w:tc>
          <w:tcPr>
            <w:tcW w:w="826"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Proposed Maximum Offering Price Per Unit</w:t>
            </w:r>
          </w:p>
        </w:tc>
        <w:tc>
          <w:tcPr>
            <w:tcW w:w="1096"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Maximum Aggregate Offering Price</w:t>
            </w:r>
          </w:p>
        </w:tc>
        <w:tc>
          <w:tcPr>
            <w:tcW w:w="871"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 Rate</w:t>
            </w:r>
          </w:p>
        </w:tc>
        <w:tc>
          <w:tcPr>
            <w:tcW w:w="931"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 of Registration Fee</w:t>
            </w:r>
          </w:p>
        </w:tc>
        <w:tc>
          <w:tcPr>
            <w:tcW w:w="691"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Carry Forward Form Type</w:t>
            </w:r>
          </w:p>
        </w:tc>
        <w:tc>
          <w:tcPr>
            <w:tcW w:w="691"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Carry Forward File Number</w:t>
            </w:r>
          </w:p>
        </w:tc>
        <w:tc>
          <w:tcPr>
            <w:tcW w:w="736" w:type="dxa"/>
            <w:tcBorders>
              <w:top w:val="single" w:sz="8"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Carry Forward Initial Effective Date</w:t>
            </w:r>
          </w:p>
        </w:tc>
        <w:tc>
          <w:tcPr>
            <w:tcW w:w="946" w:type="dxa"/>
            <w:tcBorders>
              <w:top w:val="single" w:sz="8" w:space="0" w:color="000000"/>
              <w:bottom w:val="single" w:sz="4"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Filing Fee Previously Paid In Connection with Unsold Securities to be Carried Forward</w:t>
            </w:r>
          </w:p>
        </w:tc>
      </w:tr>
      <w:tr>
        <w:trPr/>
        <w:tc>
          <w:tcPr>
            <w:tcW w:w="11039" w:type="dxa"/>
            <w:gridSpan w:val="14"/>
            <w:tcBorders>
              <w:left w:val="single" w:sz="8" w:space="0" w:color="000000"/>
              <w:bottom w:val="single" w:sz="4"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Newly Registered Securities</w:t>
            </w:r>
          </w:p>
        </w:tc>
      </w:tr>
      <w:tr>
        <w:trPr/>
        <w:tc>
          <w:tcPr>
            <w:tcW w:w="856" w:type="dxa"/>
            <w:tcBorders>
              <w:left w:val="single" w:sz="8" w:space="0" w:color="000000"/>
              <w:bottom w:val="single" w:sz="4"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Fees to Be Paid</w:t>
            </w:r>
          </w:p>
        </w:tc>
        <w:tc>
          <w:tcPr>
            <w:tcW w:w="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6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Equity</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$0.01 per share</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457(o)</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$214,982,308</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0.0001381</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$29,689.06</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46" w:type="dxa"/>
            <w:tcBorders>
              <w:bottom w:val="single" w:sz="4" w:space="0" w:color="000000"/>
              <w:right w:val="single" w:sz="8"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856" w:type="dxa"/>
            <w:tcBorders>
              <w:left w:val="single" w:sz="8" w:space="0" w:color="000000"/>
              <w:bottom w:val="single" w:sz="4"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Fees Previously Paid</w:t>
            </w:r>
          </w:p>
        </w:tc>
        <w:tc>
          <w:tcPr>
            <w:tcW w:w="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6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46" w:type="dxa"/>
            <w:tcBorders>
              <w:bottom w:val="single" w:sz="4" w:space="0" w:color="000000"/>
              <w:right w:val="single" w:sz="8"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1039" w:type="dxa"/>
            <w:gridSpan w:val="14"/>
            <w:tcBorders>
              <w:left w:val="single" w:sz="8" w:space="0" w:color="000000"/>
              <w:bottom w:val="single" w:sz="4" w:space="0" w:color="000000"/>
              <w:right w:val="single" w:sz="8"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 Forward Securities</w:t>
            </w:r>
          </w:p>
        </w:tc>
      </w:tr>
      <w:tr>
        <w:trPr/>
        <w:tc>
          <w:tcPr>
            <w:tcW w:w="856" w:type="dxa"/>
            <w:tcBorders>
              <w:left w:val="single" w:sz="8"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Carry Forward Securities</w:t>
            </w:r>
          </w:p>
        </w:tc>
        <w:tc>
          <w:tcPr>
            <w:tcW w:w="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6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7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46" w:type="dxa"/>
            <w:tcBorders>
              <w:bottom w:val="single" w:sz="4" w:space="0" w:color="000000"/>
              <w:right w:val="single" w:sz="8"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856" w:type="dxa"/>
            <w:tcBorders>
              <w:left w:val="single" w:sz="8"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c>
          <w:tcPr>
            <w:tcW w:w="3395" w:type="dxa"/>
            <w:gridSpan w:val="5"/>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Offering Amounts</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$214,982,308</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$29,689.06</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946" w:type="dxa"/>
            <w:tcBorders>
              <w:bottom w:val="single" w:sz="4" w:space="0" w:color="000000"/>
              <w:right w:val="single" w:sz="8"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856" w:type="dxa"/>
            <w:tcBorders>
              <w:left w:val="single" w:sz="8"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c>
          <w:tcPr>
            <w:tcW w:w="3395" w:type="dxa"/>
            <w:gridSpan w:val="5"/>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Fees Previously Paid</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946" w:type="dxa"/>
            <w:tcBorders>
              <w:bottom w:val="single" w:sz="4" w:space="0" w:color="000000"/>
              <w:right w:val="single" w:sz="8"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856" w:type="dxa"/>
            <w:tcBorders>
              <w:left w:val="single" w:sz="8"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c>
          <w:tcPr>
            <w:tcW w:w="3395" w:type="dxa"/>
            <w:gridSpan w:val="5"/>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Fee Offsets</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$29,689.06</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946" w:type="dxa"/>
            <w:tcBorders>
              <w:bottom w:val="single" w:sz="4" w:space="0" w:color="000000"/>
              <w:right w:val="single" w:sz="8"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856" w:type="dxa"/>
            <w:tcBorders>
              <w:left w:val="single" w:sz="8" w:space="0" w:color="000000"/>
              <w:bottom w:val="single" w:sz="8" w:space="0" w:color="000000"/>
              <w:right w:val="single" w:sz="4"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c>
          <w:tcPr>
            <w:tcW w:w="3395" w:type="dxa"/>
            <w:gridSpan w:val="5"/>
            <w:tcBorders>
              <w:bottom w:val="single" w:sz="8"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Fee Due</w:t>
            </w:r>
          </w:p>
        </w:tc>
        <w:tc>
          <w:tcPr>
            <w:tcW w:w="826" w:type="dxa"/>
            <w:tcBorders>
              <w:bottom w:val="single" w:sz="8"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691" w:type="dxa"/>
            <w:tcBorders>
              <w:bottom w:val="single" w:sz="8"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Table 2: Fee Offset Claims and Sources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
        <w:gridCol w:w="257"/>
        <w:gridCol w:w="1012"/>
        <w:gridCol w:w="519"/>
        <w:gridCol w:w="682"/>
        <w:gridCol w:w="750"/>
        <w:gridCol w:w="750"/>
        <w:gridCol w:w="927"/>
        <w:gridCol w:w="841"/>
        <w:gridCol w:w="888"/>
        <w:gridCol w:w="841"/>
        <w:gridCol w:w="1096"/>
        <w:gridCol w:w="965"/>
      </w:tblGrid>
      <w:tr>
        <w:trPr/>
        <w:tc>
          <w:tcPr>
            <w:tcW w:w="6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67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pPr>
            <w:r>
              <w:rPr/>
              <w:t> </w:t>
            </w:r>
          </w:p>
        </w:tc>
        <w:tc>
          <w:tcPr>
            <w:tcW w:w="25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pPr>
            <w:r>
              <w:rPr/>
              <w:t> </w:t>
            </w:r>
          </w:p>
        </w:tc>
        <w:tc>
          <w:tcPr>
            <w:tcW w:w="101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Registrant or Filer Name</w:t>
            </w:r>
          </w:p>
        </w:tc>
        <w:tc>
          <w:tcPr>
            <w:tcW w:w="51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 xml:space="preserve">Form or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Filing Type</w:t>
            </w:r>
          </w:p>
        </w:tc>
        <w:tc>
          <w:tcPr>
            <w:tcW w:w="68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File Number</w:t>
            </w:r>
          </w:p>
        </w:tc>
        <w:tc>
          <w:tcPr>
            <w:tcW w:w="75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Initial Filing Date</w:t>
            </w:r>
          </w:p>
        </w:tc>
        <w:tc>
          <w:tcPr>
            <w:tcW w:w="75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Filing Date</w:t>
            </w:r>
          </w:p>
        </w:tc>
        <w:tc>
          <w:tcPr>
            <w:tcW w:w="92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 Offset Claimed</w:t>
            </w:r>
          </w:p>
        </w:tc>
        <w:tc>
          <w:tcPr>
            <w:tcW w:w="8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Security</w:t>
            </w:r>
          </w:p>
          <w:p>
            <w:pPr>
              <w:pStyle w:val="TableContents"/>
              <w:bidi w:val="0"/>
              <w:jc w:val="center"/>
              <w:rPr>
                <w:rFonts w:ascii="Times New Roman" w:hAnsi="Times New Roman"/>
                <w:color w:val="000000"/>
                <w:sz w:val="16"/>
              </w:rPr>
            </w:pPr>
            <w:r>
              <w:rPr>
                <w:rFonts w:ascii="Times New Roman" w:hAnsi="Times New Roman"/>
                <w:color w:val="000000"/>
                <w:sz w:val="16"/>
              </w:rPr>
              <w:t>Type</w:t>
            </w:r>
          </w:p>
          <w:p>
            <w:pPr>
              <w:pStyle w:val="TableContents"/>
              <w:bidi w:val="0"/>
              <w:jc w:val="center"/>
              <w:rPr>
                <w:rFonts w:ascii="Times New Roman" w:hAnsi="Times New Roman"/>
                <w:color w:val="000000"/>
                <w:sz w:val="16"/>
              </w:rPr>
            </w:pPr>
            <w:r>
              <w:rPr>
                <w:rFonts w:ascii="Times New Roman" w:hAnsi="Times New Roman"/>
                <w:color w:val="000000"/>
                <w:sz w:val="16"/>
              </w:rPr>
              <w:t>Associated</w:t>
            </w:r>
          </w:p>
          <w:p>
            <w:pPr>
              <w:pStyle w:val="TableContents"/>
              <w:bidi w:val="0"/>
              <w:jc w:val="center"/>
              <w:rPr>
                <w:rFonts w:ascii="Times New Roman" w:hAnsi="Times New Roman"/>
                <w:color w:val="000000"/>
                <w:sz w:val="16"/>
              </w:rPr>
            </w:pPr>
            <w:r>
              <w:rPr>
                <w:rFonts w:ascii="Times New Roman" w:hAnsi="Times New Roman"/>
                <w:color w:val="000000"/>
                <w:sz w:val="16"/>
              </w:rPr>
              <w:t>with Fee</w:t>
            </w:r>
          </w:p>
          <w:p>
            <w:pPr>
              <w:pStyle w:val="TableContents"/>
              <w:bidi w:val="0"/>
              <w:jc w:val="center"/>
              <w:rPr>
                <w:rFonts w:ascii="Times New Roman" w:hAnsi="Times New Roman"/>
                <w:color w:val="000000"/>
                <w:sz w:val="16"/>
              </w:rPr>
            </w:pPr>
            <w:r>
              <w:rPr>
                <w:rFonts w:ascii="Times New Roman" w:hAnsi="Times New Roman"/>
                <w:color w:val="000000"/>
                <w:sz w:val="16"/>
              </w:rPr>
              <w:t>Offset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Claimed</w:t>
            </w:r>
          </w:p>
        </w:tc>
        <w:tc>
          <w:tcPr>
            <w:tcW w:w="88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Security</w:t>
            </w:r>
          </w:p>
          <w:p>
            <w:pPr>
              <w:pStyle w:val="TableContents"/>
              <w:bidi w:val="0"/>
              <w:jc w:val="center"/>
              <w:rPr>
                <w:rFonts w:ascii="Times New Roman" w:hAnsi="Times New Roman"/>
                <w:color w:val="000000"/>
                <w:sz w:val="16"/>
              </w:rPr>
            </w:pPr>
            <w:r>
              <w:rPr>
                <w:rFonts w:ascii="Times New Roman" w:hAnsi="Times New Roman"/>
                <w:color w:val="000000"/>
                <w:sz w:val="16"/>
              </w:rPr>
              <w:t>Title</w:t>
            </w:r>
          </w:p>
          <w:p>
            <w:pPr>
              <w:pStyle w:val="TableContents"/>
              <w:bidi w:val="0"/>
              <w:jc w:val="center"/>
              <w:rPr>
                <w:rFonts w:ascii="Times New Roman" w:hAnsi="Times New Roman"/>
                <w:color w:val="000000"/>
                <w:sz w:val="16"/>
              </w:rPr>
            </w:pPr>
            <w:r>
              <w:rPr>
                <w:rFonts w:ascii="Times New Roman" w:hAnsi="Times New Roman"/>
                <w:color w:val="000000"/>
                <w:sz w:val="16"/>
              </w:rPr>
              <w:t>Associated</w:t>
            </w:r>
          </w:p>
          <w:p>
            <w:pPr>
              <w:pStyle w:val="TableContents"/>
              <w:bidi w:val="0"/>
              <w:jc w:val="center"/>
              <w:rPr>
                <w:rFonts w:ascii="Times New Roman" w:hAnsi="Times New Roman"/>
                <w:color w:val="000000"/>
                <w:sz w:val="16"/>
              </w:rPr>
            </w:pPr>
            <w:r>
              <w:rPr>
                <w:rFonts w:ascii="Times New Roman" w:hAnsi="Times New Roman"/>
                <w:color w:val="000000"/>
                <w:sz w:val="16"/>
              </w:rPr>
              <w:t>with Fee</w:t>
            </w:r>
          </w:p>
          <w:p>
            <w:pPr>
              <w:pStyle w:val="TableContents"/>
              <w:bidi w:val="0"/>
              <w:jc w:val="center"/>
              <w:rPr>
                <w:rFonts w:ascii="Times New Roman" w:hAnsi="Times New Roman"/>
                <w:color w:val="000000"/>
                <w:sz w:val="16"/>
              </w:rPr>
            </w:pPr>
            <w:r>
              <w:rPr>
                <w:rFonts w:ascii="Times New Roman" w:hAnsi="Times New Roman"/>
                <w:color w:val="000000"/>
                <w:sz w:val="16"/>
              </w:rPr>
              <w:t>Offset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Claimed</w:t>
            </w:r>
          </w:p>
        </w:tc>
        <w:tc>
          <w:tcPr>
            <w:tcW w:w="8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Unsold</w:t>
            </w:r>
          </w:p>
          <w:p>
            <w:pPr>
              <w:pStyle w:val="TableContents"/>
              <w:bidi w:val="0"/>
              <w:jc w:val="center"/>
              <w:rPr>
                <w:rFonts w:ascii="Times New Roman" w:hAnsi="Times New Roman"/>
                <w:color w:val="000000"/>
                <w:sz w:val="16"/>
              </w:rPr>
            </w:pPr>
            <w:r>
              <w:rPr>
                <w:rFonts w:ascii="Times New Roman" w:hAnsi="Times New Roman"/>
                <w:color w:val="000000"/>
                <w:sz w:val="16"/>
              </w:rPr>
              <w:t>Securities</w:t>
            </w:r>
          </w:p>
          <w:p>
            <w:pPr>
              <w:pStyle w:val="TableContents"/>
              <w:bidi w:val="0"/>
              <w:jc w:val="center"/>
              <w:rPr>
                <w:rFonts w:ascii="Times New Roman" w:hAnsi="Times New Roman"/>
                <w:color w:val="000000"/>
                <w:sz w:val="16"/>
              </w:rPr>
            </w:pPr>
            <w:r>
              <w:rPr>
                <w:rFonts w:ascii="Times New Roman" w:hAnsi="Times New Roman"/>
                <w:color w:val="000000"/>
                <w:sz w:val="16"/>
              </w:rPr>
              <w:t>Associated</w:t>
            </w:r>
          </w:p>
          <w:p>
            <w:pPr>
              <w:pStyle w:val="TableContents"/>
              <w:bidi w:val="0"/>
              <w:jc w:val="center"/>
              <w:rPr>
                <w:rFonts w:ascii="Times New Roman" w:hAnsi="Times New Roman"/>
                <w:color w:val="000000"/>
                <w:sz w:val="16"/>
              </w:rPr>
            </w:pPr>
            <w:r>
              <w:rPr>
                <w:rFonts w:ascii="Times New Roman" w:hAnsi="Times New Roman"/>
                <w:color w:val="000000"/>
                <w:sz w:val="16"/>
              </w:rPr>
              <w:t>with Fee</w:t>
            </w:r>
          </w:p>
          <w:p>
            <w:pPr>
              <w:pStyle w:val="TableContents"/>
              <w:bidi w:val="0"/>
              <w:jc w:val="center"/>
              <w:rPr>
                <w:rFonts w:ascii="Times New Roman" w:hAnsi="Times New Roman"/>
                <w:color w:val="000000"/>
                <w:sz w:val="16"/>
              </w:rPr>
            </w:pPr>
            <w:r>
              <w:rPr>
                <w:rFonts w:ascii="Times New Roman" w:hAnsi="Times New Roman"/>
                <w:color w:val="000000"/>
                <w:sz w:val="16"/>
              </w:rPr>
              <w:t>Offset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Claimed</w:t>
            </w:r>
          </w:p>
        </w:tc>
        <w:tc>
          <w:tcPr>
            <w:tcW w:w="10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Unsold</w:t>
            </w:r>
          </w:p>
          <w:p>
            <w:pPr>
              <w:pStyle w:val="TableContents"/>
              <w:bidi w:val="0"/>
              <w:jc w:val="center"/>
              <w:rPr>
                <w:rFonts w:ascii="Times New Roman" w:hAnsi="Times New Roman"/>
                <w:color w:val="000000"/>
                <w:sz w:val="16"/>
              </w:rPr>
            </w:pPr>
            <w:r>
              <w:rPr>
                <w:rFonts w:ascii="Times New Roman" w:hAnsi="Times New Roman"/>
                <w:color w:val="000000"/>
                <w:sz w:val="16"/>
              </w:rPr>
              <w:t>Aggregate</w:t>
            </w:r>
          </w:p>
          <w:p>
            <w:pPr>
              <w:pStyle w:val="TableContents"/>
              <w:bidi w:val="0"/>
              <w:jc w:val="center"/>
              <w:rPr>
                <w:rFonts w:ascii="Times New Roman" w:hAnsi="Times New Roman"/>
                <w:color w:val="000000"/>
                <w:sz w:val="16"/>
              </w:rPr>
            </w:pPr>
            <w:r>
              <w:rPr>
                <w:rFonts w:ascii="Times New Roman" w:hAnsi="Times New Roman"/>
                <w:color w:val="000000"/>
                <w:sz w:val="16"/>
              </w:rPr>
              <w:t>Offering</w:t>
            </w:r>
          </w:p>
          <w:p>
            <w:pPr>
              <w:pStyle w:val="TableContents"/>
              <w:bidi w:val="0"/>
              <w:jc w:val="center"/>
              <w:rPr>
                <w:rFonts w:ascii="Times New Roman" w:hAnsi="Times New Roman"/>
                <w:color w:val="000000"/>
                <w:sz w:val="16"/>
              </w:rPr>
            </w:pPr>
            <w:r>
              <w:rPr>
                <w:rFonts w:ascii="Times New Roman" w:hAnsi="Times New Roman"/>
                <w:color w:val="000000"/>
                <w:sz w:val="16"/>
              </w:rPr>
              <w:t>Amount</w:t>
            </w:r>
          </w:p>
          <w:p>
            <w:pPr>
              <w:pStyle w:val="TableContents"/>
              <w:bidi w:val="0"/>
              <w:jc w:val="center"/>
              <w:rPr>
                <w:rFonts w:ascii="Times New Roman" w:hAnsi="Times New Roman"/>
                <w:color w:val="000000"/>
                <w:sz w:val="16"/>
              </w:rPr>
            </w:pPr>
            <w:r>
              <w:rPr>
                <w:rFonts w:ascii="Times New Roman" w:hAnsi="Times New Roman"/>
                <w:color w:val="000000"/>
                <w:sz w:val="16"/>
              </w:rPr>
              <w:t>Associated</w:t>
            </w:r>
          </w:p>
          <w:p>
            <w:pPr>
              <w:pStyle w:val="TableContents"/>
              <w:bidi w:val="0"/>
              <w:jc w:val="center"/>
              <w:rPr>
                <w:rFonts w:ascii="Times New Roman" w:hAnsi="Times New Roman"/>
                <w:color w:val="000000"/>
                <w:sz w:val="16"/>
              </w:rPr>
            </w:pPr>
            <w:r>
              <w:rPr>
                <w:rFonts w:ascii="Times New Roman" w:hAnsi="Times New Roman"/>
                <w:color w:val="000000"/>
                <w:sz w:val="16"/>
              </w:rPr>
              <w:t>with Fee</w:t>
            </w:r>
          </w:p>
          <w:p>
            <w:pPr>
              <w:pStyle w:val="TableContents"/>
              <w:bidi w:val="0"/>
              <w:jc w:val="center"/>
              <w:rPr>
                <w:rFonts w:ascii="Times New Roman" w:hAnsi="Times New Roman"/>
                <w:color w:val="000000"/>
                <w:sz w:val="16"/>
              </w:rPr>
            </w:pPr>
            <w:r>
              <w:rPr>
                <w:rFonts w:ascii="Times New Roman" w:hAnsi="Times New Roman"/>
                <w:color w:val="000000"/>
                <w:sz w:val="16"/>
              </w:rPr>
              <w:t>Offset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Claimed</w:t>
            </w:r>
          </w:p>
        </w:tc>
        <w:tc>
          <w:tcPr>
            <w:tcW w:w="96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Fee Paid</w:t>
            </w:r>
          </w:p>
          <w:p>
            <w:pPr>
              <w:pStyle w:val="TableContents"/>
              <w:bidi w:val="0"/>
              <w:jc w:val="center"/>
              <w:rPr>
                <w:rFonts w:ascii="Times New Roman" w:hAnsi="Times New Roman"/>
                <w:color w:val="000000"/>
                <w:sz w:val="16"/>
              </w:rPr>
            </w:pPr>
            <w:r>
              <w:rPr>
                <w:rFonts w:ascii="Times New Roman" w:hAnsi="Times New Roman"/>
                <w:color w:val="000000"/>
                <w:sz w:val="16"/>
              </w:rPr>
              <w:t>with Fee</w:t>
            </w:r>
          </w:p>
          <w:p>
            <w:pPr>
              <w:pStyle w:val="TableContents"/>
              <w:bidi w:val="0"/>
              <w:jc w:val="center"/>
              <w:rPr>
                <w:rFonts w:ascii="Times New Roman" w:hAnsi="Times New Roman"/>
                <w:color w:val="000000"/>
                <w:sz w:val="16"/>
              </w:rPr>
            </w:pPr>
            <w:r>
              <w:rPr>
                <w:rFonts w:ascii="Times New Roman" w:hAnsi="Times New Roman"/>
                <w:color w:val="000000"/>
                <w:sz w:val="16"/>
              </w:rPr>
              <w:t>Offset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Source</w:t>
            </w:r>
          </w:p>
        </w:tc>
      </w:tr>
      <w:tr>
        <w:trPr/>
        <w:tc>
          <w:tcPr>
            <w:tcW w:w="10205" w:type="dxa"/>
            <w:gridSpan w:val="13"/>
            <w:tcBorders>
              <w:left w:val="single" w:sz="8"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center"/>
              <w:rPr>
                <w:rFonts w:ascii="Times New Roman" w:hAnsi="Times New Roman"/>
                <w:b/>
                <w:color w:val="000000"/>
                <w:sz w:val="16"/>
              </w:rPr>
            </w:pPr>
            <w:r>
              <w:rPr>
                <w:rFonts w:ascii="Times New Roman" w:hAnsi="Times New Roman"/>
                <w:b/>
                <w:color w:val="000000"/>
                <w:sz w:val="16"/>
              </w:rPr>
              <w:t>Rule 457(p)</w:t>
            </w:r>
          </w:p>
        </w:tc>
      </w:tr>
      <w:tr>
        <w:trPr/>
        <w:tc>
          <w:tcPr>
            <w:tcW w:w="6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 Offset Claims</w:t>
            </w:r>
          </w:p>
        </w:tc>
        <w:tc>
          <w:tcPr>
            <w:tcW w:w="2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Easterly Government Properties, Inc.</w:t>
            </w:r>
          </w:p>
        </w:tc>
        <w:tc>
          <w:tcPr>
            <w:tcW w:w="5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424(b)(5)</w:t>
            </w:r>
          </w:p>
        </w:tc>
        <w:tc>
          <w:tcPr>
            <w:tcW w:w="6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333-277434</w:t>
            </w:r>
          </w:p>
        </w:tc>
        <w:tc>
          <w:tcPr>
            <w:tcW w:w="75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28, 2024</w:t>
            </w:r>
          </w:p>
        </w:tc>
        <w:tc>
          <w:tcPr>
            <w:tcW w:w="75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$29,689.06</w:t>
            </w:r>
          </w:p>
        </w:tc>
        <w:tc>
          <w:tcPr>
            <w:tcW w:w="8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Equity</w:t>
            </w:r>
          </w:p>
        </w:tc>
        <w:tc>
          <w:tcPr>
            <w:tcW w:w="8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$0.01 per share</w:t>
            </w:r>
          </w:p>
        </w:tc>
        <w:tc>
          <w:tcPr>
            <w:tcW w:w="8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$214,982,308</w:t>
            </w:r>
          </w:p>
        </w:tc>
        <w:tc>
          <w:tcPr>
            <w:tcW w:w="96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677" w:type="dxa"/>
            <w:tcBorders>
              <w:left w:val="single" w:sz="8"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 Offset Sources</w:t>
            </w:r>
          </w:p>
        </w:tc>
        <w:tc>
          <w:tcPr>
            <w:tcW w:w="2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Easterly Government Properties, Inc.</w:t>
            </w:r>
          </w:p>
        </w:tc>
        <w:tc>
          <w:tcPr>
            <w:tcW w:w="5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424(b)(5)</w:t>
            </w:r>
          </w:p>
        </w:tc>
        <w:tc>
          <w:tcPr>
            <w:tcW w:w="6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333-277434</w:t>
            </w:r>
          </w:p>
        </w:tc>
        <w:tc>
          <w:tcPr>
            <w:tcW w:w="75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5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28, 2024</w:t>
            </w:r>
          </w:p>
        </w:tc>
        <w:tc>
          <w:tcPr>
            <w:tcW w:w="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6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$11,550.00</w:t>
            </w:r>
          </w:p>
        </w:tc>
      </w:tr>
      <w:tr>
        <w:trPr/>
        <w:tc>
          <w:tcPr>
            <w:tcW w:w="6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 Offset Sources</w:t>
            </w:r>
          </w:p>
        </w:tc>
        <w:tc>
          <w:tcPr>
            <w:tcW w:w="2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Easterly Government Properties, Inc.</w:t>
            </w:r>
          </w:p>
        </w:tc>
        <w:tc>
          <w:tcPr>
            <w:tcW w:w="5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424(b)(5)</w:t>
            </w:r>
          </w:p>
        </w:tc>
        <w:tc>
          <w:tcPr>
            <w:tcW w:w="6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333-253480</w:t>
            </w:r>
          </w:p>
        </w:tc>
        <w:tc>
          <w:tcPr>
            <w:tcW w:w="75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5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25, 2021</w:t>
            </w:r>
          </w:p>
        </w:tc>
        <w:tc>
          <w:tcPr>
            <w:tcW w:w="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6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$32,730.00</w:t>
            </w:r>
          </w:p>
        </w:tc>
      </w:tr>
    </w:tbl>
    <w:p>
      <w:pPr>
        <w:pStyle w:val="TextBody"/>
        <w:bidi w:val="0"/>
        <w:jc w:val="left"/>
        <w:rPr/>
      </w:pPr>
      <w:r>
        <w:rPr/>
        <w:t> </w:t>
      </w:r>
    </w:p>
    <w:p>
      <w:pPr>
        <w:pStyle w:val="TextBody"/>
        <w:pBdr/>
        <w:bidi w:val="0"/>
        <w:ind w:left="288" w:right="432" w:hanging="547"/>
        <w:jc w:val="both"/>
        <w:rPr>
          <w:rFonts w:ascii="Times New Roman" w:hAnsi="Times New Roman"/>
          <w:color w:val="000000"/>
          <w:sz w:val="18"/>
        </w:rPr>
      </w:pPr>
      <w:r>
        <w:rPr>
          <w:rFonts w:ascii="Times New Roman" w:hAnsi="Times New Roman"/>
          <w:color w:val="000000"/>
          <w:sz w:val="18"/>
        </w:rPr>
        <w:t>(1) In accordance with Rules 456(b) and 457(r) under the Securities Act of 1933, as amended (the “Securities Act”), this “Calculation of Filing Fee” table shall be deemed to update the “Calculation of Filing Fee” table filed as Exhibit 107 to the registration statement on Form S-3 (Registration No. 333-277434) filed by Easterly Government Properties, Inc. (the “Company”) on February 28, 2024 (the “2024 Registration Statement”).</w:t>
      </w:r>
    </w:p>
    <w:p>
      <w:pPr>
        <w:pStyle w:val="TextBody"/>
        <w:pBdr/>
        <w:bidi w:val="0"/>
        <w:ind w:left="288" w:right="432" w:hanging="547"/>
        <w:jc w:val="both"/>
        <w:rPr/>
      </w:pPr>
      <w:r>
        <w:rPr/>
        <w:t> </w:t>
      </w:r>
    </w:p>
    <w:p>
      <w:pPr>
        <w:pStyle w:val="TextBody"/>
        <w:pBdr/>
        <w:bidi w:val="0"/>
        <w:ind w:left="288" w:right="432" w:hanging="547"/>
        <w:jc w:val="both"/>
        <w:rPr>
          <w:rFonts w:ascii="Times New Roman" w:hAnsi="Times New Roman"/>
          <w:color w:val="000000"/>
          <w:sz w:val="18"/>
        </w:rPr>
      </w:pPr>
      <w:r>
        <w:rPr>
          <w:rFonts w:ascii="Times New Roman" w:hAnsi="Times New Roman"/>
          <w:color w:val="000000"/>
          <w:sz w:val="18"/>
        </w:rPr>
        <w:t>(2) The Company is registering shares of common stock having a proposed maximum aggregate offering price of up to $214,982,308 pursuant to the prospectus supplement to which this Exhibit 107 relates (the “Current Prospectus Supplement”), all of which represent unsold securities previously registered pursuant to the Prior Prospectus Supplement (as defined below). The Company has previously registered the offer and sale of shares of its common stock having an aggregate offering price of $300,000,000 by means of a 424(b)(5) prospectus supplement, dated February 28, 2024 (the “Prior Prospectus Supplement”), filed pursuant to the 2024 Registration Statement. Of those shares of common stock, shares of common stock having an aggregate offering price of $85,017,692 have been sold as of the date hereof. In connection with the filing of the Prior Prospectus Supplement, the total registration fee of $44,280 was satisfied by (i) partially offsetting the registration fee pursuant to Rule 457(p) under the Securities Act with registration fees of $32,730 previously paid on the unsold securities offered by means of a prospectus supplement, dated June 22, 2021, filed pursuant to the registration statement on Form S-3 (Registration No. 333-253480) filed by the Company on February 25, 2021 and (ii) making a contemporaneous fee payment of $11,550.</w:t>
      </w:r>
    </w:p>
    <w:p>
      <w:pPr>
        <w:pStyle w:val="TextBody"/>
        <w:pBdr/>
        <w:bidi w:val="0"/>
        <w:ind w:left="288" w:right="432" w:hanging="547"/>
        <w:jc w:val="both"/>
        <w:rPr/>
      </w:pPr>
      <w:r>
        <w:rPr/>
        <w:t> </w:t>
      </w:r>
    </w:p>
    <w:p>
      <w:pPr>
        <w:pStyle w:val="TextBody"/>
        <w:bidi w:val="0"/>
        <w:ind w:left="835" w:right="432" w:hanging="0"/>
        <w:jc w:val="both"/>
        <w:rPr>
          <w:rFonts w:ascii="Times New Roman" w:hAnsi="Times New Roman"/>
          <w:color w:val="000000"/>
          <w:sz w:val="18"/>
        </w:rPr>
      </w:pPr>
      <w:r>
        <w:rPr>
          <w:rFonts w:ascii="Times New Roman" w:hAnsi="Times New Roman"/>
          <w:color w:val="000000"/>
          <w:sz w:val="18"/>
        </w:rPr>
        <w:t>The offering pursuant to the Prior Prospectus Supplement has been terminated, and the unsold securities thereunder will be offered pursuant to the Current Prospectus Supplement. Of the $44,280 filing fee previously paid, $31,731.39 is associated with the unsold securities. Pursuant to Rule 457(p) under the Securities Act, $29,689.06 of such amount is being applied to offset the entire filing fee in connection with the offering pursuant to the Current Prospectus Supplement and, accordingly, no filing fee is being paid in connection with this offering. Following such offset, $2,042.33 of the filing fee previously paid and associated with such unsold securities remains unused and available for application as a fee offset in the future in accordance with Rule 457(p).</w:t>
      </w:r>
    </w:p>
    <w:p>
      <w:pPr>
        <w:pStyle w:val="TextBody"/>
        <w:bidi w:val="0"/>
        <w:ind w:left="835" w:right="432" w:hanging="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ind w:left="288" w:right="432" w:hanging="547"/>
        <w:jc w:val="both"/>
        <w:rPr>
          <w:rFonts w:ascii="Times New Roman" w:hAnsi="Times New Roman"/>
          <w:color w:val="000000"/>
          <w:sz w:val="18"/>
        </w:rPr>
      </w:pPr>
      <w:r>
        <w:rPr>
          <w:rFonts w:ascii="Times New Roman" w:hAnsi="Times New Roman"/>
          <w:color w:val="000000"/>
          <w:sz w:val="18"/>
        </w:rPr>
        <w:t>(3) See Note (2).</w:t>
      </w:r>
    </w:p>
    <w:p>
      <w:pPr>
        <w:pStyle w:val="TextBody"/>
        <w:pBdr/>
        <w:bidi w:val="0"/>
        <w:ind w:left="288" w:right="432" w:hanging="547"/>
        <w:jc w:val="both"/>
        <w:rPr/>
      </w:pPr>
      <w:r>
        <w:rPr/>
        <w:t> </w:t>
      </w:r>
    </w:p>
    <w:p>
      <w:pPr>
        <w:pStyle w:val="TextBody"/>
        <w:pBdr/>
        <w:bidi w:val="0"/>
        <w:ind w:left="288" w:right="432" w:hanging="547"/>
        <w:jc w:val="both"/>
        <w:rPr>
          <w:rFonts w:ascii="Times New Roman" w:hAnsi="Times New Roman"/>
          <w:color w:val="000000"/>
          <w:sz w:val="18"/>
        </w:rPr>
      </w:pPr>
      <w:r>
        <w:rPr>
          <w:rFonts w:ascii="Times New Roman" w:hAnsi="Times New Roman"/>
          <w:color w:val="000000"/>
          <w:sz w:val="18"/>
        </w:rPr>
        <w:t>(4) See Note (2).</w:t>
      </w:r>
    </w:p>
    <w:p>
      <w:pPr>
        <w:pStyle w:val="TextBody"/>
        <w:bidi w:val="0"/>
        <w:jc w:val="left"/>
        <w:rPr/>
      </w:pPr>
      <w:r>
        <w:rPr/>
        <w:t> </w:t>
      </w:r>
    </w:p>
    <w:p>
      <w:pPr>
        <w:pStyle w:val="TextBody"/>
        <w:bidi w:val="0"/>
        <w:jc w:val="left"/>
        <w:rPr/>
      </w:pPr>
      <w:r>
        <w:rPr/>
        <w:t> </w:t>
      </w:r>
    </w:p>
    <w:p>
      <w:pPr>
        <w:pStyle w:val="TextBody"/>
        <w:bidi w:val="0"/>
        <w:ind w:left="835" w:right="432" w:hanging="0"/>
        <w:jc w:val="both"/>
        <w:rPr/>
      </w:pPr>
      <w:r>
        <w:rPr/>
        <w:t> </w:t>
      </w:r>
    </w:p>
    <w:p>
      <w:pPr>
        <w:pStyle w:val="TextBody"/>
        <w:bidi w:val="0"/>
        <w:ind w:left="835" w:right="432" w:hanging="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22194/000095017024021249/dea-20231231.htm" TargetMode="External"/><Relationship Id="rId5" Type="http://schemas.openxmlformats.org/officeDocument/2006/relationships/hyperlink" Target="https://www.sec.gov/Archives/edgar/data/1622194/000095017024007397/dea-20240123.htm" TargetMode="External"/><Relationship Id="rId6" Type="http://schemas.openxmlformats.org/officeDocument/2006/relationships/hyperlink" Target="https://www.sec.gov/Archives/edgar/data/0001622194/000119312515031800/d863894d8a12b.htm" TargetMode="External"/><Relationship Id="rId7" Type="http://schemas.openxmlformats.org/officeDocument/2006/relationships/hyperlink" Target="https://www.sec.gov/Archives/edgar/data/0001622194/000119312515031800/d863894d8a12b.htm" TargetMode="External"/><Relationship Id="rId8" Type="http://schemas.openxmlformats.org/officeDocument/2006/relationships/hyperlink" Target="https://www.sec.gov/Archives/edgar/data/1622194/000156459022007604/dea-ex42_34.htm" TargetMode="External"/><Relationship Id="rId9" Type="http://schemas.openxmlformats.org/officeDocument/2006/relationships/image" Target="media/image3.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52504</Words>
  <Characters>274189</Characters>
  <CharactersWithSpaces>325860</CharactersWithSpaces>
  <Paragraphs>1467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