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629920</wp:posOffset>
            </wp:positionV>
            <wp:extent cx="71494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5240"/>
                    </a:xfrm>
                    <a:prstGeom prst="rect">
                      <a:avLst/>
                    </a:prstGeom>
                    <a:noFill/>
                  </pic:spPr>
                </pic:pic>
              </a:graphicData>
            </a:graphic>
          </wp:anchor>
        </w:drawing>
        <w:t>UNITED STATES</w:t>
      </w:r>
    </w:p>
    <w:p>
      <w:pPr>
        <w:spacing w:after="0" w:line="3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170815</wp:posOffset>
            </wp:positionV>
            <wp:extent cx="14268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198120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2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April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168275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Easterly Government Properties, Inc.</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167005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p>
      <w:pPr>
        <w:spacing w:after="0" w:line="200" w:lineRule="exact"/>
        <w:rPr>
          <w:sz w:val="24"/>
          <w:szCs w:val="24"/>
          <w:color w:val="auto"/>
        </w:rPr>
      </w:pPr>
    </w:p>
    <w:p>
      <w:pPr>
        <w:spacing w:after="0" w:line="234"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4440" w:type="dxa"/>
            <w:vAlign w:val="bottom"/>
          </w:tcPr>
          <w:p>
            <w:pPr>
              <w:jc w:val="center"/>
              <w:ind w:right="733"/>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148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w w:val="95"/>
              </w:rPr>
              <w:t>001-36834</w:t>
            </w:r>
          </w:p>
        </w:tc>
      </w:tr>
      <w:tr>
        <w:trPr>
          <w:trHeight w:val="131"/>
        </w:trPr>
        <w:tc>
          <w:tcPr>
            <w:tcW w:w="4440" w:type="dxa"/>
            <w:vAlign w:val="bottom"/>
          </w:tcPr>
          <w:p>
            <w:pPr>
              <w:jc w:val="center"/>
              <w:ind w:right="733"/>
              <w:spacing w:after="0" w:line="132"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1480" w:type="dxa"/>
            <w:vAlign w:val="bottom"/>
          </w:tcPr>
          <w:p>
            <w:pPr>
              <w:ind w:left="800"/>
              <w:spacing w:after="0" w:line="132" w:lineRule="exact"/>
              <w:rPr>
                <w:sz w:val="20"/>
                <w:szCs w:val="20"/>
                <w:color w:val="auto"/>
              </w:rPr>
            </w:pPr>
            <w:r>
              <w:rPr>
                <w:rFonts w:ascii="Times New Roman" w:cs="Times New Roman" w:eastAsia="Times New Roman" w:hAnsi="Times New Roman"/>
                <w:sz w:val="12"/>
                <w:szCs w:val="12"/>
                <w:b w:val="1"/>
                <w:bCs w:val="1"/>
                <w:color w:val="auto"/>
                <w:w w:val="97"/>
              </w:rPr>
              <w:t>(Commission</w:t>
            </w:r>
          </w:p>
        </w:tc>
      </w:tr>
      <w:tr>
        <w:trPr>
          <w:trHeight w:val="166"/>
        </w:trPr>
        <w:tc>
          <w:tcPr>
            <w:tcW w:w="4440" w:type="dxa"/>
            <w:vAlign w:val="bottom"/>
          </w:tcPr>
          <w:p>
            <w:pPr>
              <w:jc w:val="center"/>
              <w:ind w:right="733"/>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1480" w:type="dxa"/>
            <w:vAlign w:val="bottom"/>
          </w:tcPr>
          <w:p>
            <w:pPr>
              <w:ind w:left="800"/>
              <w:spacing w:after="0"/>
              <w:rPr>
                <w:sz w:val="20"/>
                <w:szCs w:val="20"/>
                <w:color w:val="auto"/>
              </w:rPr>
            </w:pPr>
            <w:r>
              <w:rPr>
                <w:rFonts w:ascii="Times New Roman" w:cs="Times New Roman" w:eastAsia="Times New Roman" w:hAnsi="Times New Roman"/>
                <w:sz w:val="12"/>
                <w:szCs w:val="12"/>
                <w:b w:val="1"/>
                <w:bCs w:val="1"/>
                <w:color w:val="auto"/>
                <w:w w:val="95"/>
              </w:rPr>
              <w:t>File Number)</w:t>
            </w:r>
          </w:p>
        </w:tc>
      </w:tr>
      <w:tr>
        <w:trPr>
          <w:trHeight w:val="353"/>
        </w:trPr>
        <w:tc>
          <w:tcPr>
            <w:tcW w:w="4440" w:type="dxa"/>
            <w:vAlign w:val="bottom"/>
          </w:tcPr>
          <w:p>
            <w:pPr>
              <w:jc w:val="center"/>
              <w:ind w:right="733"/>
              <w:spacing w:after="0"/>
              <w:rPr>
                <w:sz w:val="20"/>
                <w:szCs w:val="20"/>
                <w:color w:val="auto"/>
              </w:rPr>
            </w:pPr>
            <w:r>
              <w:rPr>
                <w:rFonts w:ascii="Times New Roman" w:cs="Times New Roman" w:eastAsia="Times New Roman" w:hAnsi="Times New Roman"/>
                <w:sz w:val="16"/>
                <w:szCs w:val="16"/>
                <w:b w:val="1"/>
                <w:bCs w:val="1"/>
                <w:color w:val="auto"/>
                <w:w w:val="98"/>
              </w:rPr>
              <w:t>2001 K Street NW, Suite 775 North, Washington, D.C.</w:t>
            </w:r>
          </w:p>
        </w:tc>
        <w:tc>
          <w:tcPr>
            <w:tcW w:w="1480" w:type="dxa"/>
            <w:vAlign w:val="bottom"/>
          </w:tcPr>
          <w:p>
            <w:pPr>
              <w:spacing w:after="0"/>
              <w:rPr>
                <w:sz w:val="24"/>
                <w:szCs w:val="24"/>
                <w:color w:val="auto"/>
              </w:rPr>
            </w:pPr>
          </w:p>
        </w:tc>
      </w:tr>
      <w:tr>
        <w:trPr>
          <w:trHeight w:val="155"/>
        </w:trPr>
        <w:tc>
          <w:tcPr>
            <w:tcW w:w="4440" w:type="dxa"/>
            <w:vAlign w:val="bottom"/>
          </w:tcPr>
          <w:p>
            <w:pPr>
              <w:jc w:val="center"/>
              <w:ind w:right="713"/>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1480" w:type="dxa"/>
            <w:vAlign w:val="bottom"/>
          </w:tcPr>
          <w:p>
            <w:pPr>
              <w:spacing w:after="0"/>
              <w:rPr>
                <w:sz w:val="13"/>
                <w:szCs w:val="13"/>
                <w:color w:val="auto"/>
              </w:rPr>
            </w:pPr>
          </w:p>
        </w:tc>
      </w:tr>
    </w:tbl>
    <w:p>
      <w:pPr>
        <w:spacing w:after="0" w:line="111" w:lineRule="exact"/>
        <w:rPr>
          <w:sz w:val="24"/>
          <w:szCs w:val="24"/>
          <w:color w:val="auto"/>
        </w:rPr>
      </w:pPr>
    </w:p>
    <w:p>
      <w:pPr>
        <w:jc w:val="center"/>
        <w:ind w:left="306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(202) 595-9500</w:t>
      </w:r>
    </w:p>
    <w:p>
      <w:pPr>
        <w:spacing w:after="0" w:line="159" w:lineRule="exact"/>
        <w:rPr>
          <w:sz w:val="24"/>
          <w:szCs w:val="24"/>
          <w:color w:val="auto"/>
        </w:rPr>
      </w:pPr>
    </w:p>
    <w:p>
      <w:pPr>
        <w:jc w:val="center"/>
        <w:ind w:left="306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167005</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47-2047728</w:t>
      </w:r>
    </w:p>
    <w:p>
      <w:pPr>
        <w:spacing w:after="0" w:line="1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2"/>
          <w:szCs w:val="12"/>
          <w:b w:val="1"/>
          <w:bCs w:val="1"/>
          <w:color w:val="auto"/>
        </w:rPr>
        <w:t>(IRS Employer</w:t>
      </w:r>
    </w:p>
    <w:p>
      <w:pPr>
        <w:jc w:val="center"/>
        <w:ind w:right="1420"/>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85"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6"/>
          <w:szCs w:val="16"/>
          <w:b w:val="1"/>
          <w:bCs w:val="1"/>
          <w:color w:val="auto"/>
        </w:rPr>
        <w:t>20006</w:t>
      </w:r>
    </w:p>
    <w:p>
      <w:pPr>
        <w:spacing w:after="0" w:line="24"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992" w:lineRule="exact"/>
        <w:rPr>
          <w:sz w:val="24"/>
          <w:szCs w:val="24"/>
          <w:color w:val="auto"/>
        </w:rPr>
      </w:pPr>
    </w:p>
    <w:p>
      <w:pPr>
        <w:sectPr>
          <w:pgSz w:w="11900" w:h="16838" w:orient="portrait"/>
          <w:cols w:equalWidth="0" w:num="2">
            <w:col w:w="8180" w:space="720"/>
            <w:col w:w="2360"/>
          </w:cols>
          <w:pgMar w:left="320" w:top="1173" w:right="319" w:bottom="1440" w:gutter="0" w:footer="0" w:header="0"/>
          <w:type w:val="continuous"/>
        </w:sect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Instructions A.2. below):</w:t>
      </w:r>
    </w:p>
    <w:p>
      <w:pPr>
        <w:spacing w:after="0" w:line="165" w:lineRule="exact"/>
        <w:rPr>
          <w:sz w:val="24"/>
          <w:szCs w:val="24"/>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460" w:hanging="45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2" w:lineRule="exact"/>
        <w:rPr>
          <w:sz w:val="24"/>
          <w:szCs w:val="24"/>
          <w:color w:val="auto"/>
        </w:rPr>
      </w:pPr>
    </w:p>
    <w:tbl>
      <w:tblPr>
        <w:tblLayout w:type="fixed"/>
        <w:tblInd w:w="10" w:type="dxa"/>
        <w:tblCellMar>
          <w:top w:w="0" w:type="dxa"/>
          <w:left w:w="0" w:type="dxa"/>
          <w:bottom w:w="0" w:type="dxa"/>
          <w:right w:w="0" w:type="dxa"/>
        </w:tblCellMar>
      </w:tblPr>
      <w:tr>
        <w:trPr>
          <w:trHeight w:val="158"/>
        </w:trPr>
        <w:tc>
          <w:tcPr>
            <w:tcW w:w="4380" w:type="dxa"/>
            <w:vAlign w:val="bottom"/>
            <w:tcBorders>
              <w:top w:val="single" w:sz="8" w:color="auto"/>
              <w:left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Trading</w:t>
            </w:r>
          </w:p>
        </w:tc>
        <w:tc>
          <w:tcPr>
            <w:tcW w:w="5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r>
      <w:tr>
        <w:trPr>
          <w:trHeight w:val="134"/>
        </w:trPr>
        <w:tc>
          <w:tcPr>
            <w:tcW w:w="4380" w:type="dxa"/>
            <w:vAlign w:val="bottom"/>
            <w:tcBorders>
              <w:left w:val="single" w:sz="8" w:color="auto"/>
              <w:bottom w:val="single" w:sz="8" w:color="auto"/>
              <w:right w:val="single" w:sz="8" w:color="auto"/>
            </w:tcBorders>
          </w:tcPr>
          <w:p>
            <w:pPr>
              <w:spacing w:after="0"/>
              <w:rPr>
                <w:sz w:val="11"/>
                <w:szCs w:val="11"/>
                <w:color w:val="auto"/>
              </w:rPr>
            </w:pPr>
          </w:p>
        </w:tc>
        <w:tc>
          <w:tcPr>
            <w:tcW w:w="1720" w:type="dxa"/>
            <w:vAlign w:val="bottom"/>
            <w:tcBorders>
              <w:bottom w:val="single" w:sz="8" w:color="auto"/>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w w:val="97"/>
              </w:rPr>
              <w:t>Symbol(s)</w:t>
            </w:r>
          </w:p>
        </w:tc>
        <w:tc>
          <w:tcPr>
            <w:tcW w:w="5160" w:type="dxa"/>
            <w:vAlign w:val="bottom"/>
            <w:tcBorders>
              <w:bottom w:val="single" w:sz="8" w:color="auto"/>
              <w:right w:val="single" w:sz="8" w:color="auto"/>
            </w:tcBorders>
          </w:tcPr>
          <w:p>
            <w:pPr>
              <w:spacing w:after="0"/>
              <w:rPr>
                <w:sz w:val="11"/>
                <w:szCs w:val="11"/>
                <w:color w:val="auto"/>
              </w:rPr>
            </w:pPr>
          </w:p>
        </w:tc>
      </w:tr>
      <w:tr>
        <w:trPr>
          <w:trHeight w:val="165"/>
        </w:trPr>
        <w:tc>
          <w:tcPr>
            <w:tcW w:w="4380" w:type="dxa"/>
            <w:vAlign w:val="bottom"/>
            <w:tcBorders>
              <w:left w:val="single" w:sz="8" w:color="auto"/>
              <w:bottom w:val="single" w:sz="8" w:color="auto"/>
              <w:right w:val="single" w:sz="8" w:color="auto"/>
            </w:tcBorders>
          </w:tcPr>
          <w:p>
            <w:pPr>
              <w:ind w:left="1680"/>
              <w:spacing w:after="0" w:line="165" w:lineRule="exact"/>
              <w:rPr>
                <w:sz w:val="20"/>
                <w:szCs w:val="20"/>
                <w:color w:val="auto"/>
              </w:rPr>
            </w:pPr>
            <w:r>
              <w:rPr>
                <w:rFonts w:ascii="Times New Roman" w:cs="Times New Roman" w:eastAsia="Times New Roman" w:hAnsi="Times New Roman"/>
                <w:sz w:val="16"/>
                <w:szCs w:val="16"/>
                <w:color w:val="auto"/>
              </w:rPr>
              <w:t>Common Stock</w:t>
            </w:r>
          </w:p>
        </w:tc>
        <w:tc>
          <w:tcPr>
            <w:tcW w:w="172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7"/>
              </w:rPr>
              <w:t>DEA</w:t>
            </w:r>
          </w:p>
        </w:tc>
        <w:tc>
          <w:tcPr>
            <w:tcW w:w="5160" w:type="dxa"/>
            <w:vAlign w:val="bottom"/>
            <w:tcBorders>
              <w:bottom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New York Stock Exchange</w:t>
            </w:r>
          </w:p>
        </w:tc>
      </w:tr>
      <w:tr>
        <w:trPr>
          <w:trHeight w:val="1036"/>
        </w:trPr>
        <w:tc>
          <w:tcPr>
            <w:tcW w:w="4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type w:val="continuous"/>
        </w:sectPr>
      </w:pPr>
    </w:p>
    <w:bookmarkStart w:id="1" w:name="page2"/>
    <w:bookmarkEnd w:id="1"/>
    <w:p>
      <w:pPr>
        <w:ind w:right="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0"/>
          <w:szCs w:val="20"/>
          <w:color w:val="auto"/>
        </w:rPr>
      </w:pPr>
    </w:p>
    <w:p>
      <w:pPr>
        <w:ind w:firstLine="51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513080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80"/>
          </w:cols>
          <w:pgMar w:left="320" w:top="1022"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2.02 Results of Operations and Financial Condition.</w:t>
      </w:r>
    </w:p>
    <w:p>
      <w:pPr>
        <w:spacing w:after="0" w:line="1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color w:val="auto"/>
        </w:rPr>
        <w:t>On April 27, 2026, we issued a press release announcing our results of operations for the first quarter ended March 31, 2026. A copy of this press release as well as a copy of our supplemental information package are available on our website and are attached hereto as Exhibits 99.1 and 99.2 and incorporated herein by reference. The information in this Item 2.02 as well as the attached Exhibits 99.1 and 99.2 are being furnished and shall not be deemed “filed” for any purpose, including for the purposes of Section 18 of the Securities and Exchange Act of 1934, as amended (the “Exchange Act”), or otherwise subject to the liabilities of that Section, and shall not be deemed incorporated by reference into any filing under the Securities Act of 1933, as amended, or the Exchange Act regardless of any general incorporation language in such filing.</w:t>
      </w:r>
    </w:p>
    <w:p>
      <w:pPr>
        <w:spacing w:after="0" w:line="16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 xml:space="preserve">We will host a webcast and conference call at 11:00 a.m. Eastern Time on April 27, 2026, to review our first quarter ended 2026 performance, discuss recent events and conduct a question-and-answer session. A live webcast will be available in the Investor Relations section of our website. Please note that the full text of the press release and supplemental information package are available through our website at </w:t>
      </w:r>
      <w:r>
        <w:rPr>
          <w:rFonts w:ascii="Times New Roman" w:cs="Times New Roman" w:eastAsia="Times New Roman" w:hAnsi="Times New Roman"/>
          <w:sz w:val="16"/>
          <w:szCs w:val="16"/>
          <w:u w:val="single" w:color="auto"/>
          <w:color w:val="auto"/>
        </w:rPr>
        <w:t>ir.easterlyreit.com</w:t>
      </w:r>
      <w:r>
        <w:rPr>
          <w:rFonts w:ascii="Times New Roman" w:cs="Times New Roman" w:eastAsia="Times New Roman" w:hAnsi="Times New Roman"/>
          <w:sz w:val="16"/>
          <w:szCs w:val="16"/>
          <w:color w:val="auto"/>
        </w:rPr>
        <w:t>. The information contained on our website is not incorporated by reference herein.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w w:val="95"/>
              </w:rPr>
              <w:t>Exhibit Number</w:t>
            </w:r>
          </w:p>
        </w:tc>
        <w:tc>
          <w:tcPr>
            <w:tcW w:w="500" w:type="dxa"/>
            <w:vAlign w:val="bottom"/>
          </w:tcPr>
          <w:p>
            <w:pPr>
              <w:spacing w:after="0"/>
              <w:rPr>
                <w:sz w:val="12"/>
                <w:szCs w:val="12"/>
                <w:color w:val="auto"/>
              </w:rPr>
            </w:pPr>
          </w:p>
        </w:tc>
        <w:tc>
          <w:tcPr>
            <w:tcW w:w="98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Description</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0" w:type="dxa"/>
            <w:vAlign w:val="bottom"/>
            <w:vMerge w:val="continue"/>
          </w:tcPr>
          <w:p>
            <w:pPr>
              <w:spacing w:after="0"/>
              <w:rPr>
                <w:sz w:val="9"/>
                <w:szCs w:val="9"/>
                <w:color w:val="auto"/>
              </w:rPr>
            </w:pPr>
          </w:p>
        </w:tc>
        <w:tc>
          <w:tcPr>
            <w:tcW w:w="820" w:type="dxa"/>
            <w:vAlign w:val="bottom"/>
          </w:tcPr>
          <w:p>
            <w:pPr>
              <w:spacing w:after="0" w:line="110" w:lineRule="exact"/>
              <w:rPr>
                <w:sz w:val="20"/>
                <w:szCs w:val="20"/>
                <w:color w:val="auto"/>
              </w:rPr>
            </w:pPr>
            <w:r>
              <w:rPr>
                <w:rFonts w:ascii="Times New Roman" w:cs="Times New Roman" w:eastAsia="Times New Roman" w:hAnsi="Times New Roman"/>
                <w:sz w:val="12"/>
                <w:szCs w:val="12"/>
                <w:color w:val="auto"/>
              </w:rPr>
              <w:t>99.1</w:t>
            </w:r>
          </w:p>
        </w:tc>
        <w:tc>
          <w:tcPr>
            <w:tcW w:w="500" w:type="dxa"/>
            <w:vAlign w:val="bottom"/>
          </w:tcPr>
          <w:p>
            <w:pPr>
              <w:spacing w:after="0"/>
              <w:rPr>
                <w:sz w:val="9"/>
                <w:szCs w:val="9"/>
                <w:color w:val="auto"/>
              </w:rPr>
            </w:pPr>
          </w:p>
        </w:tc>
        <w:tc>
          <w:tcPr>
            <w:tcW w:w="9860" w:type="dxa"/>
            <w:vAlign w:val="bottom"/>
            <w:gridSpan w:val="4"/>
          </w:tcPr>
          <w:p>
            <w:pPr>
              <w:spacing w:after="0" w:line="110" w:lineRule="exact"/>
              <w:rPr>
                <w:sz w:val="20"/>
                <w:szCs w:val="20"/>
                <w:color w:val="auto"/>
              </w:rPr>
            </w:pPr>
            <w:r>
              <w:rPr>
                <w:rFonts w:ascii="Times New Roman" w:cs="Times New Roman" w:eastAsia="Times New Roman" w:hAnsi="Times New Roman"/>
                <w:sz w:val="12"/>
                <w:szCs w:val="12"/>
                <w:color w:val="0000FF"/>
              </w:rPr>
              <w:t>Press Release dated April 27, 2026.</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ind w:left="80"/>
              <w:spacing w:after="0" w:line="130" w:lineRule="exact"/>
              <w:rPr>
                <w:sz w:val="20"/>
                <w:szCs w:val="20"/>
                <w:color w:val="auto"/>
              </w:rPr>
            </w:pPr>
            <w:r>
              <w:rPr>
                <w:rFonts w:ascii="Times New Roman" w:cs="Times New Roman" w:eastAsia="Times New Roman" w:hAnsi="Times New Roman"/>
                <w:sz w:val="13"/>
                <w:szCs w:val="13"/>
                <w:color w:val="auto"/>
              </w:rPr>
              <w:t>99.2</w:t>
            </w:r>
          </w:p>
        </w:tc>
        <w:tc>
          <w:tcPr>
            <w:tcW w:w="500" w:type="dxa"/>
            <w:vAlign w:val="bottom"/>
          </w:tcPr>
          <w:p>
            <w:pPr>
              <w:spacing w:after="0" w:line="20" w:lineRule="exact"/>
              <w:rPr>
                <w:sz w:val="1"/>
                <w:szCs w:val="1"/>
                <w:color w:val="auto"/>
              </w:rPr>
            </w:pPr>
          </w:p>
        </w:tc>
        <w:tc>
          <w:tcPr>
            <w:tcW w:w="1800" w:type="dxa"/>
            <w:vAlign w:val="bottom"/>
            <w:tcBorders>
              <w:right w:val="single" w:sz="8" w:color="0000EE"/>
            </w:tcBorders>
            <w:gridSpan w:val="2"/>
            <w:shd w:val="clear" w:color="auto" w:fill="0000FF"/>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90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9860" w:type="dxa"/>
            <w:vAlign w:val="bottom"/>
            <w:gridSpan w:val="4"/>
          </w:tcPr>
          <w:p>
            <w:pPr>
              <w:spacing w:after="0" w:line="110" w:lineRule="exact"/>
              <w:rPr>
                <w:sz w:val="20"/>
                <w:szCs w:val="20"/>
                <w:color w:val="auto"/>
              </w:rPr>
            </w:pPr>
            <w:r>
              <w:rPr>
                <w:rFonts w:ascii="Times New Roman" w:cs="Times New Roman" w:eastAsia="Times New Roman" w:hAnsi="Times New Roman"/>
                <w:sz w:val="12"/>
                <w:szCs w:val="12"/>
                <w:color w:val="0000FF"/>
              </w:rPr>
              <w:t>Easterly Government Properties, Inc. Supplemental Information Package for the quarter ended March 31, 2026.</w:t>
            </w:r>
          </w:p>
        </w:tc>
        <w:tc>
          <w:tcPr>
            <w:tcW w:w="0" w:type="dxa"/>
            <w:vAlign w:val="bottom"/>
          </w:tcPr>
          <w:p>
            <w:pPr>
              <w:spacing w:after="0"/>
              <w:rPr>
                <w:sz w:val="1"/>
                <w:szCs w:val="1"/>
                <w:color w:val="auto"/>
              </w:rPr>
            </w:pPr>
          </w:p>
        </w:tc>
      </w:tr>
      <w:tr>
        <w:trPr>
          <w:trHeight w:val="156"/>
        </w:trPr>
        <w:tc>
          <w:tcPr>
            <w:tcW w:w="90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3"/>
                <w:szCs w:val="13"/>
                <w:color w:val="auto"/>
              </w:rPr>
              <w:t>104</w:t>
            </w:r>
          </w:p>
        </w:tc>
        <w:tc>
          <w:tcPr>
            <w:tcW w:w="500" w:type="dxa"/>
            <w:vAlign w:val="bottom"/>
          </w:tcPr>
          <w:p>
            <w:pPr>
              <w:spacing w:after="0"/>
              <w:rPr>
                <w:sz w:val="13"/>
                <w:szCs w:val="13"/>
                <w:color w:val="auto"/>
              </w:rPr>
            </w:pPr>
          </w:p>
        </w:tc>
        <w:tc>
          <w:tcPr>
            <w:tcW w:w="56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c>
          <w:tcPr>
            <w:tcW w:w="4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0"/>
        </w:trPr>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EASTERLY GOVERNMENT</w:t>
      </w:r>
    </w:p>
    <w:p>
      <w:pPr>
        <w:spacing w:after="0" w:line="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PROPERTIES, INC.</w:t>
      </w:r>
    </w:p>
    <w:p>
      <w:pPr>
        <w:spacing w:after="0" w:line="189" w:lineRule="exact"/>
        <w:rPr>
          <w:sz w:val="20"/>
          <w:szCs w:val="20"/>
          <w:color w:val="auto"/>
        </w:rPr>
      </w:pPr>
    </w:p>
    <w:tbl>
      <w:tblPr>
        <w:tblLayout w:type="fixed"/>
        <w:tblInd w:w="6760" w:type="dxa"/>
        <w:tblCellMar>
          <w:top w:w="0" w:type="dxa"/>
          <w:left w:w="0" w:type="dxa"/>
          <w:bottom w:w="0" w:type="dxa"/>
          <w:right w:w="0" w:type="dxa"/>
        </w:tblCellMar>
      </w:tblP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Allison E. Marino</w:t>
            </w:r>
          </w:p>
        </w:tc>
      </w:tr>
      <w:tr>
        <w:trPr>
          <w:trHeight w:val="173"/>
        </w:trPr>
        <w:tc>
          <w:tcPr>
            <w:tcW w:w="72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Name:</w:t>
            </w:r>
          </w:p>
        </w:tc>
        <w:tc>
          <w:tcPr>
            <w:tcW w:w="378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Allison E. Marino</w:t>
            </w:r>
          </w:p>
        </w:tc>
      </w:tr>
      <w:tr>
        <w:trPr>
          <w:trHeight w:val="206"/>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Chief Financial Officer</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662305</wp:posOffset>
            </wp:positionV>
            <wp:extent cx="717486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4" w:name="page5"/>
    <w:bookmarkEnd w:id="4"/>
    <w:p>
      <w:pPr>
        <w:ind w:left="10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t>Exhibit 99.1</w:t>
      </w:r>
    </w:p>
    <w:p>
      <w:pPr>
        <w:spacing w:after="0" w:line="379" w:lineRule="exact"/>
        <w:rPr>
          <w:sz w:val="20"/>
          <w:szCs w:val="20"/>
          <w:color w:val="auto"/>
        </w:rPr>
      </w:pPr>
    </w:p>
    <w:p>
      <w:pPr>
        <w:ind w:left="3900"/>
        <w:spacing w:after="0"/>
        <w:rPr>
          <w:sz w:val="20"/>
          <w:szCs w:val="20"/>
          <w:color w:val="auto"/>
        </w:rPr>
      </w:pPr>
      <w:r>
        <w:rPr>
          <w:rFonts w:ascii="Arial" w:cs="Arial" w:eastAsia="Arial" w:hAnsi="Arial"/>
          <w:sz w:val="17"/>
          <w:szCs w:val="17"/>
          <w:b w:val="1"/>
          <w:bCs w:val="1"/>
          <w:color w:val="auto"/>
        </w:rPr>
        <w:t>EASTERLY GOVERNMENT PROPERTIES</w:t>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REPORTS FIRST QUARTER 2026 RESULTS</w:t>
      </w:r>
    </w:p>
    <w:p>
      <w:pPr>
        <w:spacing w:after="0" w:line="167" w:lineRule="exact"/>
        <w:rPr>
          <w:sz w:val="20"/>
          <w:szCs w:val="20"/>
          <w:color w:val="auto"/>
        </w:rPr>
      </w:pPr>
    </w:p>
    <w:p>
      <w:pPr>
        <w:jc w:val="both"/>
        <w:ind w:right="20"/>
        <w:spacing w:after="0" w:line="252" w:lineRule="auto"/>
        <w:rPr>
          <w:sz w:val="20"/>
          <w:szCs w:val="20"/>
          <w:color w:val="auto"/>
        </w:rPr>
      </w:pPr>
      <w:r>
        <w:rPr>
          <w:rFonts w:ascii="Arial" w:cs="Arial" w:eastAsia="Arial" w:hAnsi="Arial"/>
          <w:sz w:val="17"/>
          <w:szCs w:val="17"/>
          <w:color w:val="auto"/>
        </w:rPr>
        <w:t>WASHINGTON, D.C. – April 27, 2026 – Easterly Government Properties, Inc. (NYSE: DEA) (the “Company” or “Easterly”), a fully integrated real estate investment trust (“REIT”) focused primarily on the acquisition, development and management of Class A commercial properties leased to the U.S. Government and its adjacent partners, today announced its results of operations for the quarter ended March 31, 2026.</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Highlights for the Quarter Ended March 31, 2026:</w:t>
      </w:r>
    </w:p>
    <w:p>
      <w:pPr>
        <w:spacing w:after="0" w:line="90" w:lineRule="exact"/>
        <w:rPr>
          <w:sz w:val="20"/>
          <w:szCs w:val="20"/>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Net income of $1.4 million, or $0.03 per share on a fully diluted basis</w:t>
      </w:r>
    </w:p>
    <w:p>
      <w:pPr>
        <w:spacing w:after="0" w:line="99" w:lineRule="exact"/>
        <w:rPr>
          <w:rFonts w:ascii="Times New Roman" w:cs="Times New Roman" w:eastAsia="Times New Roman" w:hAnsi="Times New Roman"/>
          <w:sz w:val="17"/>
          <w:szCs w:val="17"/>
          <w:color w:val="auto"/>
        </w:rPr>
      </w:pPr>
    </w:p>
    <w:p>
      <w:pPr>
        <w:ind w:left="740" w:hanging="370"/>
        <w:spacing w:after="0"/>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Core FFO of $37.1 million, or $0.77 per share on a fully diluted basis</w:t>
      </w:r>
    </w:p>
    <w:p>
      <w:pPr>
        <w:spacing w:after="0" w:line="99" w:lineRule="exact"/>
        <w:rPr>
          <w:rFonts w:ascii="Times New Roman" w:cs="Times New Roman" w:eastAsia="Times New Roman" w:hAnsi="Times New Roman"/>
          <w:sz w:val="17"/>
          <w:szCs w:val="17"/>
          <w:color w:val="auto"/>
        </w:rPr>
      </w:pPr>
    </w:p>
    <w:p>
      <w:pPr>
        <w:ind w:left="740" w:right="20" w:hanging="370"/>
        <w:spacing w:after="0" w:line="27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Acquired a 297,713 square foot campus leased primarily to the Commonwealth of Virginia with lease expirations ranging from 2027 to 2036.</w:t>
      </w:r>
    </w:p>
    <w:p>
      <w:pPr>
        <w:spacing w:after="0" w:line="29" w:lineRule="exact"/>
        <w:rPr>
          <w:rFonts w:ascii="Times New Roman" w:cs="Times New Roman" w:eastAsia="Times New Roman" w:hAnsi="Times New Roman"/>
          <w:sz w:val="17"/>
          <w:szCs w:val="17"/>
          <w:color w:val="auto"/>
        </w:rPr>
      </w:pPr>
    </w:p>
    <w:p>
      <w:pPr>
        <w:ind w:left="740" w:hanging="370"/>
        <w:spacing w:after="0" w:line="272"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Entered into a mezzanine construction loan agreement to lend $7.0 million to a developer that will accrue interest monthly at a fixed market rate of 12.00% per annum.</w:t>
      </w:r>
    </w:p>
    <w:p>
      <w:pPr>
        <w:spacing w:after="0" w:line="29" w:lineRule="exact"/>
        <w:rPr>
          <w:rFonts w:ascii="Times New Roman" w:cs="Times New Roman" w:eastAsia="Times New Roman" w:hAnsi="Times New Roman"/>
          <w:sz w:val="17"/>
          <w:szCs w:val="17"/>
          <w:color w:val="auto"/>
        </w:rPr>
      </w:pPr>
    </w:p>
    <w:p>
      <w:pPr>
        <w:jc w:val="both"/>
        <w:ind w:left="740" w:hanging="370"/>
        <w:spacing w:after="0" w:line="245" w:lineRule="auto"/>
        <w:tabs>
          <w:tab w:leader="none" w:pos="740"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Issued an aggregate of 94,170 shares of the Company's common stock in settlement of previously entered into forward sales transactions through the Company's $300.0 million ATM Program launched in June 2021 (the “2021 ATM Program”). These shares were then physically settled in the same quarter at a weighted average price per share of $23.01, raising net proceeds to the Company of approximately $2.1 million.</w:t>
      </w:r>
    </w:p>
    <w:p>
      <w:pPr>
        <w:spacing w:after="0" w:line="5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entered 2026 with clear priorities, and the first quarter demonstrates progress toward them,” said Darrell Crate, President &amp; CEO of Easterly Government Properties. “Stable operating performance and the successful execution of our first mezzanine investment highlight our strategic approach to capital allocation and earnings growth.”</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Portfolio Operations</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As of March 31, 2026, the Company or its joint venture owned 106 operating properties in the United States encompassing approximately 10.7 million leased square feet, including 93 operating properties that were leased primarily to U.S. Government tenant agencies, eight operating properties leased primarily to tenant agencies of a U.S. state or local government and five operating properties that were entirely leased to private tenants. In addition, the Company wholly owned three properties in development that the Company expects will encompass approximately 0.2 million rentable square feet upon completion.</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first development project, located in Flagstaff, Arizona, is currently under construction and, once complete, a 20-year lease with the GSA is expected to commence for the beneficial use of the United States Judiciary. The second project, located in Fort Myers, Florida, is currently under construction and, once complete, a 25-year lease with the Florida Department of Law Enforcement is expected to commence for their beneficial use. The third project, located in Medford, Oregon, is currently under construction and, once complete, a 20-year lease with the GSA is expected to commence for the beneficial use of the United States Judiciary.</w:t>
      </w:r>
    </w:p>
    <w:p>
      <w:pPr>
        <w:spacing w:after="0" w:line="114"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As of March 31, 2026, the portfolio had a weighted average age of 16.9 years, based upon the date properties were built or renovated-to-suit, and had a weighted average remaining lease term of 9.4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715645</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17" w:right="319" w:bottom="1440" w:gutter="0" w:footer="0" w:header="0"/>
        </w:sectPr>
      </w:pPr>
    </w:p>
    <w:bookmarkStart w:id="5" w:name="page6"/>
    <w:bookmarkEnd w:id="5"/>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Acquisitions Activity</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Acquisitions</w:t>
      </w:r>
    </w:p>
    <w:p>
      <w:pPr>
        <w:spacing w:after="0" w:line="14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January 16, 2026, the Company acquired a 297,713 square foot campus consisting of three assets near Richmond, Virginia. The assets are leased primarily to the Commonwealth of Virginia and have lease expirations ranging from 2027 to 2036.</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and Capital Markets Activity</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7"/>
          <w:szCs w:val="17"/>
          <w:color w:val="auto"/>
        </w:rPr>
        <w:t>As of March 31, 2026, the Company had total indebtedness of approximately $1.7 billion comprised of $245.1 million outstanding on its senior unsecured revolving credit facility, $100.0 million outstanding on its 2016 term loan facility, $ 200.0 million outstanding on its 2018 term loan facility, $1.0 billion of senior unsecured notes, and $150.5 million of mortgage debt (excluding unamortized premiums and discounts and deferred financing fees). The Company's outstanding debt had a weighted average maturity of 3.9 years and a weighted average interest rate of 4.6%. Further, the Company's Net Debt to total enterprise value was 62.5% and its Adjusted Net Debt to annualized quarterly pro forma EBITDA ratio was 7.3x.</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w:t>
      </w:r>
    </w:p>
    <w:p>
      <w:pPr>
        <w:spacing w:after="0" w:line="9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On April 22, 2026, the Board of Directors of Easterly approved a cash dividend for the first quarter of 2026 in the amount of $0.45 per common share. The dividend will be payable May 21, 2026 to shareholders of record on May 7, 2026.</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Guidance</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guidance is forward-looking and reflects management’s view of current and future market conditions. The Company’s actual results may differ materially from this guidance.</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Outlook for the 12 Months Ending December 31, 2026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raising the lower end of its guidance for full-year 2026 Core FFO per share on a fully diluted basis at a range of $3.06 - $3.12.</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b w:val="1"/>
                <w:bCs w:val="1"/>
                <w:color w:val="auto"/>
              </w:rPr>
              <w:t>Low</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High</w:t>
            </w:r>
          </w:p>
        </w:tc>
      </w:tr>
      <w:tr>
        <w:trPr>
          <w:trHeight w:val="173"/>
        </w:trPr>
        <w:tc>
          <w:tcPr>
            <w:tcW w:w="20" w:type="dxa"/>
            <w:vAlign w:val="bottom"/>
          </w:tcPr>
          <w:p>
            <w:pPr>
              <w:spacing w:after="0"/>
              <w:rPr>
                <w:sz w:val="15"/>
                <w:szCs w:val="15"/>
                <w:color w:val="auto"/>
              </w:rPr>
            </w:pPr>
          </w:p>
        </w:tc>
        <w:tc>
          <w:tcPr>
            <w:tcW w:w="66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7"/>
                <w:szCs w:val="17"/>
                <w:color w:val="auto"/>
              </w:rPr>
              <w:t>Net income (loss) per share – fully diluted basis</w:t>
            </w:r>
          </w:p>
        </w:tc>
        <w:tc>
          <w:tcPr>
            <w:tcW w:w="1800" w:type="dxa"/>
            <w:vAlign w:val="bottom"/>
            <w:tcBorders>
              <w:top w:val="single" w:sz="8" w:color="CCEEFF"/>
            </w:tcBorders>
            <w:gridSpan w:val="2"/>
            <w:shd w:val="clear" w:color="auto" w:fill="CCEEFF"/>
          </w:tcPr>
          <w:p>
            <w:pPr>
              <w:jc w:val="right"/>
              <w:ind w:right="180"/>
              <w:spacing w:after="0" w:line="173" w:lineRule="exact"/>
              <w:rPr>
                <w:sz w:val="20"/>
                <w:szCs w:val="20"/>
                <w:color w:val="auto"/>
              </w:rPr>
            </w:pPr>
            <w:r>
              <w:rPr>
                <w:rFonts w:ascii="Arial" w:cs="Arial" w:eastAsia="Arial" w:hAnsi="Arial"/>
                <w:sz w:val="17"/>
                <w:szCs w:val="17"/>
                <w:color w:val="auto"/>
              </w:rPr>
              <w:t>$</w:t>
            </w:r>
          </w:p>
        </w:tc>
        <w:tc>
          <w:tcPr>
            <w:tcW w:w="980" w:type="dxa"/>
            <w:vAlign w:val="bottom"/>
            <w:tcBorders>
              <w:top w:val="single" w:sz="8" w:color="CCEEFF"/>
            </w:tcBorders>
            <w:shd w:val="clear" w:color="auto" w:fill="CCEEFF"/>
          </w:tcPr>
          <w:p>
            <w:pPr>
              <w:jc w:val="right"/>
              <w:ind w:right="313"/>
              <w:spacing w:after="0" w:line="173" w:lineRule="exact"/>
              <w:rPr>
                <w:sz w:val="20"/>
                <w:szCs w:val="20"/>
                <w:color w:val="auto"/>
              </w:rPr>
            </w:pPr>
            <w:r>
              <w:rPr>
                <w:rFonts w:ascii="Arial" w:cs="Arial" w:eastAsia="Arial" w:hAnsi="Arial"/>
                <w:sz w:val="17"/>
                <w:szCs w:val="17"/>
                <w:color w:val="auto"/>
              </w:rPr>
              <w:t>0.36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jc w:val="right"/>
              <w:ind w:right="293"/>
              <w:spacing w:after="0" w:line="173" w:lineRule="exact"/>
              <w:rPr>
                <w:sz w:val="20"/>
                <w:szCs w:val="20"/>
                <w:color w:val="auto"/>
              </w:rPr>
            </w:pPr>
            <w:r>
              <w:rPr>
                <w:rFonts w:ascii="Arial" w:cs="Arial" w:eastAsia="Arial" w:hAnsi="Arial"/>
                <w:sz w:val="17"/>
                <w:szCs w:val="17"/>
                <w:color w:val="auto"/>
              </w:rPr>
              <w:t>0.42</w:t>
            </w: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Plus: Company’s share of real estate depreciation and amortization</w:t>
            </w:r>
          </w:p>
        </w:tc>
        <w:tc>
          <w:tcPr>
            <w:tcW w:w="1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13"/>
              <w:spacing w:after="0" w:line="189" w:lineRule="exact"/>
              <w:rPr>
                <w:sz w:val="20"/>
                <w:szCs w:val="20"/>
                <w:color w:val="auto"/>
              </w:rPr>
            </w:pPr>
            <w:r>
              <w:rPr>
                <w:rFonts w:ascii="Arial" w:cs="Arial" w:eastAsia="Arial" w:hAnsi="Arial"/>
                <w:sz w:val="17"/>
                <w:szCs w:val="17"/>
                <w:color w:val="auto"/>
              </w:rPr>
              <w:t>2.68</w:t>
            </w:r>
          </w:p>
        </w:tc>
        <w:tc>
          <w:tcPr>
            <w:tcW w:w="1440" w:type="dxa"/>
            <w:vAlign w:val="bottom"/>
            <w:gridSpan w:val="3"/>
          </w:tcPr>
          <w:p>
            <w:pPr>
              <w:jc w:val="right"/>
              <w:ind w:right="293"/>
              <w:spacing w:after="0" w:line="189" w:lineRule="exact"/>
              <w:rPr>
                <w:sz w:val="20"/>
                <w:szCs w:val="20"/>
                <w:color w:val="auto"/>
              </w:rPr>
            </w:pPr>
            <w:r>
              <w:rPr>
                <w:rFonts w:ascii="Arial" w:cs="Arial" w:eastAsia="Arial" w:hAnsi="Arial"/>
                <w:sz w:val="17"/>
                <w:szCs w:val="17"/>
                <w:color w:val="auto"/>
              </w:rPr>
              <w:t>2.68</w:t>
            </w: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FFO per share – fully diluted basis</w:t>
            </w:r>
          </w:p>
        </w:tc>
        <w:tc>
          <w:tcPr>
            <w:tcW w:w="1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rPr>
              <w:t>3.04</w:t>
            </w:r>
          </w:p>
        </w:tc>
        <w:tc>
          <w:tcPr>
            <w:tcW w:w="1440" w:type="dxa"/>
            <w:vAlign w:val="bottom"/>
            <w:gridSpan w:val="3"/>
            <w:shd w:val="clear" w:color="auto" w:fill="CCEEFF"/>
          </w:tcPr>
          <w:p>
            <w:pPr>
              <w:jc w:val="right"/>
              <w:ind w:right="293"/>
              <w:spacing w:after="0" w:line="189" w:lineRule="exact"/>
              <w:rPr>
                <w:sz w:val="20"/>
                <w:szCs w:val="20"/>
                <w:color w:val="auto"/>
              </w:rPr>
            </w:pPr>
            <w:r>
              <w:rPr>
                <w:rFonts w:ascii="Arial" w:cs="Arial" w:eastAsia="Arial" w:hAnsi="Arial"/>
                <w:sz w:val="17"/>
                <w:szCs w:val="17"/>
                <w:color w:val="auto"/>
              </w:rPr>
              <w:t>3.10</w:t>
            </w:r>
          </w:p>
        </w:tc>
      </w:tr>
      <w:tr>
        <w:trPr>
          <w:trHeight w:val="189"/>
        </w:trPr>
        <w:tc>
          <w:tcPr>
            <w:tcW w:w="20" w:type="dxa"/>
            <w:vAlign w:val="bottom"/>
          </w:tcPr>
          <w:p>
            <w:pPr>
              <w:spacing w:after="0"/>
              <w:rPr>
                <w:sz w:val="16"/>
                <w:szCs w:val="16"/>
                <w:color w:val="auto"/>
              </w:rPr>
            </w:pPr>
          </w:p>
        </w:tc>
        <w:tc>
          <w:tcPr>
            <w:tcW w:w="6680" w:type="dxa"/>
            <w:vAlign w:val="bottom"/>
          </w:tcPr>
          <w:p>
            <w:pPr>
              <w:spacing w:after="0" w:line="189" w:lineRule="exact"/>
              <w:rPr>
                <w:sz w:val="20"/>
                <w:szCs w:val="20"/>
                <w:color w:val="auto"/>
              </w:rPr>
            </w:pPr>
            <w:r>
              <w:rPr>
                <w:rFonts w:ascii="Arial" w:cs="Arial" w:eastAsia="Arial" w:hAnsi="Arial"/>
                <w:sz w:val="17"/>
                <w:szCs w:val="17"/>
                <w:color w:val="auto"/>
              </w:rPr>
              <w:t>Plus: Company’s share of depreciation of non-real estate assets</w:t>
            </w:r>
          </w:p>
        </w:tc>
        <w:tc>
          <w:tcPr>
            <w:tcW w:w="180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313"/>
              <w:spacing w:after="0" w:line="189" w:lineRule="exact"/>
              <w:rPr>
                <w:sz w:val="20"/>
                <w:szCs w:val="20"/>
                <w:color w:val="auto"/>
              </w:rPr>
            </w:pPr>
            <w:r>
              <w:rPr>
                <w:rFonts w:ascii="Arial" w:cs="Arial" w:eastAsia="Arial" w:hAnsi="Arial"/>
                <w:sz w:val="17"/>
                <w:szCs w:val="17"/>
                <w:color w:val="auto"/>
              </w:rPr>
              <w:t>0.02</w:t>
            </w:r>
          </w:p>
        </w:tc>
        <w:tc>
          <w:tcPr>
            <w:tcW w:w="1440" w:type="dxa"/>
            <w:vAlign w:val="bottom"/>
            <w:gridSpan w:val="3"/>
          </w:tcPr>
          <w:p>
            <w:pPr>
              <w:jc w:val="right"/>
              <w:ind w:right="293"/>
              <w:spacing w:after="0" w:line="189" w:lineRule="exact"/>
              <w:rPr>
                <w:sz w:val="20"/>
                <w:szCs w:val="20"/>
                <w:color w:val="auto"/>
              </w:rPr>
            </w:pPr>
            <w:r>
              <w:rPr>
                <w:rFonts w:ascii="Arial" w:cs="Arial" w:eastAsia="Arial" w:hAnsi="Arial"/>
                <w:sz w:val="17"/>
                <w:szCs w:val="17"/>
                <w:color w:val="auto"/>
              </w:rPr>
              <w:t>0.02</w:t>
            </w:r>
          </w:p>
        </w:tc>
      </w:tr>
      <w:tr>
        <w:trPr>
          <w:trHeight w:val="189"/>
        </w:trPr>
        <w:tc>
          <w:tcPr>
            <w:tcW w:w="20" w:type="dxa"/>
            <w:vAlign w:val="bottom"/>
          </w:tcPr>
          <w:p>
            <w:pPr>
              <w:spacing w:after="0"/>
              <w:rPr>
                <w:sz w:val="16"/>
                <w:szCs w:val="16"/>
                <w:color w:val="auto"/>
              </w:rPr>
            </w:pPr>
          </w:p>
        </w:tc>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Core FFO per share – fully diluted basis</w:t>
            </w:r>
          </w:p>
        </w:tc>
        <w:tc>
          <w:tcPr>
            <w:tcW w:w="18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rPr>
              <w:t>3.06</w:t>
            </w:r>
          </w:p>
        </w:tc>
        <w:tc>
          <w:tcPr>
            <w:tcW w:w="1440" w:type="dxa"/>
            <w:vAlign w:val="bottom"/>
            <w:gridSpan w:val="3"/>
            <w:shd w:val="clear" w:color="auto" w:fill="CCEEFF"/>
          </w:tcPr>
          <w:p>
            <w:pPr>
              <w:jc w:val="right"/>
              <w:ind w:right="293"/>
              <w:spacing w:after="0" w:line="189" w:lineRule="exact"/>
              <w:rPr>
                <w:sz w:val="20"/>
                <w:szCs w:val="20"/>
                <w:color w:val="auto"/>
              </w:rPr>
            </w:pPr>
            <w:r>
              <w:rPr>
                <w:rFonts w:ascii="Arial" w:cs="Arial" w:eastAsia="Arial" w:hAnsi="Arial"/>
                <w:sz w:val="17"/>
                <w:szCs w:val="17"/>
                <w:color w:val="auto"/>
              </w:rPr>
              <w:t>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-617855</wp:posOffset>
            </wp:positionV>
            <wp:extent cx="74930" cy="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10160"/>
                    </a:xfrm>
                    <a:prstGeom prst="rect">
                      <a:avLst/>
                    </a:prstGeom>
                    <a:noFill/>
                  </pic:spPr>
                </pic:pic>
              </a:graphicData>
            </a:graphic>
          </wp:anchor>
        </w:drawing>
      </w:r>
    </w:p>
    <w:p>
      <w:pPr>
        <w:spacing w:after="0" w:line="55"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This guidance assumes approximately $50 million of wholly owned acquisitions and $50 - $100 million of gross development-related investment during 2026.</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Supplemental Financial Measures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This section contains definitions of certain non-GAAP financial measures and other terms that the Company uses in this press release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6" w:name="page7"/>
    <w:bookmarkEnd w:id="6"/>
    <w:p>
      <w:pPr>
        <w:spacing w:after="0" w:line="1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jc w:val="both"/>
        <w:spacing w:after="0"/>
        <w:rPr>
          <w:sz w:val="20"/>
          <w:szCs w:val="20"/>
          <w:color w:val="auto"/>
        </w:rPr>
      </w:pPr>
      <w:r>
        <w:rPr>
          <w:rFonts w:ascii="Arial" w:cs="Arial" w:eastAsia="Arial" w:hAnsi="Arial"/>
          <w:sz w:val="17"/>
          <w:szCs w:val="17"/>
          <w:color w:val="auto"/>
        </w:rPr>
        <w:t>be considered in isolation or as a substitute for measures of performance in accordance with GAAP. A reconciliation of the differences between each non-GAAP financial measure and the comparable GAAP financial measure are included in this press release following the consolidated financial statements. Additional detail can be found in the Company’s most recent annual report on Form 10-K and quarterly report on Form 10-Q, as well as other documents filed with or furnished to the Securities and Exchange Commission from time to time. We present certain financial information and metrics “at Easterly’s Share,” which is calculated on an entity-by-entity basis. “At Easterly’s Share” information, which we also refer to as being “at share,” “pro rata,” or “our share” is not, and is not intended to be, a presentation in accordance with GAAP.</w:t>
      </w:r>
    </w:p>
    <w:p>
      <w:pPr>
        <w:spacing w:after="0" w:line="11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auto"/>
        </w:rPr>
        <w:t xml:space="preserve">Cash Available for Distribution (CAD) </w:t>
      </w:r>
      <w:r>
        <w:rPr>
          <w:rFonts w:ascii="Arial" w:cs="Arial" w:eastAsia="Arial" w:hAnsi="Arial"/>
          <w:sz w:val="17"/>
          <w:szCs w:val="17"/>
          <w:color w:val="auto"/>
        </w:rPr>
        <w:t>is a non-GAAP financial measure that is not intended to represent cash flow for the period and is not</w:t>
      </w:r>
      <w:r>
        <w:rPr>
          <w:rFonts w:ascii="Arial" w:cs="Arial" w:eastAsia="Arial" w:hAnsi="Arial"/>
          <w:sz w:val="17"/>
          <w:szCs w:val="17"/>
          <w:b w:val="1"/>
          <w:bCs w:val="1"/>
          <w:color w:val="auto"/>
        </w:rPr>
        <w:t xml:space="preserve"> </w:t>
      </w:r>
      <w:r>
        <w:rPr>
          <w:rFonts w:ascii="Arial" w:cs="Arial" w:eastAsia="Arial" w:hAnsi="Arial"/>
          <w:sz w:val="17"/>
          <w:szCs w:val="17"/>
          <w:color w:val="auto"/>
        </w:rPr>
        <w:t>indicative of cash flow provided by operating activities as determined under GAAP. CAD is calculated in accordance with the current Nareit definition as FFO minus normalized recurring real estate-related expenditures and other non-cash items, nonrecurring expenditures and the unconsolidated real estate venture’s allocated share of these adjustments. CAD is presented solely as a supplemental disclosure because the Company believes it provides useful information regarding the Company’s ability to fund its dividends. Because all companies do not calculate CAD the same way, the presentation of CAD may not be comparable to similarly titled measures of other companies</w:t>
      </w:r>
      <w:r>
        <w:rPr>
          <w:rFonts w:ascii="Arial" w:cs="Arial" w:eastAsia="Arial" w:hAnsi="Arial"/>
          <w:sz w:val="17"/>
          <w:szCs w:val="17"/>
          <w:b w:val="1"/>
          <w:bCs w:val="1"/>
          <w:color w:val="auto"/>
        </w:rPr>
        <w:t>.</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Core Funds from Operations (Core FFO) </w:t>
      </w:r>
      <w:r>
        <w:rPr>
          <w:rFonts w:ascii="Arial" w:cs="Arial" w:eastAsia="Arial" w:hAnsi="Arial"/>
          <w:sz w:val="17"/>
          <w:szCs w:val="17"/>
          <w:color w:val="auto"/>
        </w:rPr>
        <w:t>adjusts FFO to present an alternative measure of the Company's operating performance, which,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spacing w:after="0" w:line="147" w:lineRule="exact"/>
        <w:rPr>
          <w:sz w:val="20"/>
          <w:szCs w:val="20"/>
          <w:color w:val="auto"/>
        </w:rPr>
      </w:pPr>
    </w:p>
    <w:p>
      <w:pPr>
        <w:jc w:val="both"/>
        <w:ind w:right="20"/>
        <w:spacing w:after="0" w:line="238" w:lineRule="auto"/>
        <w:rPr>
          <w:sz w:val="20"/>
          <w:szCs w:val="20"/>
          <w:color w:val="auto"/>
        </w:rPr>
      </w:pPr>
      <w:r>
        <w:rPr>
          <w:rFonts w:ascii="Arial" w:cs="Arial" w:eastAsia="Arial" w:hAnsi="Arial"/>
          <w:sz w:val="17"/>
          <w:szCs w:val="17"/>
          <w:b w:val="1"/>
          <w:bCs w:val="1"/>
          <w:color w:val="auto"/>
        </w:rPr>
        <w:t xml:space="preserve">EBITDA </w:t>
      </w:r>
      <w:r>
        <w:rPr>
          <w:rFonts w:ascii="Arial" w:cs="Arial" w:eastAsia="Arial" w:hAnsi="Arial"/>
          <w:sz w:val="17"/>
          <w:szCs w:val="17"/>
          <w:color w:val="auto"/>
        </w:rPr>
        <w:t>is calculated as the sum of net income (loss) before interest expense, taxes, depreciation and amortization, (gain) loss on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operating properties, impairment loss, and the unconsolidated real estate venture’s allocated share of these adjustments. EBITDA is not intended to represent cash flow for the period, is not presented as an alternative to operating income as an indicator of operating performance, should not be considered in isolation or as a substitute for measures of performance prepared in accordance with GAAP, is not indicative of operating income or cash provided by operating activities as determined under GAAP and may be presented on a pro forma basis. EBITDA is presented solely as a supplemental disclosure with respect to liquidity because the Company believes it provides useful information regarding the Company's ability to service or incur debt. Because all companies do not calculate EBITDA the same way, the presentation of EBITDA may not be comparable to similarly titled measures of other companies.</w:t>
      </w:r>
    </w:p>
    <w:p>
      <w:pPr>
        <w:spacing w:after="0" w:line="152" w:lineRule="exact"/>
        <w:rPr>
          <w:sz w:val="20"/>
          <w:szCs w:val="20"/>
          <w:color w:val="auto"/>
        </w:rPr>
      </w:pPr>
    </w:p>
    <w:p>
      <w:pPr>
        <w:jc w:val="both"/>
        <w:spacing w:after="0" w:line="241"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is defined, in accordance with the Nareit FFO White Paper - 2018 Restatement, as net income (loss),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GAAP, excluding depreciation and amortization related to real estate, gains and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 performance. Although FFO is a non-GAAP financial measure, the Company believes that information regarding FFO is helpful to shareholders and potential investors.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Net Debt and Adjusted Net Debt </w:t>
      </w:r>
      <w:r>
        <w:rPr>
          <w:rFonts w:ascii="Arial" w:cs="Arial" w:eastAsia="Arial" w:hAnsi="Arial"/>
          <w:sz w:val="17"/>
          <w:szCs w:val="17"/>
          <w:color w:val="auto"/>
        </w:rPr>
        <w:t>Net Debt represents the Company's consolidated debt and its share of unconsolidated debt adjusted to exclude</w:t>
      </w:r>
      <w:r>
        <w:rPr>
          <w:rFonts w:ascii="Arial" w:cs="Arial" w:eastAsia="Arial" w:hAnsi="Arial"/>
          <w:sz w:val="17"/>
          <w:szCs w:val="17"/>
          <w:b w:val="1"/>
          <w:bCs w:val="1"/>
          <w:color w:val="auto"/>
        </w:rPr>
        <w:t xml:space="preserve"> </w:t>
      </w:r>
      <w:r>
        <w:rPr>
          <w:rFonts w:ascii="Arial" w:cs="Arial" w:eastAsia="Arial" w:hAnsi="Arial"/>
          <w:sz w:val="17"/>
          <w:szCs w:val="17"/>
          <w:color w:val="auto"/>
        </w:rPr>
        <w:t>its share of unamortized premiums and discounts and deferred financing fees, less its share of cash and cash equivalents and property acquisition closing escrow, net of deposit. By excluding these items, the result provides an estimate of the contractual amount of borrowed capital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7" w:name="page8"/>
    <w:bookmarkEnd w:id="7"/>
    <w:p>
      <w:pPr>
        <w:spacing w:after="0" w:line="2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jc w:val="both"/>
        <w:spacing w:after="0"/>
        <w:rPr>
          <w:sz w:val="20"/>
          <w:szCs w:val="20"/>
          <w:color w:val="auto"/>
        </w:rPr>
      </w:pPr>
      <w:r>
        <w:rPr>
          <w:rFonts w:ascii="Arial" w:cs="Arial" w:eastAsia="Arial" w:hAnsi="Arial"/>
          <w:sz w:val="17"/>
          <w:szCs w:val="17"/>
          <w:color w:val="auto"/>
        </w:rPr>
        <w:t>to be repaid, net of cash available to repay it. The Company believes this calculation constitutes a beneficial supplemental non-GAAP financial disclosure to investors in understanding its financial condition. Adjusted Net Debt is Net Debt reduced by 1) for each project under construction or in design, the lesser of i) outstanding lump-sum reimbursement amounts and ii) the cost to date, 2) 40% times the amount by which the cost to date exceeds total lump-sum reimbursement amounts for each project under construction or in design and 3) outstanding lump-sum reimbursement amounts for projects previously completed. These adjustments are made to 1) remove the estimated portion of each project under construction, in design or previously completed that has been financed with debt which may be repaid with outstanding cost reimbursement payments from the US Government and 2) remove the estimated portion of each project under construction or in design, in excess of total lump-sum reimbursements, that has been financed with debt but has not yet produced earnings. See page 28 of the Company’s Q1 2026 Supplemental Information Package for further information. The Company’s method of calculating Net Debt and Adjusted Net Debt may be different from methods used by other REITs and may be presented on a pro forma basis. Accordingly, the Company's method may not be comparable to such other REITs.</w:t>
      </w: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Definitions</w:t>
      </w:r>
    </w:p>
    <w:p>
      <w:pPr>
        <w:spacing w:after="0" w:line="278"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 xml:space="preserve">Fully diluted basis </w:t>
      </w:r>
      <w:r>
        <w:rPr>
          <w:rFonts w:ascii="Arial" w:cs="Arial" w:eastAsia="Arial" w:hAnsi="Arial"/>
          <w:sz w:val="17"/>
          <w:szCs w:val="17"/>
          <w:color w:val="auto"/>
        </w:rPr>
        <w:t>assumes the exchange of all outstanding common units representing limited partnership interests in the Company’s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Conference Call Information</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Company will host a webcast and conference call at 11:00 am Eastern time on April 27, 2026 to review the first quarter 2026 performance, discuss recent events and conduct a question-and-answer session. A live webcast will be available in the Investor Relations section of the Company’s website. Shortly after the webcast, a replay of the webcast will be available on the Investor Relations section of the Company's website for up to twelve months. Please note that the full text of the press release and supplemental information package are also available through the Company’s website at ir.easterlyreit.com.</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Easterly Government Properties, Inc.</w:t>
      </w:r>
    </w:p>
    <w:p>
      <w:pPr>
        <w:spacing w:after="0" w:line="9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Easterly Government Properties, Inc. (NYSE: DEA) is based in Washington, D.C., and focuses primarily on the acquisition, development and management of Class A commercial properties that are leased to the U.S. Government. Easterly’s experienced management team brings specialized insight into the strategy and needs of mission-critical U.S. Government agencies for properties leased to such agencies either directly or through the U.S. General Services Administration (GSA). For further information on the company and its properties, please visit www.easterlyreit.com.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Easterly Government Properties, Inc.</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Cole Bardawill</w:t>
      </w:r>
    </w:p>
    <w:p>
      <w:pPr>
        <w:spacing w:after="0" w:line="232" w:lineRule="auto"/>
        <w:rPr>
          <w:sz w:val="20"/>
          <w:szCs w:val="20"/>
          <w:color w:val="auto"/>
        </w:rPr>
      </w:pPr>
      <w:r>
        <w:rPr>
          <w:rFonts w:ascii="Arial" w:cs="Arial" w:eastAsia="Arial" w:hAnsi="Arial"/>
          <w:sz w:val="17"/>
          <w:szCs w:val="17"/>
          <w:color w:val="auto"/>
        </w:rPr>
        <w:t>Director of Investor Relations</w:t>
      </w:r>
    </w:p>
    <w:p>
      <w:pPr>
        <w:spacing w:after="0" w:line="232" w:lineRule="auto"/>
        <w:rPr>
          <w:sz w:val="20"/>
          <w:szCs w:val="20"/>
          <w:color w:val="auto"/>
        </w:rPr>
      </w:pPr>
      <w:r>
        <w:rPr>
          <w:rFonts w:ascii="Arial" w:cs="Arial" w:eastAsia="Arial" w:hAnsi="Arial"/>
          <w:sz w:val="17"/>
          <w:szCs w:val="17"/>
          <w:color w:val="auto"/>
        </w:rPr>
        <w:t>202-987-9395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ir@easterlyreit.com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Forward Looking Statements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7"/>
          <w:szCs w:val="17"/>
          <w:i w:val="1"/>
          <w:iCs w:val="1"/>
          <w:color w:val="auto"/>
        </w:rPr>
        <w:t>We make statements in this press release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and include our guidance with respect to Net income (loss) and Core FFO per share on a fully diluted basis. We intend these forward-looking statements to be covered by the safe harbor provisions for forward-looking statements contained in the Private Securities Litigation Reform Act of 1995 and are including this statement in this press release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 risks associated with ownership and development of real estate; the risk of decreased rental rates or increased vacancy rates; the loss of key personnel; general volatility of the capital and credit markets and the market price of our common stock; the risk we may lose one or more major tenants; difficulties in completing and successfully integrating acquisitions; failure of acquisitions or development projects to occur at anticipated levels or yield anticipated results; risks associated with our joint venture activities; risks associated with actual or threatened terrorist attacks; intense competition in the real estate market that may limit our ability to attract or retain tenants or re-lease space; insufficient amounts of insurance or exposure to events that are either uninsured or underinsured; uncertainties and risks related to adverse weather conditions, natural disasters and climate change; exposure to liability relating to environmental and health and safety matters; limited ability to dispose of assets because of the relative illiquidity of real estate investments and the nature of our assets; exposure to litigation or other claims; risks associated with breaches of our data security; 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 risks associated with derivatives or hedging activity; risks associated with mortgage debt or unsecured financing or the unavailability thereof, which could make it difficult to finance or refinance properties and could subject us to foreclosure; adverse impacts from any future pandemic, epidemic or outbreak of any highly infectious disease on the U.S., regional and global economies and our financial condition and results of operations; and other risks and uncertainties detailed in the “Risk Factors” section of our Form 10-K for the year ended December 31, 2025, filed with the Securities and Exchange Commission (SEC) on February 23, 2026, and under the heading “Risk Factors” in our other public filings. In addition, our anticipated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 looking statements, whether as a result of new information, future events or otherwise.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9" w:name="page10"/>
    <w:bookmarkEnd w:id="9"/>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7"/>
          <w:szCs w:val="17"/>
          <w:b w:val="1"/>
          <w:bCs w:val="1"/>
          <w:color w:val="auto"/>
        </w:rPr>
        <w:t>Balance Sheet</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(Unaudited, in thousands, except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March 31, 2026</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34"/>
        </w:trPr>
        <w:tc>
          <w:tcPr>
            <w:tcW w:w="6520" w:type="dxa"/>
            <w:vAlign w:val="bottom"/>
          </w:tcPr>
          <w:p>
            <w:pPr>
              <w:spacing w:after="0" w:line="134" w:lineRule="exact"/>
              <w:rPr>
                <w:sz w:val="20"/>
                <w:szCs w:val="20"/>
                <w:color w:val="auto"/>
              </w:rPr>
            </w:pPr>
            <w:r>
              <w:rPr>
                <w:rFonts w:ascii="Arial" w:cs="Arial" w:eastAsia="Arial" w:hAnsi="Arial"/>
                <w:sz w:val="13"/>
                <w:szCs w:val="13"/>
                <w:b w:val="1"/>
                <w:bCs w:val="1"/>
                <w:color w:val="auto"/>
              </w:rPr>
              <w:t>Assets</w:t>
            </w:r>
          </w:p>
        </w:tc>
        <w:tc>
          <w:tcPr>
            <w:tcW w:w="1540" w:type="dxa"/>
            <w:vAlign w:val="bottom"/>
            <w:tcBorders>
              <w:top w:val="single" w:sz="8" w:color="2B4B86"/>
            </w:tcBorders>
          </w:tcPr>
          <w:p>
            <w:pPr>
              <w:spacing w:after="0"/>
              <w:rPr>
                <w:sz w:val="11"/>
                <w:szCs w:val="11"/>
                <w:color w:val="auto"/>
              </w:rPr>
            </w:pPr>
          </w:p>
        </w:tc>
        <w:tc>
          <w:tcPr>
            <w:tcW w:w="620" w:type="dxa"/>
            <w:vAlign w:val="bottom"/>
            <w:tcBorders>
              <w:top w:val="single" w:sz="8" w:color="2B4B86"/>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top w:val="single" w:sz="8" w:color="2B4B86"/>
            </w:tcBorders>
          </w:tcPr>
          <w:p>
            <w:pPr>
              <w:spacing w:after="0"/>
              <w:rPr>
                <w:sz w:val="11"/>
                <w:szCs w:val="11"/>
                <w:color w:val="auto"/>
              </w:rPr>
            </w:pPr>
          </w:p>
        </w:tc>
        <w:tc>
          <w:tcPr>
            <w:tcW w:w="1860" w:type="dxa"/>
            <w:vAlign w:val="bottom"/>
            <w:tcBorders>
              <w:top w:val="single" w:sz="8" w:color="2B4B86"/>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Real estate properties, net</w:t>
            </w:r>
          </w:p>
        </w:tc>
        <w:tc>
          <w:tcPr>
            <w:tcW w:w="1540" w:type="dxa"/>
            <w:vAlign w:val="bottom"/>
          </w:tcPr>
          <w:p>
            <w:pPr>
              <w:jc w:val="right"/>
              <w:ind w:right="1429"/>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2,738,755</w:t>
            </w:r>
          </w:p>
        </w:tc>
        <w:tc>
          <w:tcPr>
            <w:tcW w:w="320" w:type="dxa"/>
            <w:vAlign w:val="bottom"/>
          </w:tcPr>
          <w:p>
            <w:pPr>
              <w:spacing w:after="0"/>
              <w:rPr>
                <w:sz w:val="12"/>
                <w:szCs w:val="12"/>
                <w:color w:val="auto"/>
              </w:rPr>
            </w:pPr>
          </w:p>
        </w:tc>
        <w:tc>
          <w:tcPr>
            <w:tcW w:w="280" w:type="dxa"/>
            <w:vAlign w:val="bottom"/>
          </w:tcPr>
          <w:p>
            <w:pPr>
              <w:jc w:val="right"/>
              <w:ind w:right="137"/>
              <w:spacing w:after="0" w:line="142" w:lineRule="exact"/>
              <w:rPr>
                <w:sz w:val="20"/>
                <w:szCs w:val="20"/>
                <w:color w:val="auto"/>
              </w:rPr>
            </w:pPr>
            <w:r>
              <w:rPr>
                <w:rFonts w:ascii="Arial" w:cs="Arial" w:eastAsia="Arial" w:hAnsi="Arial"/>
                <w:sz w:val="13"/>
                <w:szCs w:val="13"/>
                <w:color w:val="auto"/>
                <w:w w:val="82"/>
              </w:rPr>
              <w:t>$</w:t>
            </w: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2,714,650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Cash and cash equivalents</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2,017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23,374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Restricted cash</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10,661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10,257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Tenant accounts receivable</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73,041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51,493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Investment in unconsolidated real estate venture</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304,070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304,721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Real estate loans receivable, net and investment in sales-type lease, net</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44,462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34,286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Intangible assets, net</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189,534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183,911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20" w:type="dxa"/>
            <w:vAlign w:val="bottom"/>
          </w:tcPr>
          <w:p>
            <w:pPr>
              <w:ind w:left="60"/>
              <w:spacing w:after="0"/>
              <w:rPr>
                <w:sz w:val="20"/>
                <w:szCs w:val="20"/>
                <w:color w:val="auto"/>
              </w:rPr>
            </w:pPr>
            <w:r>
              <w:rPr>
                <w:rFonts w:ascii="Arial" w:cs="Arial" w:eastAsia="Arial" w:hAnsi="Arial"/>
                <w:sz w:val="13"/>
                <w:szCs w:val="13"/>
                <w:color w:val="auto"/>
              </w:rPr>
              <w:t>Prepaid expenses and other assets</w:t>
            </w:r>
          </w:p>
        </w:tc>
        <w:tc>
          <w:tcPr>
            <w:tcW w:w="1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57,520</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57,078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assets</w:t>
            </w:r>
          </w:p>
        </w:tc>
        <w:tc>
          <w:tcPr>
            <w:tcW w:w="1540" w:type="dxa"/>
            <w:vAlign w:val="bottom"/>
            <w:tcBorders>
              <w:bottom w:val="single" w:sz="8" w:color="auto"/>
            </w:tcBorders>
          </w:tcPr>
          <w:p>
            <w:pPr>
              <w:jc w:val="right"/>
              <w:ind w:right="1429"/>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3,420,060</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vMerge w:val="continue"/>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Revolving credit facility</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245,050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199,050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Term loan facilities, net</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297,479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297,200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Notes payable, net</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1,019,132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1,018,884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Mortgage notes payable, net</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150,054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151,191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Intangible liabilities, net</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13,598</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11,959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Deferred revenue</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230,031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219,201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Interest rate swaps</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1,010</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3,034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520" w:type="dxa"/>
            <w:vAlign w:val="bottom"/>
          </w:tcPr>
          <w:p>
            <w:pPr>
              <w:ind w:left="60"/>
              <w:spacing w:after="0"/>
              <w:rPr>
                <w:sz w:val="20"/>
                <w:szCs w:val="20"/>
                <w:color w:val="auto"/>
              </w:rPr>
            </w:pPr>
            <w:r>
              <w:rPr>
                <w:rFonts w:ascii="Arial" w:cs="Arial" w:eastAsia="Arial" w:hAnsi="Arial"/>
                <w:sz w:val="13"/>
                <w:szCs w:val="13"/>
                <w:color w:val="auto"/>
              </w:rPr>
              <w:t>Accounts payable, accrued expenses and other liabilities</w:t>
            </w:r>
          </w:p>
        </w:tc>
        <w:tc>
          <w:tcPr>
            <w:tcW w:w="15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108,203</w:t>
            </w:r>
          </w:p>
        </w:tc>
        <w:tc>
          <w:tcPr>
            <w:tcW w:w="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109,686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liabilities</w:t>
            </w:r>
          </w:p>
        </w:tc>
        <w:tc>
          <w:tcPr>
            <w:tcW w:w="15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2,064,557</w:t>
            </w: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2,010,205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6520" w:type="dxa"/>
            <w:vAlign w:val="bottom"/>
          </w:tcPr>
          <w:p>
            <w:pPr>
              <w:spacing w:after="0"/>
              <w:rPr>
                <w:sz w:val="20"/>
                <w:szCs w:val="20"/>
                <w:color w:val="auto"/>
              </w:rPr>
            </w:pPr>
            <w:r>
              <w:rPr>
                <w:rFonts w:ascii="Arial" w:cs="Arial" w:eastAsia="Arial" w:hAnsi="Arial"/>
                <w:sz w:val="13"/>
                <w:szCs w:val="13"/>
                <w:b w:val="1"/>
                <w:bCs w:val="1"/>
                <w:color w:val="auto"/>
              </w:rPr>
              <w:t>Equity</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Common stock, par value $0.01, 80,000,000 shares authorized,</w:t>
            </w: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120"/>
              <w:spacing w:after="0" w:line="142" w:lineRule="exact"/>
              <w:rPr>
                <w:sz w:val="20"/>
                <w:szCs w:val="20"/>
                <w:color w:val="auto"/>
              </w:rPr>
            </w:pPr>
            <w:r>
              <w:rPr>
                <w:rFonts w:ascii="Arial" w:cs="Arial" w:eastAsia="Arial" w:hAnsi="Arial"/>
                <w:sz w:val="13"/>
                <w:szCs w:val="13"/>
                <w:color w:val="auto"/>
              </w:rPr>
              <w:t>46,444,374 and 46,303,469 shares issued and outstanding at</w:t>
            </w:r>
          </w:p>
        </w:tc>
        <w:tc>
          <w:tcPr>
            <w:tcW w:w="1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160"/>
              <w:spacing w:after="0" w:line="142" w:lineRule="exact"/>
              <w:rPr>
                <w:sz w:val="20"/>
                <w:szCs w:val="20"/>
                <w:color w:val="auto"/>
              </w:rPr>
            </w:pPr>
            <w:r>
              <w:rPr>
                <w:rFonts w:ascii="Arial" w:cs="Arial" w:eastAsia="Arial" w:hAnsi="Arial"/>
                <w:sz w:val="13"/>
                <w:szCs w:val="13"/>
                <w:color w:val="auto"/>
              </w:rPr>
              <w:t>March 31, 2026 and December 31, 2025, respectively</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464</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463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Additional paid-in capital</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1,961,587</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1,958,412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Retained earnings</w:t>
            </w:r>
          </w:p>
        </w:tc>
        <w:tc>
          <w:tcPr>
            <w:tcW w:w="154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146,222</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right"/>
              <w:spacing w:after="0" w:line="142" w:lineRule="exact"/>
              <w:rPr>
                <w:sz w:val="20"/>
                <w:szCs w:val="20"/>
                <w:color w:val="auto"/>
              </w:rPr>
            </w:pPr>
            <w:r>
              <w:rPr>
                <w:rFonts w:ascii="Arial" w:cs="Arial" w:eastAsia="Arial" w:hAnsi="Arial"/>
                <w:sz w:val="13"/>
                <w:szCs w:val="13"/>
                <w:color w:val="auto"/>
              </w:rPr>
              <w:t>144,857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Pr>
          <w:p>
            <w:pPr>
              <w:ind w:left="60"/>
              <w:spacing w:after="0" w:line="142" w:lineRule="exact"/>
              <w:rPr>
                <w:sz w:val="20"/>
                <w:szCs w:val="20"/>
                <w:color w:val="auto"/>
              </w:rPr>
            </w:pPr>
            <w:r>
              <w:rPr>
                <w:rFonts w:ascii="Arial" w:cs="Arial" w:eastAsia="Arial" w:hAnsi="Arial"/>
                <w:sz w:val="13"/>
                <w:szCs w:val="13"/>
                <w:color w:val="auto"/>
              </w:rPr>
              <w:t>Cumulative dividends</w:t>
            </w:r>
          </w:p>
        </w:tc>
        <w:tc>
          <w:tcPr>
            <w:tcW w:w="1540" w:type="dxa"/>
            <w:vAlign w:val="bottom"/>
          </w:tcPr>
          <w:p>
            <w:pPr>
              <w:spacing w:after="0"/>
              <w:rPr>
                <w:sz w:val="12"/>
                <w:szCs w:val="12"/>
                <w:color w:val="auto"/>
              </w:rPr>
            </w:pPr>
          </w:p>
        </w:tc>
        <w:tc>
          <w:tcPr>
            <w:tcW w:w="94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(796,880)</w:t>
            </w:r>
          </w:p>
        </w:tc>
        <w:tc>
          <w:tcPr>
            <w:tcW w:w="280" w:type="dxa"/>
            <w:vAlign w:val="bottom"/>
          </w:tcPr>
          <w:p>
            <w:pPr>
              <w:spacing w:after="0"/>
              <w:rPr>
                <w:sz w:val="12"/>
                <w:szCs w:val="12"/>
                <w:color w:val="auto"/>
              </w:rPr>
            </w:pPr>
          </w:p>
        </w:tc>
        <w:tc>
          <w:tcPr>
            <w:tcW w:w="1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(776,022)</w:t>
            </w:r>
          </w:p>
        </w:tc>
        <w:tc>
          <w:tcPr>
            <w:tcW w:w="0" w:type="dxa"/>
            <w:vAlign w:val="bottom"/>
          </w:tcPr>
          <w:p>
            <w:pPr>
              <w:spacing w:after="0"/>
              <w:rPr>
                <w:sz w:val="1"/>
                <w:szCs w:val="1"/>
                <w:color w:val="auto"/>
              </w:rPr>
            </w:pPr>
          </w:p>
        </w:tc>
      </w:tr>
      <w:tr>
        <w:trPr>
          <w:trHeight w:val="150"/>
        </w:trPr>
        <w:tc>
          <w:tcPr>
            <w:tcW w:w="6520" w:type="dxa"/>
            <w:vAlign w:val="bottom"/>
          </w:tcPr>
          <w:p>
            <w:pPr>
              <w:ind w:left="60"/>
              <w:spacing w:after="0"/>
              <w:rPr>
                <w:sz w:val="20"/>
                <w:szCs w:val="20"/>
                <w:color w:val="auto"/>
              </w:rPr>
            </w:pPr>
            <w:r>
              <w:rPr>
                <w:rFonts w:ascii="Arial" w:cs="Arial" w:eastAsia="Arial" w:hAnsi="Arial"/>
                <w:sz w:val="13"/>
                <w:szCs w:val="13"/>
                <w:color w:val="auto"/>
              </w:rPr>
              <w:t>Accumulated other comprehensive loss</w:t>
            </w:r>
          </w:p>
        </w:tc>
        <w:tc>
          <w:tcPr>
            <w:tcW w:w="154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(2,554)</w:t>
            </w:r>
          </w:p>
        </w:tc>
        <w:tc>
          <w:tcPr>
            <w:tcW w:w="28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(4,578)</w:t>
            </w:r>
          </w:p>
        </w:tc>
        <w:tc>
          <w:tcPr>
            <w:tcW w:w="0" w:type="dxa"/>
            <w:vAlign w:val="bottom"/>
          </w:tcPr>
          <w:p>
            <w:pPr>
              <w:spacing w:after="0"/>
              <w:rPr>
                <w:sz w:val="1"/>
                <w:szCs w:val="1"/>
                <w:color w:val="auto"/>
              </w:rPr>
            </w:pPr>
          </w:p>
        </w:tc>
      </w:tr>
      <w:tr>
        <w:trPr>
          <w:trHeight w:val="134"/>
        </w:trPr>
        <w:tc>
          <w:tcPr>
            <w:tcW w:w="6520" w:type="dxa"/>
            <w:vAlign w:val="bottom"/>
          </w:tcPr>
          <w:p>
            <w:pPr>
              <w:ind w:left="120"/>
              <w:spacing w:after="0" w:line="134" w:lineRule="exact"/>
              <w:rPr>
                <w:sz w:val="20"/>
                <w:szCs w:val="20"/>
                <w:color w:val="auto"/>
              </w:rPr>
            </w:pPr>
            <w:r>
              <w:rPr>
                <w:rFonts w:ascii="Arial" w:cs="Arial" w:eastAsia="Arial" w:hAnsi="Arial"/>
                <w:sz w:val="13"/>
                <w:szCs w:val="13"/>
                <w:color w:val="auto"/>
              </w:rPr>
              <w:t>Total stockholders' equity</w:t>
            </w:r>
          </w:p>
        </w:tc>
        <w:tc>
          <w:tcPr>
            <w:tcW w:w="15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1,308,839</w:t>
            </w:r>
          </w:p>
        </w:tc>
        <w:tc>
          <w:tcPr>
            <w:tcW w:w="320" w:type="dxa"/>
            <w:vAlign w:val="bottom"/>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18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1,323,132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color w:val="auto"/>
              </w:rPr>
              <w:t>Non-controlling interest in Operating Partnership</w:t>
            </w:r>
          </w:p>
        </w:tc>
        <w:tc>
          <w:tcPr>
            <w:tcW w:w="15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46,664</w:t>
            </w: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46,433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5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equity</w:t>
            </w:r>
          </w:p>
        </w:tc>
        <w:tc>
          <w:tcPr>
            <w:tcW w:w="15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1,355,503</w:t>
            </w:r>
          </w:p>
        </w:tc>
        <w:tc>
          <w:tcPr>
            <w:tcW w:w="3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1,369,565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520" w:type="dxa"/>
            <w:vAlign w:val="bottom"/>
          </w:tcPr>
          <w:p>
            <w:pPr>
              <w:spacing w:after="0" w:line="134" w:lineRule="exact"/>
              <w:rPr>
                <w:sz w:val="20"/>
                <w:szCs w:val="20"/>
                <w:color w:val="auto"/>
              </w:rPr>
            </w:pPr>
            <w:r>
              <w:rPr>
                <w:rFonts w:ascii="Arial" w:cs="Arial" w:eastAsia="Arial" w:hAnsi="Arial"/>
                <w:sz w:val="13"/>
                <w:szCs w:val="13"/>
                <w:b w:val="1"/>
                <w:bCs w:val="1"/>
                <w:color w:val="auto"/>
              </w:rPr>
              <w:t>Total liabilities and equity</w:t>
            </w:r>
          </w:p>
        </w:tc>
        <w:tc>
          <w:tcPr>
            <w:tcW w:w="1540" w:type="dxa"/>
            <w:vAlign w:val="bottom"/>
            <w:tcBorders>
              <w:bottom w:val="single" w:sz="8" w:color="auto"/>
            </w:tcBorders>
          </w:tcPr>
          <w:p>
            <w:pPr>
              <w:jc w:val="right"/>
              <w:ind w:right="1429"/>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3,420,060</w:t>
            </w:r>
          </w:p>
        </w:tc>
        <w:tc>
          <w:tcPr>
            <w:tcW w:w="320" w:type="dxa"/>
            <w:vAlign w:val="bottom"/>
          </w:tcPr>
          <w:p>
            <w:pPr>
              <w:spacing w:after="0"/>
              <w:rPr>
                <w:sz w:val="11"/>
                <w:szCs w:val="11"/>
                <w:color w:val="auto"/>
              </w:rPr>
            </w:pPr>
          </w:p>
        </w:tc>
        <w:tc>
          <w:tcPr>
            <w:tcW w:w="280" w:type="dxa"/>
            <w:vAlign w:val="bottom"/>
            <w:tcBorders>
              <w:bottom w:val="single" w:sz="8" w:color="auto"/>
            </w:tcBorders>
          </w:tcPr>
          <w:p>
            <w:pPr>
              <w:jc w:val="right"/>
              <w:ind w:right="137"/>
              <w:spacing w:after="0" w:line="122" w:lineRule="exact"/>
              <w:rPr>
                <w:sz w:val="20"/>
                <w:szCs w:val="20"/>
                <w:color w:val="auto"/>
              </w:rPr>
            </w:pPr>
            <w:r>
              <w:rPr>
                <w:rFonts w:ascii="Arial" w:cs="Arial" w:eastAsia="Arial" w:hAnsi="Arial"/>
                <w:sz w:val="13"/>
                <w:szCs w:val="13"/>
                <w:color w:val="auto"/>
                <w:w w:val="82"/>
              </w:rPr>
              <w:t>$</w:t>
            </w:r>
          </w:p>
        </w:tc>
        <w:tc>
          <w:tcPr>
            <w:tcW w:w="1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0" w:name="page11"/>
    <w:bookmarkEnd w:id="10"/>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jc w:val="center"/>
        <w:ind w:right="-279"/>
        <w:spacing w:after="0"/>
        <w:rPr>
          <w:sz w:val="20"/>
          <w:szCs w:val="20"/>
          <w:color w:val="auto"/>
        </w:rPr>
      </w:pPr>
      <w:r>
        <w:rPr>
          <w:rFonts w:ascii="Arial" w:cs="Arial" w:eastAsia="Arial" w:hAnsi="Arial"/>
          <w:sz w:val="17"/>
          <w:szCs w:val="17"/>
          <w:b w:val="1"/>
          <w:bCs w:val="1"/>
          <w:color w:val="auto"/>
        </w:rPr>
        <w:t>Income Statement</w:t>
      </w:r>
    </w:p>
    <w:p>
      <w:pPr>
        <w:spacing w:after="0" w:line="90"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(Unaudited, in thousands, except share and per share amounts)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20" w:type="dxa"/>
            <w:vAlign w:val="bottom"/>
          </w:tcPr>
          <w:p>
            <w:pPr>
              <w:spacing w:after="0"/>
              <w:rPr>
                <w:sz w:val="14"/>
                <w:szCs w:val="14"/>
                <w:color w:val="auto"/>
              </w:rPr>
            </w:pPr>
          </w:p>
        </w:tc>
        <w:tc>
          <w:tcPr>
            <w:tcW w:w="1580" w:type="dxa"/>
            <w:vAlign w:val="bottom"/>
            <w:tcBorders>
              <w:bottom w:val="single" w:sz="8" w:color="2B4B86"/>
            </w:tcBorders>
          </w:tcPr>
          <w:p>
            <w:pPr>
              <w:spacing w:after="0"/>
              <w:rPr>
                <w:sz w:val="14"/>
                <w:szCs w:val="14"/>
                <w:color w:val="auto"/>
              </w:rPr>
            </w:pPr>
          </w:p>
        </w:tc>
        <w:tc>
          <w:tcPr>
            <w:tcW w:w="1540" w:type="dxa"/>
            <w:vAlign w:val="bottom"/>
            <w:tcBorders>
              <w:bottom w:val="single" w:sz="8" w:color="2B4B86"/>
            </w:tcBorders>
            <w:gridSpan w:val="3"/>
          </w:tcPr>
          <w:p>
            <w:pPr>
              <w:jc w:val="right"/>
              <w:ind w:right="37"/>
              <w:spacing w:after="0"/>
              <w:rPr>
                <w:sz w:val="20"/>
                <w:szCs w:val="20"/>
                <w:color w:val="auto"/>
              </w:rPr>
            </w:pPr>
            <w:r>
              <w:rPr>
                <w:rFonts w:ascii="Arial" w:cs="Arial" w:eastAsia="Arial" w:hAnsi="Arial"/>
                <w:sz w:val="13"/>
                <w:szCs w:val="13"/>
                <w:b w:val="1"/>
                <w:bCs w:val="1"/>
                <w:color w:val="auto"/>
              </w:rPr>
              <w:t>Three Months Ended</w:t>
            </w:r>
          </w:p>
        </w:tc>
        <w:tc>
          <w:tcPr>
            <w:tcW w:w="1680" w:type="dxa"/>
            <w:vAlign w:val="bottom"/>
            <w:tcBorders>
              <w:bottom w:val="single" w:sz="8" w:color="2B4B86"/>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120" w:type="dxa"/>
            <w:vAlign w:val="bottom"/>
          </w:tcPr>
          <w:p>
            <w:pPr>
              <w:spacing w:after="0"/>
              <w:rPr>
                <w:sz w:val="13"/>
                <w:szCs w:val="13"/>
                <w:color w:val="auto"/>
              </w:rPr>
            </w:pPr>
          </w:p>
        </w:tc>
        <w:tc>
          <w:tcPr>
            <w:tcW w:w="1580" w:type="dxa"/>
            <w:vAlign w:val="bottom"/>
            <w:tcBorders>
              <w:bottom w:val="single" w:sz="8" w:color="2B4B86"/>
            </w:tcBorders>
          </w:tcPr>
          <w:p>
            <w:pPr>
              <w:jc w:val="right"/>
              <w:spacing w:after="0" w:line="142" w:lineRule="exact"/>
              <w:rPr>
                <w:sz w:val="20"/>
                <w:szCs w:val="20"/>
                <w:color w:val="auto"/>
              </w:rPr>
            </w:pPr>
            <w:r>
              <w:rPr>
                <w:rFonts w:ascii="Arial" w:cs="Arial" w:eastAsia="Arial" w:hAnsi="Arial"/>
                <w:sz w:val="13"/>
                <w:szCs w:val="13"/>
                <w:b w:val="1"/>
                <w:bCs w:val="1"/>
                <w:color w:val="auto"/>
              </w:rPr>
              <w:t>March 31, 2026</w:t>
            </w:r>
          </w:p>
        </w:tc>
        <w:tc>
          <w:tcPr>
            <w:tcW w:w="660" w:type="dxa"/>
            <w:vAlign w:val="bottom"/>
            <w:tcBorders>
              <w:bottom w:val="single" w:sz="8" w:color="2B4B86"/>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bottom w:val="single" w:sz="8" w:color="2B4B86"/>
            </w:tcBorders>
          </w:tcPr>
          <w:p>
            <w:pPr>
              <w:spacing w:after="0"/>
              <w:rPr>
                <w:sz w:val="13"/>
                <w:szCs w:val="13"/>
                <w:color w:val="auto"/>
              </w:rPr>
            </w:pPr>
          </w:p>
        </w:tc>
        <w:tc>
          <w:tcPr>
            <w:tcW w:w="1680" w:type="dxa"/>
            <w:vAlign w:val="bottom"/>
            <w:tcBorders>
              <w:bottom w:val="single" w:sz="8" w:color="2B4B86"/>
            </w:tcBorders>
          </w:tcPr>
          <w:p>
            <w:pPr>
              <w:jc w:val="right"/>
              <w:ind w:right="597"/>
              <w:spacing w:after="0" w:line="142" w:lineRule="exact"/>
              <w:rPr>
                <w:sz w:val="20"/>
                <w:szCs w:val="20"/>
                <w:color w:val="auto"/>
              </w:rPr>
            </w:pPr>
            <w:r>
              <w:rPr>
                <w:rFonts w:ascii="Arial" w:cs="Arial" w:eastAsia="Arial" w:hAnsi="Arial"/>
                <w:sz w:val="13"/>
                <w:szCs w:val="13"/>
                <w:b w:val="1"/>
                <w:bCs w:val="1"/>
                <w:color w:val="auto"/>
              </w:rPr>
              <w:t>March 31, 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120" w:type="dxa"/>
            <w:vAlign w:val="bottom"/>
          </w:tcPr>
          <w:p>
            <w:pPr>
              <w:spacing w:after="0" w:line="134" w:lineRule="exact"/>
              <w:rPr>
                <w:sz w:val="20"/>
                <w:szCs w:val="20"/>
                <w:color w:val="auto"/>
              </w:rPr>
            </w:pPr>
            <w:r>
              <w:rPr>
                <w:rFonts w:ascii="Arial" w:cs="Arial" w:eastAsia="Arial" w:hAnsi="Arial"/>
                <w:sz w:val="13"/>
                <w:szCs w:val="13"/>
                <w:b w:val="1"/>
                <w:bCs w:val="1"/>
                <w:color w:val="auto"/>
              </w:rPr>
              <w:t>Revenues</w:t>
            </w:r>
          </w:p>
        </w:tc>
        <w:tc>
          <w:tcPr>
            <w:tcW w:w="1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Rental income</w:t>
            </w:r>
          </w:p>
        </w:tc>
        <w:tc>
          <w:tcPr>
            <w:tcW w:w="1580" w:type="dxa"/>
            <w:vAlign w:val="bottom"/>
          </w:tcPr>
          <w:p>
            <w:pPr>
              <w:jc w:val="right"/>
              <w:ind w:right="1437"/>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88,593</w:t>
            </w:r>
          </w:p>
        </w:tc>
        <w:tc>
          <w:tcPr>
            <w:tcW w:w="360" w:type="dxa"/>
            <w:vAlign w:val="bottom"/>
          </w:tcPr>
          <w:p>
            <w:pPr>
              <w:spacing w:after="0"/>
              <w:rPr>
                <w:sz w:val="12"/>
                <w:szCs w:val="12"/>
                <w:color w:val="auto"/>
              </w:rPr>
            </w:pPr>
          </w:p>
        </w:tc>
        <w:tc>
          <w:tcPr>
            <w:tcW w:w="520" w:type="dxa"/>
            <w:vAlign w:val="bottom"/>
          </w:tcPr>
          <w:p>
            <w:pPr>
              <w:jc w:val="right"/>
              <w:ind w:right="377"/>
              <w:spacing w:after="0" w:line="142" w:lineRule="exact"/>
              <w:rPr>
                <w:sz w:val="20"/>
                <w:szCs w:val="20"/>
                <w:color w:val="auto"/>
              </w:rPr>
            </w:pPr>
            <w:r>
              <w:rPr>
                <w:rFonts w:ascii="Arial" w:cs="Arial" w:eastAsia="Arial" w:hAnsi="Arial"/>
                <w:sz w:val="13"/>
                <w:szCs w:val="13"/>
                <w:color w:val="auto"/>
                <w:w w:val="82"/>
              </w:rPr>
              <w:t>$</w:t>
            </w: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75,546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Tenant reimbursements</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804</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1,026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Asset management income</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646</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622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120" w:type="dxa"/>
            <w:vAlign w:val="bottom"/>
          </w:tcPr>
          <w:p>
            <w:pPr>
              <w:ind w:left="40"/>
              <w:spacing w:after="0"/>
              <w:rPr>
                <w:sz w:val="20"/>
                <w:szCs w:val="20"/>
                <w:color w:val="auto"/>
              </w:rPr>
            </w:pPr>
            <w:r>
              <w:rPr>
                <w:rFonts w:ascii="Arial" w:cs="Arial" w:eastAsia="Arial" w:hAnsi="Arial"/>
                <w:sz w:val="13"/>
                <w:szCs w:val="13"/>
                <w:color w:val="auto"/>
              </w:rPr>
              <w:t>Other income</w:t>
            </w:r>
          </w:p>
        </w:tc>
        <w:tc>
          <w:tcPr>
            <w:tcW w:w="15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1,502</w:t>
            </w:r>
          </w:p>
        </w:tc>
        <w:tc>
          <w:tcPr>
            <w:tcW w:w="3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1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Total revenues</w:t>
            </w:r>
          </w:p>
        </w:tc>
        <w:tc>
          <w:tcPr>
            <w:tcW w:w="1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91,545</w:t>
            </w:r>
          </w:p>
        </w:tc>
        <w:tc>
          <w:tcPr>
            <w:tcW w:w="3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78,675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612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Property operating</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20,536</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17,799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Real estate taxes</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8,532</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7,957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Depreciation and amortization</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33,221</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26,797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Acquisition costs</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649</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307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Corporate general and administrative</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8,495</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6,215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120" w:type="dxa"/>
            <w:vAlign w:val="bottom"/>
          </w:tcPr>
          <w:p>
            <w:pPr>
              <w:ind w:left="40"/>
              <w:spacing w:after="0"/>
              <w:rPr>
                <w:sz w:val="20"/>
                <w:szCs w:val="20"/>
                <w:color w:val="auto"/>
              </w:rPr>
            </w:pPr>
            <w:r>
              <w:rPr>
                <w:rFonts w:ascii="Arial" w:cs="Arial" w:eastAsia="Arial" w:hAnsi="Arial"/>
                <w:sz w:val="13"/>
                <w:szCs w:val="13"/>
                <w:color w:val="auto"/>
              </w:rPr>
              <w:t>Provision for (recovery of) credit losses</w:t>
            </w:r>
          </w:p>
        </w:tc>
        <w:tc>
          <w:tcPr>
            <w:tcW w:w="15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196</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34"/>
        </w:trPr>
        <w:tc>
          <w:tcPr>
            <w:tcW w:w="61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Total expenses</w:t>
            </w:r>
          </w:p>
        </w:tc>
        <w:tc>
          <w:tcPr>
            <w:tcW w:w="15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71,629</w:t>
            </w:r>
          </w:p>
        </w:tc>
        <w:tc>
          <w:tcPr>
            <w:tcW w:w="36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16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58,837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6120" w:type="dxa"/>
            <w:vAlign w:val="bottom"/>
          </w:tcPr>
          <w:p>
            <w:pPr>
              <w:spacing w:after="0"/>
              <w:rPr>
                <w:sz w:val="20"/>
                <w:szCs w:val="20"/>
                <w:color w:val="auto"/>
              </w:rPr>
            </w:pPr>
            <w:r>
              <w:rPr>
                <w:rFonts w:ascii="Arial" w:cs="Arial" w:eastAsia="Arial" w:hAnsi="Arial"/>
                <w:sz w:val="13"/>
                <w:szCs w:val="13"/>
                <w:b w:val="1"/>
                <w:bCs w:val="1"/>
                <w:color w:val="auto"/>
              </w:rPr>
              <w:t>Other income (expense)</w:t>
            </w:r>
          </w:p>
        </w:tc>
        <w:tc>
          <w:tcPr>
            <w:tcW w:w="1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6120" w:type="dxa"/>
            <w:vAlign w:val="bottom"/>
          </w:tcPr>
          <w:p>
            <w:pPr>
              <w:ind w:left="40"/>
              <w:spacing w:after="0" w:line="142" w:lineRule="exact"/>
              <w:rPr>
                <w:sz w:val="20"/>
                <w:szCs w:val="20"/>
                <w:color w:val="auto"/>
              </w:rPr>
            </w:pPr>
            <w:r>
              <w:rPr>
                <w:rFonts w:ascii="Arial" w:cs="Arial" w:eastAsia="Arial" w:hAnsi="Arial"/>
                <w:sz w:val="13"/>
                <w:szCs w:val="13"/>
                <w:color w:val="auto"/>
              </w:rPr>
              <w:t>Income from unconsolidated real estate venture</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1,664</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1,822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120" w:type="dxa"/>
            <w:vAlign w:val="bottom"/>
          </w:tcPr>
          <w:p>
            <w:pPr>
              <w:ind w:left="40"/>
              <w:spacing w:after="0"/>
              <w:rPr>
                <w:sz w:val="20"/>
                <w:szCs w:val="20"/>
                <w:color w:val="auto"/>
              </w:rPr>
            </w:pPr>
            <w:r>
              <w:rPr>
                <w:rFonts w:ascii="Arial" w:cs="Arial" w:eastAsia="Arial" w:hAnsi="Arial"/>
                <w:sz w:val="13"/>
                <w:szCs w:val="13"/>
                <w:color w:val="auto"/>
              </w:rPr>
              <w:t>Interest expense, net</w:t>
            </w:r>
          </w:p>
        </w:tc>
        <w:tc>
          <w:tcPr>
            <w:tcW w:w="1580" w:type="dxa"/>
            <w:vAlign w:val="bottom"/>
          </w:tcPr>
          <w:p>
            <w:pPr>
              <w:spacing w:after="0"/>
              <w:rPr>
                <w:sz w:val="13"/>
                <w:szCs w:val="13"/>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(20,166)</w:t>
            </w:r>
          </w:p>
        </w:tc>
        <w:tc>
          <w:tcPr>
            <w:tcW w:w="52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(18,377)</w:t>
            </w:r>
          </w:p>
        </w:tc>
        <w:tc>
          <w:tcPr>
            <w:tcW w:w="0" w:type="dxa"/>
            <w:vAlign w:val="bottom"/>
          </w:tcPr>
          <w:p>
            <w:pPr>
              <w:spacing w:after="0"/>
              <w:rPr>
                <w:sz w:val="1"/>
                <w:szCs w:val="1"/>
                <w:color w:val="auto"/>
              </w:rPr>
            </w:pPr>
          </w:p>
        </w:tc>
      </w:tr>
      <w:tr>
        <w:trPr>
          <w:trHeight w:val="158"/>
        </w:trPr>
        <w:tc>
          <w:tcPr>
            <w:tcW w:w="612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5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1,414</w:t>
            </w:r>
          </w:p>
        </w:tc>
        <w:tc>
          <w:tcPr>
            <w:tcW w:w="3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120" w:type="dxa"/>
            <w:vAlign w:val="bottom"/>
          </w:tcPr>
          <w:p>
            <w:pPr>
              <w:ind w:left="40"/>
              <w:spacing w:after="0"/>
              <w:rPr>
                <w:sz w:val="20"/>
                <w:szCs w:val="20"/>
                <w:color w:val="auto"/>
              </w:rPr>
            </w:pPr>
            <w:r>
              <w:rPr>
                <w:rFonts w:ascii="Arial" w:cs="Arial" w:eastAsia="Arial" w:hAnsi="Arial"/>
                <w:sz w:val="13"/>
                <w:szCs w:val="13"/>
                <w:color w:val="auto"/>
              </w:rPr>
              <w:t>Non-controlling interest in Operating Partnership</w:t>
            </w:r>
          </w:p>
        </w:tc>
        <w:tc>
          <w:tcPr>
            <w:tcW w:w="1580" w:type="dxa"/>
            <w:vAlign w:val="bottom"/>
          </w:tcPr>
          <w:p>
            <w:pPr>
              <w:spacing w:after="0"/>
              <w:rPr>
                <w:sz w:val="22"/>
                <w:szCs w:val="22"/>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3"/>
                <w:szCs w:val="13"/>
                <w:color w:val="auto"/>
              </w:rPr>
              <w:t>(49)</w:t>
            </w:r>
          </w:p>
        </w:tc>
        <w:tc>
          <w:tcPr>
            <w:tcW w:w="520" w:type="dxa"/>
            <w:vAlign w:val="bottom"/>
          </w:tcPr>
          <w:p>
            <w:pPr>
              <w:spacing w:after="0"/>
              <w:rPr>
                <w:sz w:val="22"/>
                <w:szCs w:val="22"/>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color w:val="auto"/>
              </w:rPr>
              <w:t>(156)</w:t>
            </w:r>
          </w:p>
        </w:tc>
        <w:tc>
          <w:tcPr>
            <w:tcW w:w="0" w:type="dxa"/>
            <w:vAlign w:val="bottom"/>
          </w:tcPr>
          <w:p>
            <w:pPr>
              <w:spacing w:after="0"/>
              <w:rPr>
                <w:sz w:val="1"/>
                <w:szCs w:val="1"/>
                <w:color w:val="auto"/>
              </w:rPr>
            </w:pPr>
          </w:p>
        </w:tc>
      </w:tr>
      <w:tr>
        <w:trPr>
          <w:trHeight w:val="138"/>
        </w:trPr>
        <w:tc>
          <w:tcPr>
            <w:tcW w:w="6120" w:type="dxa"/>
            <w:vAlign w:val="bottom"/>
          </w:tcPr>
          <w:p>
            <w:pPr>
              <w:spacing w:after="0" w:line="138" w:lineRule="exact"/>
              <w:rPr>
                <w:sz w:val="20"/>
                <w:szCs w:val="20"/>
                <w:color w:val="auto"/>
              </w:rPr>
            </w:pPr>
            <w:r>
              <w:rPr>
                <w:rFonts w:ascii="Arial" w:cs="Arial" w:eastAsia="Arial" w:hAnsi="Arial"/>
                <w:sz w:val="13"/>
                <w:szCs w:val="13"/>
                <w:b w:val="1"/>
                <w:bCs w:val="1"/>
                <w:color w:val="auto"/>
              </w:rPr>
              <w:t>Net income available to Easterly Government</w:t>
            </w:r>
          </w:p>
        </w:tc>
        <w:tc>
          <w:tcPr>
            <w:tcW w:w="15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12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Properties, Inc.</w:t>
            </w:r>
          </w:p>
        </w:tc>
        <w:tc>
          <w:tcPr>
            <w:tcW w:w="1580" w:type="dxa"/>
            <w:vAlign w:val="bottom"/>
            <w:tcBorders>
              <w:bottom w:val="single" w:sz="8" w:color="auto"/>
            </w:tcBorders>
          </w:tcPr>
          <w:p>
            <w:pPr>
              <w:jc w:val="right"/>
              <w:ind w:right="1437"/>
              <w:spacing w:after="0" w:line="122"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1,365</w:t>
            </w:r>
          </w:p>
        </w:tc>
        <w:tc>
          <w:tcPr>
            <w:tcW w:w="360" w:type="dxa"/>
            <w:vAlign w:val="bottom"/>
          </w:tcPr>
          <w:p>
            <w:pPr>
              <w:spacing w:after="0"/>
              <w:rPr>
                <w:sz w:val="11"/>
                <w:szCs w:val="11"/>
                <w:color w:val="auto"/>
              </w:rPr>
            </w:pPr>
          </w:p>
        </w:tc>
        <w:tc>
          <w:tcPr>
            <w:tcW w:w="520" w:type="dxa"/>
            <w:vAlign w:val="bottom"/>
            <w:tcBorders>
              <w:bottom w:val="single" w:sz="8" w:color="auto"/>
            </w:tcBorders>
          </w:tcPr>
          <w:p>
            <w:pPr>
              <w:jc w:val="right"/>
              <w:ind w:right="377"/>
              <w:spacing w:after="0" w:line="122" w:lineRule="exact"/>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3,127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3"/>
                <w:szCs w:val="13"/>
                <w:b w:val="1"/>
                <w:bCs w:val="1"/>
                <w:color w:val="auto"/>
              </w:rPr>
              <w:t>Net income available to Easterly Government</w:t>
            </w: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2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6120" w:type="dxa"/>
            <w:vAlign w:val="bottom"/>
          </w:tcPr>
          <w:p>
            <w:pPr>
              <w:ind w:left="40"/>
              <w:spacing w:after="0"/>
              <w:rPr>
                <w:sz w:val="20"/>
                <w:szCs w:val="20"/>
                <w:color w:val="auto"/>
              </w:rPr>
            </w:pPr>
            <w:r>
              <w:rPr>
                <w:rFonts w:ascii="Arial" w:cs="Arial" w:eastAsia="Arial" w:hAnsi="Arial"/>
                <w:sz w:val="13"/>
                <w:szCs w:val="13"/>
                <w:b w:val="1"/>
                <w:bCs w:val="1"/>
                <w:color w:val="auto"/>
              </w:rPr>
              <w:t>Properties, Inc. per share:</w:t>
            </w:r>
          </w:p>
        </w:tc>
        <w:tc>
          <w:tcPr>
            <w:tcW w:w="1580" w:type="dxa"/>
            <w:vAlign w:val="bottom"/>
            <w:vMerge w:val="restart"/>
          </w:tcPr>
          <w:p>
            <w:pPr>
              <w:jc w:val="right"/>
              <w:ind w:right="1437"/>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0.02</w:t>
            </w:r>
          </w:p>
        </w:tc>
        <w:tc>
          <w:tcPr>
            <w:tcW w:w="360" w:type="dxa"/>
            <w:vAlign w:val="bottom"/>
          </w:tcPr>
          <w:p>
            <w:pPr>
              <w:spacing w:after="0"/>
              <w:rPr>
                <w:sz w:val="14"/>
                <w:szCs w:val="14"/>
                <w:color w:val="auto"/>
              </w:rPr>
            </w:pPr>
          </w:p>
        </w:tc>
        <w:tc>
          <w:tcPr>
            <w:tcW w:w="520" w:type="dxa"/>
            <w:vAlign w:val="bottom"/>
            <w:vMerge w:val="restart"/>
          </w:tcPr>
          <w:p>
            <w:pPr>
              <w:jc w:val="right"/>
              <w:ind w:right="377"/>
              <w:spacing w:after="0"/>
              <w:rPr>
                <w:sz w:val="20"/>
                <w:szCs w:val="20"/>
                <w:color w:val="auto"/>
              </w:rPr>
            </w:pPr>
            <w:r>
              <w:rPr>
                <w:rFonts w:ascii="Arial" w:cs="Arial" w:eastAsia="Arial" w:hAnsi="Arial"/>
                <w:sz w:val="13"/>
                <w:szCs w:val="13"/>
                <w:color w:val="auto"/>
                <w:w w:val="82"/>
              </w:rPr>
              <w:t>$</w:t>
            </w:r>
          </w:p>
        </w:tc>
        <w:tc>
          <w:tcPr>
            <w:tcW w:w="1680" w:type="dxa"/>
            <w:vAlign w:val="bottom"/>
            <w:vMerge w:val="restart"/>
          </w:tcPr>
          <w:p>
            <w:pPr>
              <w:jc w:val="right"/>
              <w:spacing w:after="0"/>
              <w:rPr>
                <w:sz w:val="20"/>
                <w:szCs w:val="20"/>
                <w:color w:val="auto"/>
              </w:rPr>
            </w:pPr>
            <w:r>
              <w:rPr>
                <w:rFonts w:ascii="Arial" w:cs="Arial" w:eastAsia="Arial" w:hAnsi="Arial"/>
                <w:sz w:val="13"/>
                <w:szCs w:val="13"/>
                <w:color w:val="auto"/>
              </w:rPr>
              <w:t>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6120" w:type="dxa"/>
            <w:vAlign w:val="bottom"/>
          </w:tcPr>
          <w:p>
            <w:pPr>
              <w:spacing w:after="0" w:line="111" w:lineRule="exact"/>
              <w:rPr>
                <w:sz w:val="20"/>
                <w:szCs w:val="20"/>
                <w:color w:val="auto"/>
              </w:rPr>
            </w:pPr>
            <w:r>
              <w:rPr>
                <w:rFonts w:ascii="Arial" w:cs="Arial" w:eastAsia="Arial" w:hAnsi="Arial"/>
                <w:sz w:val="12"/>
                <w:szCs w:val="12"/>
                <w:color w:val="auto"/>
              </w:rPr>
              <w:t>Basic</w:t>
            </w:r>
          </w:p>
        </w:tc>
        <w:tc>
          <w:tcPr>
            <w:tcW w:w="158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168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120" w:type="dxa"/>
            <w:vAlign w:val="bottom"/>
          </w:tcPr>
          <w:p>
            <w:pPr>
              <w:spacing w:after="0" w:line="118" w:lineRule="exact"/>
              <w:rPr>
                <w:sz w:val="20"/>
                <w:szCs w:val="20"/>
                <w:color w:val="auto"/>
              </w:rPr>
            </w:pPr>
            <w:r>
              <w:rPr>
                <w:rFonts w:ascii="Arial" w:cs="Arial" w:eastAsia="Arial" w:hAnsi="Arial"/>
                <w:sz w:val="13"/>
                <w:szCs w:val="13"/>
                <w:color w:val="auto"/>
              </w:rPr>
              <w:t>Diluted</w:t>
            </w:r>
          </w:p>
        </w:tc>
        <w:tc>
          <w:tcPr>
            <w:tcW w:w="1580" w:type="dxa"/>
            <w:vAlign w:val="bottom"/>
            <w:tcBorders>
              <w:bottom w:val="single" w:sz="8" w:color="auto"/>
            </w:tcBorders>
          </w:tcPr>
          <w:p>
            <w:pPr>
              <w:jc w:val="right"/>
              <w:ind w:right="1437"/>
              <w:spacing w:after="0" w:line="118" w:lineRule="exact"/>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0.02</w:t>
            </w:r>
          </w:p>
        </w:tc>
        <w:tc>
          <w:tcPr>
            <w:tcW w:w="360" w:type="dxa"/>
            <w:vAlign w:val="bottom"/>
          </w:tcPr>
          <w:p>
            <w:pPr>
              <w:spacing w:after="0"/>
              <w:rPr>
                <w:sz w:val="10"/>
                <w:szCs w:val="10"/>
                <w:color w:val="auto"/>
              </w:rPr>
            </w:pPr>
          </w:p>
        </w:tc>
        <w:tc>
          <w:tcPr>
            <w:tcW w:w="520" w:type="dxa"/>
            <w:vAlign w:val="bottom"/>
            <w:tcBorders>
              <w:bottom w:val="single" w:sz="8" w:color="auto"/>
            </w:tcBorders>
          </w:tcPr>
          <w:p>
            <w:pPr>
              <w:jc w:val="right"/>
              <w:ind w:right="377"/>
              <w:spacing w:after="0" w:line="118" w:lineRule="exact"/>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3"/>
                <w:szCs w:val="13"/>
                <w:b w:val="1"/>
                <w:bCs w:val="1"/>
                <w:color w:val="auto"/>
              </w:rPr>
              <w:t>Weighted-average common shares outstanding:</w:t>
            </w: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2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line="142" w:lineRule="exact"/>
              <w:rPr>
                <w:sz w:val="20"/>
                <w:szCs w:val="20"/>
                <w:color w:val="auto"/>
              </w:rPr>
            </w:pPr>
            <w:r>
              <w:rPr>
                <w:rFonts w:ascii="Arial" w:cs="Arial" w:eastAsia="Arial" w:hAnsi="Arial"/>
                <w:sz w:val="13"/>
                <w:szCs w:val="13"/>
                <w:color w:val="auto"/>
              </w:rPr>
              <w:t>Basic</w:t>
            </w:r>
          </w:p>
        </w:tc>
        <w:tc>
          <w:tcPr>
            <w:tcW w:w="15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98"/>
              </w:rPr>
              <w:t>46,260,517</w:t>
            </w: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80" w:type="dxa"/>
            <w:vAlign w:val="bottom"/>
          </w:tcPr>
          <w:p>
            <w:pPr>
              <w:jc w:val="right"/>
              <w:spacing w:after="0" w:line="142" w:lineRule="exact"/>
              <w:rPr>
                <w:sz w:val="20"/>
                <w:szCs w:val="20"/>
                <w:color w:val="auto"/>
              </w:rPr>
            </w:pPr>
            <w:r>
              <w:rPr>
                <w:rFonts w:ascii="Arial" w:cs="Arial" w:eastAsia="Arial" w:hAnsi="Arial"/>
                <w:sz w:val="13"/>
                <w:szCs w:val="13"/>
                <w:color w:val="auto"/>
              </w:rPr>
              <w:t>43,224,145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120" w:type="dxa"/>
            <w:vAlign w:val="bottom"/>
          </w:tcPr>
          <w:p>
            <w:pPr>
              <w:spacing w:after="0"/>
              <w:rPr>
                <w:sz w:val="20"/>
                <w:szCs w:val="20"/>
                <w:color w:val="auto"/>
              </w:rPr>
            </w:pPr>
            <w:r>
              <w:rPr>
                <w:rFonts w:ascii="Arial" w:cs="Arial" w:eastAsia="Arial" w:hAnsi="Arial"/>
                <w:sz w:val="13"/>
                <w:szCs w:val="13"/>
                <w:color w:val="auto"/>
              </w:rPr>
              <w:t>Diluted</w:t>
            </w:r>
          </w:p>
        </w:tc>
        <w:tc>
          <w:tcPr>
            <w:tcW w:w="1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46,453,599</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43,372,207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6120" w:type="dxa"/>
            <w:vAlign w:val="bottom"/>
          </w:tcPr>
          <w:p>
            <w:pPr>
              <w:spacing w:after="0"/>
              <w:rPr>
                <w:sz w:val="20"/>
                <w:szCs w:val="20"/>
                <w:color w:val="auto"/>
              </w:rPr>
            </w:pPr>
            <w:r>
              <w:rPr>
                <w:rFonts w:ascii="Arial" w:cs="Arial" w:eastAsia="Arial" w:hAnsi="Arial"/>
                <w:sz w:val="13"/>
                <w:szCs w:val="13"/>
                <w:color w:val="auto"/>
              </w:rPr>
              <w:t>Net income, per share - fully diluted basis</w:t>
            </w:r>
          </w:p>
        </w:tc>
        <w:tc>
          <w:tcPr>
            <w:tcW w:w="1580" w:type="dxa"/>
            <w:vAlign w:val="bottom"/>
            <w:tcBorders>
              <w:bottom w:val="single" w:sz="8" w:color="auto"/>
            </w:tcBorders>
          </w:tcPr>
          <w:p>
            <w:pPr>
              <w:jc w:val="right"/>
              <w:ind w:right="1437"/>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360" w:type="dxa"/>
            <w:vAlign w:val="bottom"/>
          </w:tcPr>
          <w:p>
            <w:pPr>
              <w:spacing w:after="0"/>
              <w:rPr>
                <w:sz w:val="23"/>
                <w:szCs w:val="23"/>
                <w:color w:val="auto"/>
              </w:rPr>
            </w:pPr>
          </w:p>
        </w:tc>
        <w:tc>
          <w:tcPr>
            <w:tcW w:w="5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w w:val="82"/>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3"/>
                <w:szCs w:val="13"/>
                <w:color w:val="auto"/>
              </w:rPr>
              <w:t>Weighted average common shares outstanding -</w:t>
            </w: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20" w:type="dxa"/>
            <w:vAlign w:val="bottom"/>
            <w:vMerge w:val="continue"/>
          </w:tcPr>
          <w:p>
            <w:pPr>
              <w:spacing w:after="0"/>
              <w:rPr>
                <w:sz w:val="21"/>
                <w:szCs w:val="21"/>
                <w:color w:val="auto"/>
              </w:rPr>
            </w:pPr>
          </w:p>
        </w:tc>
        <w:tc>
          <w:tcPr>
            <w:tcW w:w="1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6120" w:type="dxa"/>
            <w:vAlign w:val="bottom"/>
          </w:tcPr>
          <w:p>
            <w:pPr>
              <w:ind w:left="40"/>
              <w:spacing w:after="0"/>
              <w:rPr>
                <w:sz w:val="20"/>
                <w:szCs w:val="20"/>
                <w:color w:val="auto"/>
              </w:rPr>
            </w:pPr>
            <w:r>
              <w:rPr>
                <w:rFonts w:ascii="Arial" w:cs="Arial" w:eastAsia="Arial" w:hAnsi="Arial"/>
                <w:sz w:val="13"/>
                <w:szCs w:val="13"/>
                <w:color w:val="auto"/>
              </w:rPr>
              <w:t>fully diluted basis</w:t>
            </w:r>
          </w:p>
        </w:tc>
        <w:tc>
          <w:tcPr>
            <w:tcW w:w="15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8"/>
              </w:rPr>
              <w:t>47,996,434</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45,420,667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1" w:name="page12"/>
    <w:bookmarkEnd w:id="11"/>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jc w:val="center"/>
        <w:ind w:right="-324"/>
        <w:spacing w:after="0"/>
        <w:rPr>
          <w:sz w:val="20"/>
          <w:szCs w:val="20"/>
          <w:color w:val="auto"/>
        </w:rPr>
      </w:pPr>
      <w:r>
        <w:rPr>
          <w:rFonts w:ascii="Arial" w:cs="Arial" w:eastAsia="Arial" w:hAnsi="Arial"/>
          <w:sz w:val="17"/>
          <w:szCs w:val="17"/>
          <w:b w:val="1"/>
          <w:bCs w:val="1"/>
          <w:color w:val="auto"/>
        </w:rPr>
        <w:t>EBITDA</w:t>
      </w:r>
    </w:p>
    <w:p>
      <w:pPr>
        <w:spacing w:after="0" w:line="90" w:lineRule="exact"/>
        <w:rPr>
          <w:sz w:val="20"/>
          <w:szCs w:val="20"/>
          <w:color w:val="auto"/>
        </w:rPr>
      </w:pPr>
    </w:p>
    <w:p>
      <w:pPr>
        <w:jc w:val="center"/>
        <w:ind w:right="-324"/>
        <w:spacing w:after="0"/>
        <w:rPr>
          <w:sz w:val="20"/>
          <w:szCs w:val="20"/>
          <w:color w:val="auto"/>
        </w:rPr>
      </w:pPr>
      <w:r>
        <w:rPr>
          <w:rFonts w:ascii="Arial" w:cs="Arial" w:eastAsia="Arial" w:hAnsi="Arial"/>
          <w:sz w:val="17"/>
          <w:szCs w:val="17"/>
          <w:color w:val="auto"/>
        </w:rPr>
        <w:t>(Unaudited, in thousands)</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2760" w:type="dxa"/>
            <w:vAlign w:val="bottom"/>
            <w:tcBorders>
              <w:bottom w:val="single" w:sz="8" w:color="2B4B86"/>
            </w:tcBorders>
            <w:gridSpan w:val="4"/>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bottom w:val="single" w:sz="8" w:color="2B4B86"/>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60" w:type="dxa"/>
            <w:vAlign w:val="bottom"/>
          </w:tcPr>
          <w:p>
            <w:pPr>
              <w:spacing w:after="0"/>
              <w:rPr>
                <w:sz w:val="13"/>
                <w:szCs w:val="13"/>
                <w:color w:val="auto"/>
              </w:rPr>
            </w:pPr>
          </w:p>
        </w:tc>
        <w:tc>
          <w:tcPr>
            <w:tcW w:w="1580" w:type="dxa"/>
            <w:vAlign w:val="bottom"/>
            <w:tcBorders>
              <w:bottom w:val="single" w:sz="8" w:color="2B4B86"/>
            </w:tcBorders>
          </w:tcPr>
          <w:p>
            <w:pPr>
              <w:jc w:val="right"/>
              <w:ind w:right="46"/>
              <w:spacing w:after="0" w:line="142" w:lineRule="exact"/>
              <w:rPr>
                <w:sz w:val="20"/>
                <w:szCs w:val="20"/>
                <w:color w:val="auto"/>
              </w:rPr>
            </w:pPr>
            <w:r>
              <w:rPr>
                <w:rFonts w:ascii="Arial" w:cs="Arial" w:eastAsia="Arial" w:hAnsi="Arial"/>
                <w:sz w:val="13"/>
                <w:szCs w:val="13"/>
                <w:b w:val="1"/>
                <w:bCs w:val="1"/>
                <w:color w:val="auto"/>
              </w:rPr>
              <w:t>March 31, 2026</w:t>
            </w:r>
          </w:p>
        </w:tc>
        <w:tc>
          <w:tcPr>
            <w:tcW w:w="480" w:type="dxa"/>
            <w:vAlign w:val="bottom"/>
            <w:tcBorders>
              <w:bottom w:val="single" w:sz="8" w:color="2B4B86"/>
            </w:tcBorders>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Borders>
              <w:bottom w:val="single" w:sz="8" w:color="2B4B86"/>
            </w:tcBorders>
          </w:tcPr>
          <w:p>
            <w:pPr>
              <w:spacing w:after="0"/>
              <w:rPr>
                <w:sz w:val="13"/>
                <w:szCs w:val="13"/>
                <w:color w:val="auto"/>
              </w:rPr>
            </w:pPr>
          </w:p>
        </w:tc>
        <w:tc>
          <w:tcPr>
            <w:tcW w:w="1400" w:type="dxa"/>
            <w:vAlign w:val="bottom"/>
            <w:tcBorders>
              <w:bottom w:val="single" w:sz="8" w:color="2B4B86"/>
            </w:tcBorders>
          </w:tcPr>
          <w:p>
            <w:pPr>
              <w:jc w:val="right"/>
              <w:ind w:right="377"/>
              <w:spacing w:after="0" w:line="142" w:lineRule="exact"/>
              <w:rPr>
                <w:sz w:val="20"/>
                <w:szCs w:val="20"/>
                <w:color w:val="auto"/>
              </w:rPr>
            </w:pPr>
            <w:r>
              <w:rPr>
                <w:rFonts w:ascii="Arial" w:cs="Arial" w:eastAsia="Arial" w:hAnsi="Arial"/>
                <w:sz w:val="13"/>
                <w:szCs w:val="13"/>
                <w:b w:val="1"/>
                <w:bCs w:val="1"/>
                <w:color w:val="auto"/>
              </w:rPr>
              <w:t>March 31, 2025</w:t>
            </w: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1580" w:type="dxa"/>
            <w:vAlign w:val="bottom"/>
          </w:tcPr>
          <w:p>
            <w:pPr>
              <w:jc w:val="right"/>
              <w:ind w:right="1466"/>
              <w:spacing w:after="0"/>
              <w:rPr>
                <w:sz w:val="20"/>
                <w:szCs w:val="20"/>
                <w:color w:val="auto"/>
              </w:rPr>
            </w:pPr>
            <w:r>
              <w:rPr>
                <w:rFonts w:ascii="Arial" w:cs="Arial" w:eastAsia="Arial" w:hAnsi="Arial"/>
                <w:sz w:val="9"/>
                <w:szCs w:val="9"/>
                <w:color w:val="auto"/>
                <w:w w:val="78"/>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1,414</w:t>
            </w:r>
          </w:p>
        </w:tc>
        <w:tc>
          <w:tcPr>
            <w:tcW w:w="70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3,283</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Depreciation and amortization</w:t>
            </w:r>
          </w:p>
        </w:tc>
        <w:tc>
          <w:tcPr>
            <w:tcW w:w="15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33,221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26,797</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Interest expense</w:t>
            </w:r>
          </w:p>
        </w:tc>
        <w:tc>
          <w:tcPr>
            <w:tcW w:w="15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20,166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18,377</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Tax expense</w:t>
            </w:r>
          </w:p>
        </w:tc>
        <w:tc>
          <w:tcPr>
            <w:tcW w:w="15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111</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163</w:t>
            </w:r>
          </w:p>
        </w:tc>
        <w:tc>
          <w:tcPr>
            <w:tcW w:w="0" w:type="dxa"/>
            <w:vAlign w:val="bottom"/>
          </w:tcPr>
          <w:p>
            <w:pPr>
              <w:spacing w:after="0"/>
              <w:rPr>
                <w:sz w:val="1"/>
                <w:szCs w:val="1"/>
                <w:color w:val="auto"/>
              </w:rPr>
            </w:pPr>
          </w:p>
        </w:tc>
      </w:tr>
      <w:tr>
        <w:trPr>
          <w:trHeight w:val="150"/>
        </w:trPr>
        <w:tc>
          <w:tcPr>
            <w:tcW w:w="676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2,340</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2,341</w:t>
            </w:r>
          </w:p>
        </w:tc>
        <w:tc>
          <w:tcPr>
            <w:tcW w:w="0" w:type="dxa"/>
            <w:vAlign w:val="bottom"/>
          </w:tcPr>
          <w:p>
            <w:pPr>
              <w:spacing w:after="0"/>
              <w:rPr>
                <w:sz w:val="1"/>
                <w:szCs w:val="1"/>
                <w:color w:val="auto"/>
              </w:rPr>
            </w:pPr>
          </w:p>
        </w:tc>
      </w:tr>
      <w:tr>
        <w:trPr>
          <w:trHeight w:val="134"/>
        </w:trPr>
        <w:tc>
          <w:tcPr>
            <w:tcW w:w="6760" w:type="dxa"/>
            <w:vAlign w:val="bottom"/>
          </w:tcPr>
          <w:p>
            <w:pPr>
              <w:spacing w:after="0" w:line="134" w:lineRule="exact"/>
              <w:rPr>
                <w:sz w:val="20"/>
                <w:szCs w:val="20"/>
                <w:color w:val="auto"/>
              </w:rPr>
            </w:pPr>
            <w:r>
              <w:rPr>
                <w:rFonts w:ascii="Arial" w:cs="Arial" w:eastAsia="Arial" w:hAnsi="Arial"/>
                <w:sz w:val="13"/>
                <w:szCs w:val="13"/>
                <w:b w:val="1"/>
                <w:bCs w:val="1"/>
                <w:color w:val="auto"/>
              </w:rPr>
              <w:t>EBITDA</w:t>
            </w:r>
          </w:p>
        </w:tc>
        <w:tc>
          <w:tcPr>
            <w:tcW w:w="1580" w:type="dxa"/>
            <w:vAlign w:val="bottom"/>
            <w:tcBorders>
              <w:bottom w:val="single" w:sz="8" w:color="auto"/>
            </w:tcBorders>
          </w:tcPr>
          <w:p>
            <w:pPr>
              <w:jc w:val="right"/>
              <w:ind w:right="1466"/>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57,252</w:t>
            </w:r>
          </w:p>
        </w:tc>
        <w:tc>
          <w:tcPr>
            <w:tcW w:w="340" w:type="dxa"/>
            <w:vAlign w:val="bottom"/>
          </w:tcPr>
          <w:p>
            <w:pPr>
              <w:spacing w:after="0"/>
              <w:rPr>
                <w:sz w:val="11"/>
                <w:szCs w:val="11"/>
                <w:color w:val="auto"/>
              </w:rPr>
            </w:pPr>
          </w:p>
        </w:tc>
        <w:tc>
          <w:tcPr>
            <w:tcW w:w="360" w:type="dxa"/>
            <w:vAlign w:val="bottom"/>
            <w:tcBorders>
              <w:bottom w:val="single" w:sz="8" w:color="auto"/>
            </w:tcBorders>
          </w:tcPr>
          <w:p>
            <w:pPr>
              <w:jc w:val="right"/>
              <w:ind w:right="217"/>
              <w:spacing w:after="0" w:line="122" w:lineRule="exact"/>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50,961</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60"/>
              <w:spacing w:after="0"/>
              <w:rPr>
                <w:sz w:val="20"/>
                <w:szCs w:val="20"/>
                <w:color w:val="auto"/>
              </w:rPr>
            </w:pPr>
            <w:r>
              <w:rPr>
                <w:rFonts w:ascii="Arial" w:cs="Arial" w:eastAsia="Arial" w:hAnsi="Arial"/>
                <w:sz w:val="13"/>
                <w:szCs w:val="13"/>
                <w:color w:val="auto"/>
              </w:rPr>
              <w:t>Pro forma adjustments</w:t>
            </w:r>
            <w:r>
              <w:rPr>
                <w:rFonts w:ascii="Arial" w:cs="Arial" w:eastAsia="Arial" w:hAnsi="Arial"/>
                <w:sz w:val="16"/>
                <w:szCs w:val="16"/>
                <w:color w:val="auto"/>
                <w:vertAlign w:val="superscript"/>
              </w:rPr>
              <w:t>(1)</w:t>
            </w: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760" w:type="dxa"/>
            <w:vAlign w:val="bottom"/>
            <w:vMerge w:val="continue"/>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4"/>
        </w:trPr>
        <w:tc>
          <w:tcPr>
            <w:tcW w:w="6760" w:type="dxa"/>
            <w:vAlign w:val="bottom"/>
          </w:tcPr>
          <w:p>
            <w:pPr>
              <w:spacing w:after="0" w:line="134" w:lineRule="exact"/>
              <w:rPr>
                <w:sz w:val="20"/>
                <w:szCs w:val="20"/>
                <w:color w:val="auto"/>
              </w:rPr>
            </w:pPr>
            <w:r>
              <w:rPr>
                <w:rFonts w:ascii="Arial" w:cs="Arial" w:eastAsia="Arial" w:hAnsi="Arial"/>
                <w:sz w:val="13"/>
                <w:szCs w:val="13"/>
                <w:b w:val="1"/>
                <w:bCs w:val="1"/>
                <w:color w:val="auto"/>
              </w:rPr>
              <w:t>Pro forma EBITDA</w:t>
            </w:r>
          </w:p>
        </w:tc>
        <w:tc>
          <w:tcPr>
            <w:tcW w:w="1580" w:type="dxa"/>
            <w:vAlign w:val="bottom"/>
            <w:tcBorders>
              <w:bottom w:val="single" w:sz="8" w:color="auto"/>
            </w:tcBorders>
          </w:tcPr>
          <w:p>
            <w:pPr>
              <w:jc w:val="right"/>
              <w:ind w:right="1466"/>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57,440</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5" w:hanging="125"/>
        <w:spacing w:after="0"/>
        <w:tabs>
          <w:tab w:leader="none" w:pos="125" w:val="left"/>
        </w:tabs>
        <w:numPr>
          <w:ilvl w:val="0"/>
          <w:numId w:val="3"/>
        </w:numPr>
        <w:rPr>
          <w:rFonts w:ascii="Arial" w:cs="Arial" w:eastAsia="Arial" w:hAnsi="Arial"/>
          <w:sz w:val="15"/>
          <w:szCs w:val="15"/>
          <w:color w:val="53565A"/>
          <w:vertAlign w:val="superscript"/>
        </w:rPr>
      </w:pPr>
      <w:r>
        <w:rPr>
          <w:rFonts w:ascii="Arial" w:cs="Arial" w:eastAsia="Arial" w:hAnsi="Arial"/>
          <w:sz w:val="11"/>
          <w:szCs w:val="11"/>
          <w:color w:val="53565A"/>
        </w:rPr>
        <w:t>Pro forma assuming a full quarter of operations from the three operating properties acquired in the first quarter of 2026.</w:t>
      </w:r>
    </w:p>
    <w:p>
      <w:pPr>
        <w:spacing w:after="0" w:line="347" w:lineRule="exact"/>
        <w:rPr>
          <w:sz w:val="20"/>
          <w:szCs w:val="20"/>
          <w:color w:val="auto"/>
        </w:rPr>
      </w:pPr>
    </w:p>
    <w:p>
      <w:pPr>
        <w:jc w:val="center"/>
        <w:ind w:right="-324"/>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25"/>
          </w:cols>
          <w:pgMar w:left="315" w:top="1440" w:right="659" w:bottom="1440" w:gutter="0" w:footer="0" w:header="0"/>
        </w:sectPr>
      </w:pPr>
    </w:p>
    <w:bookmarkStart w:id="12" w:name="page13"/>
    <w:bookmarkEnd w:id="12"/>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449580</wp:posOffset>
            </wp:positionV>
            <wp:extent cx="1216660" cy="398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16660" cy="398145"/>
                    </a:xfrm>
                    <a:prstGeom prst="rect">
                      <a:avLst/>
                    </a:prstGeom>
                    <a:noFill/>
                  </pic:spPr>
                </pic:pic>
              </a:graphicData>
            </a:graphic>
          </wp:anchor>
        </w:drawing>
      </w:r>
    </w:p>
    <w:p>
      <w:pPr>
        <w:jc w:val="center"/>
        <w:ind w:right="-4"/>
        <w:spacing w:after="0"/>
        <w:rPr>
          <w:sz w:val="20"/>
          <w:szCs w:val="20"/>
          <w:color w:val="auto"/>
        </w:rPr>
      </w:pPr>
      <w:r>
        <w:rPr>
          <w:rFonts w:ascii="Arial" w:cs="Arial" w:eastAsia="Arial" w:hAnsi="Arial"/>
          <w:sz w:val="17"/>
          <w:szCs w:val="17"/>
          <w:b w:val="1"/>
          <w:bCs w:val="1"/>
          <w:color w:val="auto"/>
        </w:rPr>
        <w:t>FFO and CAD</w:t>
      </w:r>
    </w:p>
    <w:p>
      <w:pPr>
        <w:spacing w:after="0" w:line="90" w:lineRule="exact"/>
        <w:rPr>
          <w:sz w:val="20"/>
          <w:szCs w:val="20"/>
          <w:color w:val="auto"/>
        </w:rPr>
      </w:pPr>
    </w:p>
    <w:p>
      <w:pPr>
        <w:jc w:val="center"/>
        <w:ind w:right="-4"/>
        <w:spacing w:after="0"/>
        <w:rPr>
          <w:sz w:val="20"/>
          <w:szCs w:val="20"/>
          <w:color w:val="auto"/>
        </w:rPr>
      </w:pPr>
      <w:r>
        <w:rPr>
          <w:rFonts w:ascii="Arial" w:cs="Arial" w:eastAsia="Arial" w:hAnsi="Arial"/>
          <w:sz w:val="17"/>
          <w:szCs w:val="17"/>
          <w:color w:val="auto"/>
        </w:rPr>
        <w:t>(Unaudited, in thousands, except share and per share amounts)</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6760" w:type="dxa"/>
            <w:vAlign w:val="bottom"/>
          </w:tcPr>
          <w:p>
            <w:pPr>
              <w:spacing w:after="0"/>
              <w:rPr>
                <w:sz w:val="14"/>
                <w:szCs w:val="14"/>
                <w:color w:val="auto"/>
              </w:rPr>
            </w:pPr>
          </w:p>
        </w:tc>
        <w:tc>
          <w:tcPr>
            <w:tcW w:w="320" w:type="dxa"/>
            <w:vAlign w:val="bottom"/>
            <w:tcBorders>
              <w:bottom w:val="single" w:sz="8" w:color="2B4B86"/>
            </w:tcBorders>
          </w:tcPr>
          <w:p>
            <w:pPr>
              <w:spacing w:after="0"/>
              <w:rPr>
                <w:sz w:val="14"/>
                <w:szCs w:val="14"/>
                <w:color w:val="auto"/>
              </w:rPr>
            </w:pPr>
          </w:p>
        </w:tc>
        <w:tc>
          <w:tcPr>
            <w:tcW w:w="2440" w:type="dxa"/>
            <w:vAlign w:val="bottom"/>
            <w:tcBorders>
              <w:bottom w:val="single" w:sz="8" w:color="2B4B86"/>
            </w:tcBorders>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1400" w:type="dxa"/>
            <w:vAlign w:val="bottom"/>
            <w:tcBorders>
              <w:bottom w:val="single" w:sz="8" w:color="2B4B86"/>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gridSpan w:val="2"/>
          </w:tcPr>
          <w:p>
            <w:pPr>
              <w:jc w:val="right"/>
              <w:ind w:right="920"/>
              <w:spacing w:after="0" w:line="142" w:lineRule="exact"/>
              <w:rPr>
                <w:sz w:val="20"/>
                <w:szCs w:val="20"/>
                <w:color w:val="auto"/>
              </w:rPr>
            </w:pPr>
            <w:r>
              <w:rPr>
                <w:rFonts w:ascii="Arial" w:cs="Arial" w:eastAsia="Arial" w:hAnsi="Arial"/>
                <w:sz w:val="13"/>
                <w:szCs w:val="13"/>
                <w:b w:val="1"/>
                <w:bCs w:val="1"/>
                <w:color w:val="auto"/>
              </w:rPr>
              <w:t>March 31, 2026</w:t>
            </w:r>
          </w:p>
        </w:tc>
        <w:tc>
          <w:tcPr>
            <w:tcW w:w="360" w:type="dxa"/>
            <w:vAlign w:val="bottom"/>
          </w:tcPr>
          <w:p>
            <w:pPr>
              <w:spacing w:after="0"/>
              <w:rPr>
                <w:sz w:val="13"/>
                <w:szCs w:val="13"/>
                <w:color w:val="auto"/>
              </w:rPr>
            </w:pPr>
          </w:p>
        </w:tc>
        <w:tc>
          <w:tcPr>
            <w:tcW w:w="1400" w:type="dxa"/>
            <w:vAlign w:val="bottom"/>
          </w:tcPr>
          <w:p>
            <w:pPr>
              <w:jc w:val="right"/>
              <w:ind w:right="377"/>
              <w:spacing w:after="0" w:line="142" w:lineRule="exact"/>
              <w:rPr>
                <w:sz w:val="20"/>
                <w:szCs w:val="20"/>
                <w:color w:val="auto"/>
              </w:rPr>
            </w:pPr>
            <w:r>
              <w:rPr>
                <w:rFonts w:ascii="Arial" w:cs="Arial" w:eastAsia="Arial" w:hAnsi="Arial"/>
                <w:sz w:val="13"/>
                <w:szCs w:val="13"/>
                <w:b w:val="1"/>
                <w:bCs w:val="1"/>
                <w:color w:val="auto"/>
              </w:rPr>
              <w:t>March 31, 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676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320" w:type="dxa"/>
            <w:vAlign w:val="bottom"/>
            <w:tcBorders>
              <w:top w:val="single" w:sz="8" w:color="2B4B86"/>
            </w:tcBorders>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Borders>
              <w:top w:val="single" w:sz="8" w:color="2B4B86"/>
            </w:tcBorders>
          </w:tcPr>
          <w:p>
            <w:pPr>
              <w:jc w:val="right"/>
              <w:spacing w:after="0"/>
              <w:rPr>
                <w:sz w:val="20"/>
                <w:szCs w:val="20"/>
                <w:color w:val="auto"/>
              </w:rPr>
            </w:pPr>
            <w:r>
              <w:rPr>
                <w:rFonts w:ascii="Arial" w:cs="Arial" w:eastAsia="Arial" w:hAnsi="Arial"/>
                <w:sz w:val="13"/>
                <w:szCs w:val="13"/>
                <w:color w:val="auto"/>
              </w:rPr>
              <w:t>1,414</w:t>
            </w:r>
          </w:p>
        </w:tc>
        <w:tc>
          <w:tcPr>
            <w:tcW w:w="340" w:type="dxa"/>
            <w:vAlign w:val="bottom"/>
          </w:tcPr>
          <w:p>
            <w:pPr>
              <w:spacing w:after="0"/>
              <w:rPr>
                <w:sz w:val="24"/>
                <w:szCs w:val="24"/>
                <w:color w:val="auto"/>
              </w:rPr>
            </w:pPr>
          </w:p>
        </w:tc>
        <w:tc>
          <w:tcPr>
            <w:tcW w:w="360" w:type="dxa"/>
            <w:vAlign w:val="bottom"/>
            <w:tcBorders>
              <w:top w:val="single" w:sz="8" w:color="2B4B86"/>
            </w:tcBorders>
          </w:tcPr>
          <w:p>
            <w:pPr>
              <w:jc w:val="right"/>
              <w:ind w:right="217"/>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2B4B86"/>
            </w:tcBorders>
          </w:tcPr>
          <w:p>
            <w:pPr>
              <w:jc w:val="right"/>
              <w:spacing w:after="0"/>
              <w:rPr>
                <w:sz w:val="20"/>
                <w:szCs w:val="20"/>
                <w:color w:val="auto"/>
              </w:rPr>
            </w:pPr>
            <w:r>
              <w:rPr>
                <w:rFonts w:ascii="Arial" w:cs="Arial" w:eastAsia="Arial" w:hAnsi="Arial"/>
                <w:sz w:val="13"/>
                <w:szCs w:val="13"/>
                <w:color w:val="auto"/>
              </w:rPr>
              <w:t>3,283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Depreciation of real estate assets</w:t>
            </w:r>
          </w:p>
        </w:tc>
        <w:tc>
          <w:tcPr>
            <w:tcW w:w="3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32,955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26,546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76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2,281</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760" w:type="dxa"/>
            <w:vAlign w:val="bottom"/>
          </w:tcPr>
          <w:p>
            <w:pPr>
              <w:spacing w:after="0" w:line="134" w:lineRule="exact"/>
              <w:rPr>
                <w:sz w:val="20"/>
                <w:szCs w:val="20"/>
                <w:color w:val="auto"/>
              </w:rPr>
            </w:pPr>
            <w:r>
              <w:rPr>
                <w:rFonts w:ascii="Arial" w:cs="Arial" w:eastAsia="Arial" w:hAnsi="Arial"/>
                <w:sz w:val="13"/>
                <w:szCs w:val="13"/>
                <w:b w:val="1"/>
                <w:bCs w:val="1"/>
                <w:color w:val="auto"/>
              </w:rPr>
              <w:t>FFO</w:t>
            </w: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36,650</w:t>
            </w:r>
          </w:p>
        </w:tc>
        <w:tc>
          <w:tcPr>
            <w:tcW w:w="340" w:type="dxa"/>
            <w:vAlign w:val="bottom"/>
          </w:tcPr>
          <w:p>
            <w:pPr>
              <w:spacing w:after="0"/>
              <w:rPr>
                <w:sz w:val="11"/>
                <w:szCs w:val="11"/>
                <w:color w:val="auto"/>
              </w:rPr>
            </w:pPr>
          </w:p>
        </w:tc>
        <w:tc>
          <w:tcPr>
            <w:tcW w:w="360" w:type="dxa"/>
            <w:vAlign w:val="bottom"/>
            <w:tcBorders>
              <w:bottom w:val="single" w:sz="8" w:color="auto"/>
            </w:tcBorders>
          </w:tcPr>
          <w:p>
            <w:pPr>
              <w:jc w:val="right"/>
              <w:ind w:right="217"/>
              <w:spacing w:after="0" w:line="122" w:lineRule="exact"/>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32,108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3"/>
                <w:szCs w:val="13"/>
                <w:b w:val="1"/>
                <w:bCs w:val="1"/>
                <w:color w:val="auto"/>
              </w:rPr>
              <w:t>Adjustments to FFO:</w:t>
            </w: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7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Loss on extinguishment of debt and modification costs</w:t>
            </w: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360" w:type="dxa"/>
            <w:vAlign w:val="bottom"/>
          </w:tcPr>
          <w:p>
            <w:pPr>
              <w:jc w:val="right"/>
              <w:ind w:right="217"/>
              <w:spacing w:after="0" w:line="142" w:lineRule="exact"/>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900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Provision for (recovery of) credit losses</w:t>
            </w:r>
          </w:p>
        </w:tc>
        <w:tc>
          <w:tcPr>
            <w:tcW w:w="3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196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3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15</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Depreciation of non-real estate assets</w:t>
            </w:r>
          </w:p>
        </w:tc>
        <w:tc>
          <w:tcPr>
            <w:tcW w:w="3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267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676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3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3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760" w:type="dxa"/>
            <w:vAlign w:val="bottom"/>
          </w:tcPr>
          <w:p>
            <w:pPr>
              <w:spacing w:after="0" w:line="134" w:lineRule="exact"/>
              <w:rPr>
                <w:sz w:val="20"/>
                <w:szCs w:val="20"/>
                <w:color w:val="auto"/>
              </w:rPr>
            </w:pPr>
            <w:r>
              <w:rPr>
                <w:rFonts w:ascii="Arial" w:cs="Arial" w:eastAsia="Arial" w:hAnsi="Arial"/>
                <w:sz w:val="13"/>
                <w:szCs w:val="13"/>
                <w:b w:val="1"/>
                <w:bCs w:val="1"/>
                <w:color w:val="auto"/>
              </w:rPr>
              <w:t>Core FFO</w:t>
            </w: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37,145</w:t>
            </w:r>
          </w:p>
        </w:tc>
        <w:tc>
          <w:tcPr>
            <w:tcW w:w="340" w:type="dxa"/>
            <w:vAlign w:val="bottom"/>
          </w:tcPr>
          <w:p>
            <w:pPr>
              <w:spacing w:after="0"/>
              <w:rPr>
                <w:sz w:val="11"/>
                <w:szCs w:val="11"/>
                <w:color w:val="auto"/>
              </w:rPr>
            </w:pPr>
          </w:p>
        </w:tc>
        <w:tc>
          <w:tcPr>
            <w:tcW w:w="360" w:type="dxa"/>
            <w:vAlign w:val="bottom"/>
            <w:tcBorders>
              <w:bottom w:val="single" w:sz="8" w:color="auto"/>
            </w:tcBorders>
          </w:tcPr>
          <w:p>
            <w:pPr>
              <w:jc w:val="right"/>
              <w:ind w:right="217"/>
              <w:spacing w:after="0" w:line="122" w:lineRule="exact"/>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33,061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760" w:type="dxa"/>
            <w:vAlign w:val="bottom"/>
          </w:tcPr>
          <w:p>
            <w:pPr>
              <w:spacing w:after="0"/>
              <w:rPr>
                <w:sz w:val="20"/>
                <w:szCs w:val="20"/>
                <w:color w:val="auto"/>
              </w:rPr>
            </w:pPr>
            <w:r>
              <w:rPr>
                <w:rFonts w:ascii="Arial" w:cs="Arial" w:eastAsia="Arial" w:hAnsi="Arial"/>
                <w:sz w:val="13"/>
                <w:szCs w:val="13"/>
                <w:color w:val="auto"/>
              </w:rPr>
              <w:t>FFO, per share - fully diluted basis</w:t>
            </w: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0.76</w:t>
            </w:r>
          </w:p>
        </w:tc>
        <w:tc>
          <w:tcPr>
            <w:tcW w:w="340" w:type="dxa"/>
            <w:vAlign w:val="bottom"/>
          </w:tcPr>
          <w:p>
            <w:pPr>
              <w:spacing w:after="0"/>
              <w:rPr>
                <w:sz w:val="22"/>
                <w:szCs w:val="22"/>
                <w:color w:val="auto"/>
              </w:rPr>
            </w:pPr>
          </w:p>
        </w:tc>
        <w:tc>
          <w:tcPr>
            <w:tcW w:w="3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760" w:type="dxa"/>
            <w:vAlign w:val="bottom"/>
          </w:tcPr>
          <w:p>
            <w:pPr>
              <w:spacing w:after="0" w:line="118" w:lineRule="exact"/>
              <w:rPr>
                <w:sz w:val="20"/>
                <w:szCs w:val="20"/>
                <w:color w:val="auto"/>
              </w:rPr>
            </w:pPr>
            <w:r>
              <w:rPr>
                <w:rFonts w:ascii="Arial" w:cs="Arial" w:eastAsia="Arial" w:hAnsi="Arial"/>
                <w:sz w:val="13"/>
                <w:szCs w:val="13"/>
                <w:color w:val="auto"/>
              </w:rPr>
              <w:t>Core FFO, per share - fully diluted basis</w:t>
            </w:r>
          </w:p>
        </w:tc>
        <w:tc>
          <w:tcPr>
            <w:tcW w:w="320" w:type="dxa"/>
            <w:vAlign w:val="bottom"/>
            <w:tcBorders>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0.77</w:t>
            </w:r>
          </w:p>
        </w:tc>
        <w:tc>
          <w:tcPr>
            <w:tcW w:w="340" w:type="dxa"/>
            <w:vAlign w:val="bottom"/>
          </w:tcPr>
          <w:p>
            <w:pPr>
              <w:spacing w:after="0"/>
              <w:rPr>
                <w:sz w:val="10"/>
                <w:szCs w:val="10"/>
                <w:color w:val="auto"/>
              </w:rPr>
            </w:pPr>
          </w:p>
        </w:tc>
        <w:tc>
          <w:tcPr>
            <w:tcW w:w="360" w:type="dxa"/>
            <w:vAlign w:val="bottom"/>
            <w:tcBorders>
              <w:bottom w:val="single" w:sz="8" w:color="auto"/>
            </w:tcBorders>
          </w:tcPr>
          <w:p>
            <w:pPr>
              <w:jc w:val="right"/>
              <w:ind w:right="217"/>
              <w:spacing w:after="0" w:line="118" w:lineRule="exact"/>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60" w:type="dxa"/>
            <w:vAlign w:val="bottom"/>
          </w:tcPr>
          <w:p>
            <w:pPr>
              <w:spacing w:after="0"/>
              <w:rPr>
                <w:sz w:val="20"/>
                <w:szCs w:val="20"/>
                <w:color w:val="auto"/>
              </w:rPr>
            </w:pPr>
            <w:r>
              <w:rPr>
                <w:rFonts w:ascii="Arial" w:cs="Arial" w:eastAsia="Arial" w:hAnsi="Arial"/>
                <w:sz w:val="13"/>
                <w:szCs w:val="13"/>
                <w:b w:val="1"/>
                <w:bCs w:val="1"/>
                <w:color w:val="auto"/>
              </w:rPr>
              <w:t>Core FFO</w:t>
            </w:r>
          </w:p>
        </w:tc>
        <w:tc>
          <w:tcPr>
            <w:tcW w:w="320" w:type="dxa"/>
            <w:vAlign w:val="bottom"/>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Pr>
          <w:p>
            <w:pPr>
              <w:jc w:val="right"/>
              <w:spacing w:after="0"/>
              <w:rPr>
                <w:sz w:val="20"/>
                <w:szCs w:val="20"/>
                <w:color w:val="auto"/>
              </w:rPr>
            </w:pPr>
            <w:r>
              <w:rPr>
                <w:rFonts w:ascii="Arial" w:cs="Arial" w:eastAsia="Arial" w:hAnsi="Arial"/>
                <w:sz w:val="13"/>
                <w:szCs w:val="13"/>
                <w:color w:val="auto"/>
              </w:rPr>
              <w:t>37,145</w:t>
            </w:r>
          </w:p>
        </w:tc>
        <w:tc>
          <w:tcPr>
            <w:tcW w:w="340" w:type="dxa"/>
            <w:vAlign w:val="bottom"/>
          </w:tcPr>
          <w:p>
            <w:pPr>
              <w:spacing w:after="0"/>
              <w:rPr>
                <w:sz w:val="21"/>
                <w:szCs w:val="21"/>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33,061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(2,007)</w:t>
            </w: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251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Amortization of above-/below-market leases</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(435)</w:t>
            </w: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Amortization of deferred revenue</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(3,704)</w:t>
            </w: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(1,762)</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Non-cash interest expense</w:t>
            </w:r>
          </w:p>
        </w:tc>
        <w:tc>
          <w:tcPr>
            <w:tcW w:w="3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939</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759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Non-cash compensation</w:t>
            </w:r>
          </w:p>
        </w:tc>
        <w:tc>
          <w:tcPr>
            <w:tcW w:w="320" w:type="dxa"/>
            <w:vAlign w:val="bottom"/>
          </w:tcPr>
          <w:p>
            <w:pPr>
              <w:spacing w:after="0"/>
              <w:rPr>
                <w:sz w:val="12"/>
                <w:szCs w:val="12"/>
                <w:color w:val="auto"/>
              </w:rPr>
            </w:pPr>
          </w:p>
        </w:tc>
        <w:tc>
          <w:tcPr>
            <w:tcW w:w="1740" w:type="dxa"/>
            <w:vAlign w:val="bottom"/>
          </w:tcPr>
          <w:p>
            <w:pPr>
              <w:jc w:val="right"/>
              <w:spacing w:after="0" w:line="142" w:lineRule="exact"/>
              <w:rPr>
                <w:sz w:val="20"/>
                <w:szCs w:val="20"/>
                <w:color w:val="auto"/>
              </w:rPr>
            </w:pPr>
            <w:r>
              <w:rPr>
                <w:rFonts w:ascii="Arial" w:cs="Arial" w:eastAsia="Arial" w:hAnsi="Arial"/>
                <w:sz w:val="13"/>
                <w:szCs w:val="13"/>
                <w:color w:val="auto"/>
              </w:rPr>
              <w:t>2,097</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jc w:val="right"/>
              <w:spacing w:after="0" w:line="142" w:lineRule="exact"/>
              <w:rPr>
                <w:sz w:val="20"/>
                <w:szCs w:val="20"/>
                <w:color w:val="auto"/>
              </w:rPr>
            </w:pPr>
            <w:r>
              <w:rPr>
                <w:rFonts w:ascii="Arial" w:cs="Arial" w:eastAsia="Arial" w:hAnsi="Arial"/>
                <w:sz w:val="13"/>
                <w:szCs w:val="13"/>
                <w:color w:val="auto"/>
              </w:rPr>
              <w:t>1,421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(15)</w:t>
            </w: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Principal amortization</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(1,190)</w:t>
            </w: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(1,127)</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Maintenance capital expenditures</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(657)</w:t>
            </w: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42"/>
        </w:trPr>
        <w:tc>
          <w:tcPr>
            <w:tcW w:w="6760" w:type="dxa"/>
            <w:vAlign w:val="bottom"/>
          </w:tcPr>
          <w:p>
            <w:pPr>
              <w:ind w:left="60"/>
              <w:spacing w:after="0" w:line="142" w:lineRule="exact"/>
              <w:rPr>
                <w:sz w:val="20"/>
                <w:szCs w:val="20"/>
                <w:color w:val="auto"/>
              </w:rPr>
            </w:pPr>
            <w:r>
              <w:rPr>
                <w:rFonts w:ascii="Arial" w:cs="Arial" w:eastAsia="Arial" w:hAnsi="Arial"/>
                <w:sz w:val="13"/>
                <w:szCs w:val="13"/>
                <w:color w:val="auto"/>
              </w:rPr>
              <w:t>Contractual tenant improvements</w:t>
            </w:r>
          </w:p>
        </w:tc>
        <w:tc>
          <w:tcPr>
            <w:tcW w:w="320" w:type="dxa"/>
            <w:vAlign w:val="bottom"/>
          </w:tcPr>
          <w:p>
            <w:pPr>
              <w:spacing w:after="0"/>
              <w:rPr>
                <w:sz w:val="12"/>
                <w:szCs w:val="12"/>
                <w:color w:val="auto"/>
              </w:rPr>
            </w:pPr>
          </w:p>
        </w:tc>
        <w:tc>
          <w:tcPr>
            <w:tcW w:w="2080" w:type="dxa"/>
            <w:vAlign w:val="bottom"/>
            <w:gridSpan w:val="2"/>
          </w:tcPr>
          <w:p>
            <w:pPr>
              <w:jc w:val="right"/>
              <w:ind w:right="280"/>
              <w:spacing w:after="0" w:line="142" w:lineRule="exact"/>
              <w:rPr>
                <w:sz w:val="20"/>
                <w:szCs w:val="20"/>
                <w:color w:val="auto"/>
              </w:rPr>
            </w:pPr>
            <w:r>
              <w:rPr>
                <w:rFonts w:ascii="Arial" w:cs="Arial" w:eastAsia="Arial" w:hAnsi="Arial"/>
                <w:sz w:val="13"/>
                <w:szCs w:val="13"/>
                <w:color w:val="auto"/>
              </w:rPr>
              <w:t>(49)</w:t>
            </w:r>
          </w:p>
        </w:tc>
        <w:tc>
          <w:tcPr>
            <w:tcW w:w="36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0"/>
        </w:trPr>
        <w:tc>
          <w:tcPr>
            <w:tcW w:w="676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320" w:type="dxa"/>
            <w:vAlign w:val="bottom"/>
          </w:tcPr>
          <w:p>
            <w:pPr>
              <w:spacing w:after="0"/>
              <w:rPr>
                <w:sz w:val="13"/>
                <w:szCs w:val="13"/>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29</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4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4"/>
        </w:trPr>
        <w:tc>
          <w:tcPr>
            <w:tcW w:w="6760" w:type="dxa"/>
            <w:vAlign w:val="bottom"/>
          </w:tcPr>
          <w:p>
            <w:pPr>
              <w:spacing w:after="0" w:line="134" w:lineRule="exact"/>
              <w:rPr>
                <w:sz w:val="20"/>
                <w:szCs w:val="20"/>
                <w:color w:val="auto"/>
              </w:rPr>
            </w:pPr>
            <w:r>
              <w:rPr>
                <w:rFonts w:ascii="Arial" w:cs="Arial" w:eastAsia="Arial" w:hAnsi="Arial"/>
                <w:sz w:val="13"/>
                <w:szCs w:val="13"/>
                <w:b w:val="1"/>
                <w:bCs w:val="1"/>
                <w:color w:val="auto"/>
              </w:rPr>
              <w:t>Cash Available for Distribution (CAD)</w:t>
            </w:r>
          </w:p>
        </w:tc>
        <w:tc>
          <w:tcPr>
            <w:tcW w:w="3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9"/>
                <w:szCs w:val="9"/>
                <w:color w:val="auto"/>
                <w:w w:val="78"/>
              </w:rPr>
              <w:t>$</w:t>
            </w:r>
          </w:p>
        </w:tc>
        <w:tc>
          <w:tcPr>
            <w:tcW w:w="174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32,153</w:t>
            </w:r>
          </w:p>
        </w:tc>
        <w:tc>
          <w:tcPr>
            <w:tcW w:w="34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ind w:right="217"/>
              <w:spacing w:after="0" w:line="122" w:lineRule="exact"/>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31,145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760" w:type="dxa"/>
            <w:vAlign w:val="bottom"/>
          </w:tcPr>
          <w:p>
            <w:pPr>
              <w:spacing w:after="0"/>
              <w:rPr>
                <w:sz w:val="20"/>
                <w:szCs w:val="20"/>
                <w:color w:val="auto"/>
              </w:rPr>
            </w:pPr>
            <w:r>
              <w:rPr>
                <w:rFonts w:ascii="Arial" w:cs="Arial" w:eastAsia="Arial" w:hAnsi="Arial"/>
                <w:sz w:val="13"/>
                <w:szCs w:val="13"/>
                <w:color w:val="auto"/>
              </w:rPr>
              <w:t>Weighted average common shares outstanding - fully diluted basis</w:t>
            </w:r>
          </w:p>
        </w:tc>
        <w:tc>
          <w:tcPr>
            <w:tcW w:w="3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3"/>
                <w:szCs w:val="13"/>
                <w:color w:val="auto"/>
              </w:rPr>
              <w:t>47,996,434</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45,420,667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tbl>
      <w:tblPr>
        <w:tblLayout w:type="fixed"/>
        <w:tblInd w:w="5"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5460" w:type="dxa"/>
            <w:vAlign w:val="bottom"/>
          </w:tcPr>
          <w:p>
            <w:pPr>
              <w:jc w:val="right"/>
              <w:ind w:right="1848"/>
              <w:spacing w:after="0"/>
              <w:rPr>
                <w:sz w:val="20"/>
                <w:szCs w:val="20"/>
                <w:color w:val="auto"/>
              </w:rPr>
            </w:pPr>
            <w:r>
              <w:rPr>
                <w:rFonts w:ascii="Arial" w:cs="Arial" w:eastAsia="Arial" w:hAnsi="Arial"/>
                <w:sz w:val="17"/>
                <w:szCs w:val="17"/>
                <w:b w:val="1"/>
                <w:bCs w:val="1"/>
                <w:color w:val="auto"/>
              </w:rPr>
              <w:t>Net Debt and Adjusted Net Debt</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5460" w:type="dxa"/>
            <w:vAlign w:val="bottom"/>
          </w:tcPr>
          <w:p>
            <w:pPr>
              <w:jc w:val="right"/>
              <w:ind w:right="2168"/>
              <w:spacing w:after="0"/>
              <w:rPr>
                <w:sz w:val="20"/>
                <w:szCs w:val="20"/>
                <w:color w:val="auto"/>
              </w:rPr>
            </w:pPr>
            <w:r>
              <w:rPr>
                <w:rFonts w:ascii="Arial" w:cs="Arial" w:eastAsia="Arial" w:hAnsi="Arial"/>
                <w:sz w:val="17"/>
                <w:szCs w:val="17"/>
                <w:color w:val="auto"/>
              </w:rPr>
              <w:t>(Unaudited, in thousands)</w:t>
            </w:r>
          </w:p>
        </w:tc>
        <w:tc>
          <w:tcPr>
            <w:tcW w:w="2400" w:type="dxa"/>
            <w:vAlign w:val="bottom"/>
            <w:gridSpan w:val="2"/>
            <w:vMerge w:val="restart"/>
          </w:tcPr>
          <w:p>
            <w:pPr>
              <w:jc w:val="right"/>
              <w:ind w:right="1060"/>
              <w:spacing w:after="0"/>
              <w:rPr>
                <w:sz w:val="20"/>
                <w:szCs w:val="20"/>
                <w:color w:val="auto"/>
              </w:rPr>
            </w:pPr>
            <w:r>
              <w:rPr>
                <w:rFonts w:ascii="Arial" w:cs="Arial" w:eastAsia="Arial" w:hAnsi="Arial"/>
                <w:sz w:val="13"/>
                <w:szCs w:val="13"/>
                <w:b w:val="1"/>
                <w:bCs w:val="1"/>
                <w:color w:val="auto"/>
              </w:rPr>
              <w:t>March 31, 2026</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top w:val="single" w:sz="8" w:color="2B4B86"/>
            </w:tcBorders>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Total Debt</w:t>
            </w:r>
            <w:r>
              <w:rPr>
                <w:rFonts w:ascii="Arial" w:cs="Arial" w:eastAsia="Arial" w:hAnsi="Arial"/>
                <w:sz w:val="16"/>
                <w:szCs w:val="16"/>
                <w:color w:val="auto"/>
                <w:vertAlign w:val="superscript"/>
              </w:rPr>
              <w:t>(1)</w:t>
            </w:r>
          </w:p>
        </w:tc>
        <w:tc>
          <w:tcPr>
            <w:tcW w:w="5460" w:type="dxa"/>
            <w:vAlign w:val="bottom"/>
            <w:tcBorders>
              <w:top w:val="single" w:sz="8" w:color="2B4B86"/>
            </w:tcBorders>
            <w:shd w:val="clear" w:color="auto" w:fill="E7E6E6"/>
          </w:tcPr>
          <w:p>
            <w:pPr>
              <w:jc w:val="right"/>
              <w:ind w:right="368"/>
              <w:spacing w:after="0" w:line="142" w:lineRule="exact"/>
              <w:rPr>
                <w:sz w:val="20"/>
                <w:szCs w:val="20"/>
                <w:color w:val="auto"/>
              </w:rPr>
            </w:pPr>
            <w:r>
              <w:rPr>
                <w:rFonts w:ascii="Arial" w:cs="Arial" w:eastAsia="Arial" w:hAnsi="Arial"/>
                <w:sz w:val="13"/>
                <w:szCs w:val="13"/>
                <w:b w:val="1"/>
                <w:bCs w:val="1"/>
                <w:color w:val="auto"/>
              </w:rPr>
              <w:t>$</w:t>
            </w:r>
          </w:p>
        </w:tc>
        <w:tc>
          <w:tcPr>
            <w:tcW w:w="2280" w:type="dxa"/>
            <w:vAlign w:val="bottom"/>
            <w:tcBorders>
              <w:top w:val="single" w:sz="8" w:color="2B4B86"/>
            </w:tcBorders>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1,720,560</w:t>
            </w: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line="142" w:lineRule="exact"/>
              <w:rPr>
                <w:sz w:val="20"/>
                <w:szCs w:val="20"/>
                <w:color w:val="auto"/>
              </w:rPr>
            </w:pPr>
            <w:r>
              <w:rPr>
                <w:rFonts w:ascii="Arial" w:cs="Arial" w:eastAsia="Arial" w:hAnsi="Arial"/>
                <w:sz w:val="13"/>
                <w:szCs w:val="13"/>
                <w:color w:val="auto"/>
              </w:rPr>
              <w:t>Less: Cash and cash equivalents</w:t>
            </w:r>
          </w:p>
        </w:tc>
        <w:tc>
          <w:tcPr>
            <w:tcW w:w="5460" w:type="dxa"/>
            <w:vAlign w:val="bottom"/>
          </w:tcPr>
          <w:p>
            <w:pPr>
              <w:spacing w:after="0"/>
              <w:rPr>
                <w:sz w:val="12"/>
                <w:szCs w:val="12"/>
                <w:color w:val="auto"/>
              </w:rPr>
            </w:pPr>
          </w:p>
        </w:tc>
        <w:tc>
          <w:tcPr>
            <w:tcW w:w="240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(3,964)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Net Debt</w:t>
            </w:r>
          </w:p>
        </w:tc>
        <w:tc>
          <w:tcPr>
            <w:tcW w:w="5460" w:type="dxa"/>
            <w:vAlign w:val="bottom"/>
            <w:shd w:val="clear" w:color="auto" w:fill="E7E6E6"/>
          </w:tcPr>
          <w:p>
            <w:pPr>
              <w:jc w:val="right"/>
              <w:ind w:right="368"/>
              <w:spacing w:after="0" w:line="142" w:lineRule="exact"/>
              <w:rPr>
                <w:sz w:val="20"/>
                <w:szCs w:val="20"/>
                <w:color w:val="auto"/>
              </w:rPr>
            </w:pPr>
            <w:r>
              <w:rPr>
                <w:rFonts w:ascii="Arial" w:cs="Arial" w:eastAsia="Arial" w:hAnsi="Arial"/>
                <w:sz w:val="13"/>
                <w:szCs w:val="13"/>
                <w:b w:val="1"/>
                <w:bCs w:val="1"/>
                <w:color w:val="auto"/>
              </w:rPr>
              <w:t>$</w:t>
            </w:r>
          </w:p>
        </w:tc>
        <w:tc>
          <w:tcPr>
            <w:tcW w:w="22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1,716,596</w:t>
            </w: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line="142" w:lineRule="exact"/>
              <w:rPr>
                <w:sz w:val="20"/>
                <w:szCs w:val="20"/>
                <w:color w:val="auto"/>
              </w:rPr>
            </w:pPr>
            <w:r>
              <w:rPr>
                <w:rFonts w:ascii="Arial" w:cs="Arial" w:eastAsia="Arial" w:hAnsi="Arial"/>
                <w:sz w:val="13"/>
                <w:szCs w:val="13"/>
                <w:color w:val="auto"/>
              </w:rPr>
              <w:t>Less: Adjustment for development projects</w:t>
            </w:r>
            <w:r>
              <w:rPr>
                <w:rFonts w:ascii="Arial" w:cs="Arial" w:eastAsia="Arial" w:hAnsi="Arial"/>
                <w:sz w:val="16"/>
                <w:szCs w:val="16"/>
                <w:color w:val="auto"/>
                <w:vertAlign w:val="superscript"/>
              </w:rPr>
              <w:t>(2)</w:t>
            </w:r>
          </w:p>
        </w:tc>
        <w:tc>
          <w:tcPr>
            <w:tcW w:w="5460" w:type="dxa"/>
            <w:vAlign w:val="bottom"/>
          </w:tcPr>
          <w:p>
            <w:pPr>
              <w:spacing w:after="0"/>
              <w:rPr>
                <w:sz w:val="12"/>
                <w:szCs w:val="12"/>
                <w:color w:val="auto"/>
              </w:rPr>
            </w:pPr>
          </w:p>
        </w:tc>
        <w:tc>
          <w:tcPr>
            <w:tcW w:w="240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(49,099)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Adjusted Net Debt</w:t>
            </w:r>
          </w:p>
        </w:tc>
        <w:tc>
          <w:tcPr>
            <w:tcW w:w="5460" w:type="dxa"/>
            <w:vAlign w:val="bottom"/>
            <w:shd w:val="clear" w:color="auto" w:fill="E7E6E6"/>
          </w:tcPr>
          <w:p>
            <w:pPr>
              <w:jc w:val="right"/>
              <w:ind w:right="368"/>
              <w:spacing w:after="0" w:line="142" w:lineRule="exact"/>
              <w:rPr>
                <w:sz w:val="20"/>
                <w:szCs w:val="20"/>
                <w:color w:val="auto"/>
              </w:rPr>
            </w:pPr>
            <w:r>
              <w:rPr>
                <w:rFonts w:ascii="Arial" w:cs="Arial" w:eastAsia="Arial" w:hAnsi="Arial"/>
                <w:sz w:val="13"/>
                <w:szCs w:val="13"/>
                <w:b w:val="1"/>
                <w:bCs w:val="1"/>
                <w:color w:val="auto"/>
              </w:rPr>
              <w:t>$</w:t>
            </w:r>
          </w:p>
        </w:tc>
        <w:tc>
          <w:tcPr>
            <w:tcW w:w="22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1,667,497</w:t>
            </w: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5" w:hanging="85"/>
        <w:spacing w:after="0"/>
        <w:tabs>
          <w:tab w:leader="none" w:pos="85"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Excludes unamortized premiums / discounts and deferred financing fees.</w:t>
      </w:r>
    </w:p>
    <w:p>
      <w:pPr>
        <w:ind w:left="5"/>
        <w:spacing w:after="0"/>
        <w:rPr>
          <w:rFonts w:ascii="Arial" w:cs="Arial" w:eastAsia="Arial" w:hAnsi="Arial"/>
          <w:sz w:val="17"/>
          <w:szCs w:val="17"/>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color w:val="auto"/>
        </w:rPr>
        <w:t xml:space="preserve"> See definition of Adjusted Net Debt on Page 4 of this release.</w:t>
      </w:r>
    </w:p>
    <w:p>
      <w:pPr>
        <w:spacing w:after="0" w:line="200" w:lineRule="exact"/>
        <w:rPr>
          <w:sz w:val="20"/>
          <w:szCs w:val="20"/>
          <w:color w:val="auto"/>
        </w:rPr>
      </w:pPr>
    </w:p>
    <w:p>
      <w:pPr>
        <w:spacing w:after="0" w:line="35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440" w:right="319" w:bottom="1440" w:gutter="0" w:footer="0" w:header="0"/>
        </w:sectPr>
      </w:pPr>
    </w:p>
    <w:bookmarkStart w:id="13" w:name="page14"/>
    <w:bookmarkEnd w:id="13"/>
    <w:p>
      <w:pPr>
        <w:ind w:left="926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6068695</wp:posOffset>
            </wp:positionV>
            <wp:extent cx="717486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13970</wp:posOffset>
            </wp:positionV>
            <wp:extent cx="7204075" cy="54070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0" w:num="1">
            <w:col w:w="10140"/>
          </w:cols>
          <w:pgMar w:left="1440" w:top="690" w:right="319" w:bottom="1440" w:gutter="0" w:footer="0" w:header="0"/>
        </w:sectPr>
      </w:pPr>
    </w:p>
    <w:bookmarkStart w:id="14" w:name="page15"/>
    <w:bookmarkEnd w:id="14"/>
    <w:p>
      <w:pPr>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Disclaimers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43815</wp:posOffset>
            </wp:positionV>
            <wp:extent cx="714946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3565A"/>
        </w:rPr>
        <w:t>Forward-Looking Statements</w:t>
      </w:r>
    </w:p>
    <w:p>
      <w:pPr>
        <w:spacing w:after="0" w:line="7" w:lineRule="exact"/>
        <w:rPr>
          <w:sz w:val="20"/>
          <w:szCs w:val="20"/>
          <w:color w:val="auto"/>
        </w:rPr>
      </w:pPr>
    </w:p>
    <w:p>
      <w:pPr>
        <w:jc w:val="both"/>
        <w:ind w:left="160" w:right="420"/>
        <w:spacing w:after="0" w:line="232" w:lineRule="auto"/>
        <w:rPr>
          <w:sz w:val="20"/>
          <w:szCs w:val="20"/>
          <w:color w:val="auto"/>
        </w:rPr>
      </w:pPr>
      <w:r>
        <w:rPr>
          <w:rFonts w:ascii="Arial" w:cs="Arial" w:eastAsia="Arial" w:hAnsi="Arial"/>
          <w:sz w:val="16"/>
          <w:szCs w:val="16"/>
          <w:i w:val="1"/>
          <w:iCs w:val="1"/>
          <w:color w:val="53565A"/>
        </w:rPr>
        <w:t>We make statements in this Supplemental Information Package that are considered “forward-looking statements” within the meaning of Section 27A of the Securities Act of 1933, as amended, or the Securities Act, and Section 21E of the Securities Exchange Act of 1934, as amended, or the Exchange Act, which are usually identified by the use of words such as “anticipates,” “believes,” “estimates,” “expects,” “intends,” “may,” “plans,” “projects,” “seeks,” “should,” “will,” and variations of such words or similar expressions. We intend these forward-looking statements to be covered by the safe harbor provisions for forward-looking statements contained in the Private Securities Litigation Reform Act of 1995 and are including this statement in this Supplemental Information Package for purposes of complying with those safe harbor provisions.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variety of risks and factors that are beyond our control including, without limitation: 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 risks associated with ownership and development of real estate; the risk of decreased rental rates or increased vacancy rates; the loss of key personnel; general volatility of the capital and credit markets and the market price of our common stock; the risk we may lose one or more major tenants; difficulties in completing and successfully integrating acquisitions; failure of acquisitions or development projects to occur at anticipated levels or yield anticipated results; risks associated with our joint venture activities; risks associated with actual or threatened terrorist attacks; intense competition in the real estate market that may limit our ability to attract or retain tenants or re-lease space; insufficient amounts of insurance or exposure to events that are either uninsured or underinsured; uncertainties and risks related to adverse weather conditions, natural disasters and climate change; exposure to liability relating to environmental and health and safety matters; limited ability to dispose of assets because of the relative illiquidity of real estate investments and the nature of our assets; exposure to litigation or other claims; risks associated with breaches of our data security; 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 risks associated with derivatives or hedging activity; risks associated with mortgage debt or unsecured financing or the unavailability thereof, which could make it difficult to finance or refinance properties and could subject us to foreclosure; adverse impacts from any future pandemic, epidemic or outbreak of any highly infectious disease on the U.S., regional and global economies and the financial condition and results of operations of the Company; and other risks and uncertainties detailed in the “Risk Factors” section of our Form 10-K for the year ended December 31, 2025, filed with the Securities and Exchange Commission, or the SEC, on February 23, 2026 and included under the heading “Risk Factors” in our other public filings. In addition, our qualification as a real estate investment trust involves the application of highly technical and complex provisions of the Internal Revenue Code of 1986, or the Code, and depends on our ability to meet the various requirements imposed by the Code through actual operating results, distribution levels and diversity of stock ownership. We assume no obligation to update publicly any forward-looking statements, whether as a result of new information, future events or otherwise.</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53565A"/>
        </w:rPr>
        <w:t>Ratings</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53565A"/>
        </w:rPr>
        <w:t>Ratings are not recommendations to buy, sell or hold the Company’s securities.</w:t>
      </w:r>
    </w:p>
    <w:p>
      <w:pPr>
        <w:spacing w:after="0" w:line="133" w:lineRule="exact"/>
        <w:rPr>
          <w:sz w:val="20"/>
          <w:szCs w:val="20"/>
          <w:color w:val="auto"/>
        </w:rPr>
      </w:pPr>
    </w:p>
    <w:p>
      <w:pPr>
        <w:jc w:val="both"/>
        <w:ind w:left="160" w:right="440"/>
        <w:spacing w:after="0" w:line="260" w:lineRule="auto"/>
        <w:rPr>
          <w:sz w:val="20"/>
          <w:szCs w:val="20"/>
          <w:color w:val="auto"/>
        </w:rPr>
      </w:pPr>
      <w:r>
        <w:rPr>
          <w:rFonts w:ascii="Arial" w:cs="Arial" w:eastAsia="Arial" w:hAnsi="Arial"/>
          <w:sz w:val="16"/>
          <w:szCs w:val="16"/>
          <w:i w:val="1"/>
          <w:iCs w:val="1"/>
          <w:color w:val="53565A"/>
        </w:rPr>
        <w:t>The following discussion related to the consolidated financial statements of the Company should be read in conjunction with the financial statements for the quarter ended March 31, 2026 that will be released in our Form 10-Q to be filed with the SEC on or about April 27, 2026.</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025" w:right="319" w:bottom="1440" w:gutter="0" w:footer="0" w:header="0"/>
        </w:sectPr>
      </w:pPr>
    </w:p>
    <w:bookmarkStart w:id="15" w:name="page16"/>
    <w:bookmarkEnd w:id="15"/>
    <w:p>
      <w:pPr>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43815</wp:posOffset>
            </wp:positionV>
            <wp:extent cx="7149465"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59" w:lineRule="exact"/>
        <w:rPr>
          <w:sz w:val="20"/>
          <w:szCs w:val="20"/>
          <w:color w:val="auto"/>
        </w:rPr>
      </w:pPr>
    </w:p>
    <w:p>
      <w:pPr>
        <w:jc w:val="both"/>
        <w:ind w:left="160" w:right="220"/>
        <w:spacing w:after="0" w:line="236" w:lineRule="auto"/>
        <w:rPr>
          <w:sz w:val="20"/>
          <w:szCs w:val="20"/>
          <w:color w:val="auto"/>
        </w:rPr>
      </w:pPr>
      <w:r>
        <w:rPr>
          <w:rFonts w:ascii="Arial" w:cs="Arial" w:eastAsia="Arial" w:hAnsi="Arial"/>
          <w:sz w:val="16"/>
          <w:szCs w:val="16"/>
          <w:i w:val="1"/>
          <w:iCs w:val="1"/>
          <w:color w:val="53565A"/>
        </w:rPr>
        <w:t>This section contains definitions of certain non-GAAP financial measures and other terms that the Company uses in this Supplemental Information Package and, where applicable, the reasons why management believes these non-GAAP financial measures provide useful information to investors about the Company’s financial condition and results of operations and the other purposes for which management uses the measures. These measures should not be considered in isolation or as a substitute for measures of performance in accordance with GAAP. Additional detail can be found in the Company’s most recent quarterly report on Form 10-Q and the Company’s most recent annual report on Form 10-K, as well as other documents filed with or furnished to the SEC from time to time. We present certain financial information and metrics “at Easterly’s Share,” which is calculated on an entity-by-entity basis. “At Easterly’s Share” information, which we also refer to as being “at share,” “pro rata,” “our pro rata share” or “our share” is not, and is not intended to be, a presentation in accordance with GAAP.</w:t>
      </w:r>
    </w:p>
    <w:p>
      <w:pPr>
        <w:spacing w:after="0" w:line="147" w:lineRule="exact"/>
        <w:rPr>
          <w:sz w:val="20"/>
          <w:szCs w:val="20"/>
          <w:color w:val="auto"/>
        </w:rPr>
      </w:pPr>
    </w:p>
    <w:p>
      <w:pPr>
        <w:jc w:val="both"/>
        <w:ind w:left="160" w:right="220"/>
        <w:spacing w:after="0" w:line="263" w:lineRule="auto"/>
        <w:rPr>
          <w:sz w:val="20"/>
          <w:szCs w:val="20"/>
          <w:color w:val="auto"/>
        </w:rPr>
      </w:pPr>
      <w:r>
        <w:rPr>
          <w:rFonts w:ascii="Arial" w:cs="Arial" w:eastAsia="Arial" w:hAnsi="Arial"/>
          <w:sz w:val="16"/>
          <w:szCs w:val="16"/>
          <w:b w:val="1"/>
          <w:bCs w:val="1"/>
          <w:color w:val="53565A"/>
        </w:rPr>
        <w:t xml:space="preserve">Annualized lease income </w:t>
      </w:r>
      <w:r>
        <w:rPr>
          <w:rFonts w:ascii="Arial" w:cs="Arial" w:eastAsia="Arial" w:hAnsi="Arial"/>
          <w:sz w:val="16"/>
          <w:szCs w:val="16"/>
          <w:color w:val="53565A"/>
        </w:rPr>
        <w:t>is defined as the annualized contractual base rent for the last month in a specified period, plus the annualized straight-line rent</w:t>
      </w:r>
      <w:r>
        <w:rPr>
          <w:rFonts w:ascii="Arial" w:cs="Arial" w:eastAsia="Arial" w:hAnsi="Arial"/>
          <w:sz w:val="16"/>
          <w:szCs w:val="16"/>
          <w:b w:val="1"/>
          <w:bCs w:val="1"/>
          <w:color w:val="53565A"/>
        </w:rPr>
        <w:t xml:space="preserve"> </w:t>
      </w:r>
      <w:r>
        <w:rPr>
          <w:rFonts w:ascii="Arial" w:cs="Arial" w:eastAsia="Arial" w:hAnsi="Arial"/>
          <w:sz w:val="16"/>
          <w:szCs w:val="16"/>
          <w:color w:val="53565A"/>
        </w:rPr>
        <w:t>adjustments for the last month in such period and the annualized net expense reimbursements earned by us for the last month in such period.</w:t>
      </w:r>
    </w:p>
    <w:p>
      <w:pPr>
        <w:spacing w:after="0" w:line="46" w:lineRule="exact"/>
        <w:rPr>
          <w:sz w:val="20"/>
          <w:szCs w:val="20"/>
          <w:color w:val="auto"/>
        </w:rPr>
      </w:pPr>
    </w:p>
    <w:p>
      <w:pPr>
        <w:jc w:val="both"/>
        <w:ind w:left="160" w:right="220"/>
        <w:spacing w:after="0" w:line="238" w:lineRule="auto"/>
        <w:rPr>
          <w:sz w:val="20"/>
          <w:szCs w:val="20"/>
          <w:color w:val="auto"/>
        </w:rPr>
      </w:pPr>
      <w:r>
        <w:rPr>
          <w:rFonts w:ascii="Arial" w:cs="Arial" w:eastAsia="Arial" w:hAnsi="Arial"/>
          <w:sz w:val="16"/>
          <w:szCs w:val="16"/>
          <w:b w:val="1"/>
          <w:bCs w:val="1"/>
          <w:color w:val="53565A"/>
        </w:rPr>
        <w:t xml:space="preserve">Cash Available for Distribution (CAD) </w:t>
      </w:r>
      <w:r>
        <w:rPr>
          <w:rFonts w:ascii="Arial" w:cs="Arial" w:eastAsia="Arial" w:hAnsi="Arial"/>
          <w:sz w:val="16"/>
          <w:szCs w:val="16"/>
          <w:color w:val="53565A"/>
        </w:rPr>
        <w:t>is a non-GAAP financial measure that is not intended to represent cash flow for the period and is not indicative of</w:t>
      </w:r>
      <w:r>
        <w:rPr>
          <w:rFonts w:ascii="Arial" w:cs="Arial" w:eastAsia="Arial" w:hAnsi="Arial"/>
          <w:sz w:val="16"/>
          <w:szCs w:val="16"/>
          <w:b w:val="1"/>
          <w:bCs w:val="1"/>
          <w:color w:val="53565A"/>
        </w:rPr>
        <w:t xml:space="preserve"> </w:t>
      </w:r>
      <w:r>
        <w:rPr>
          <w:rFonts w:ascii="Arial" w:cs="Arial" w:eastAsia="Arial" w:hAnsi="Arial"/>
          <w:sz w:val="16"/>
          <w:szCs w:val="16"/>
          <w:color w:val="53565A"/>
        </w:rPr>
        <w:t>cash flow provided by operating activities as determined under GAAP. CAD is calculated in accordance with the current Nareit definition as FFO minus normalized recurring real estate-related expenditures and other non-cash items, nonrecurring expenditures and the unconsolidated real estate venture’s allocated share of these adjustments. CAD is presented solely as a supplemental disclosure because the Company believes it provides useful information regarding the Company’s ability to fund its dividends. Because all companies do not calculate CAD the same way, the presentation of CAD may not be comparable to similarly titled measures of other companies.</w:t>
      </w:r>
    </w:p>
    <w:p>
      <w:pPr>
        <w:spacing w:after="0" w:line="64" w:lineRule="exact"/>
        <w:rPr>
          <w:sz w:val="20"/>
          <w:szCs w:val="20"/>
          <w:color w:val="auto"/>
        </w:rPr>
      </w:pPr>
    </w:p>
    <w:p>
      <w:pPr>
        <w:jc w:val="both"/>
        <w:ind w:left="160" w:right="220"/>
        <w:spacing w:after="0" w:line="263" w:lineRule="auto"/>
        <w:rPr>
          <w:sz w:val="20"/>
          <w:szCs w:val="20"/>
          <w:color w:val="auto"/>
        </w:rPr>
      </w:pPr>
      <w:r>
        <w:rPr>
          <w:rFonts w:ascii="Arial" w:cs="Arial" w:eastAsia="Arial" w:hAnsi="Arial"/>
          <w:sz w:val="16"/>
          <w:szCs w:val="16"/>
          <w:b w:val="1"/>
          <w:bCs w:val="1"/>
          <w:color w:val="53565A"/>
        </w:rPr>
        <w:t xml:space="preserve">Cash fixed charge coverage ratio </w:t>
      </w:r>
      <w:r>
        <w:rPr>
          <w:rFonts w:ascii="Arial" w:cs="Arial" w:eastAsia="Arial" w:hAnsi="Arial"/>
          <w:sz w:val="16"/>
          <w:szCs w:val="16"/>
          <w:color w:val="53565A"/>
        </w:rPr>
        <w:t>is calculated as EBITDA divided by the sum of principal amortization and interest expense, excluding amortization of</w:t>
      </w:r>
      <w:r>
        <w:rPr>
          <w:rFonts w:ascii="Arial" w:cs="Arial" w:eastAsia="Arial" w:hAnsi="Arial"/>
          <w:sz w:val="16"/>
          <w:szCs w:val="16"/>
          <w:b w:val="1"/>
          <w:bCs w:val="1"/>
          <w:color w:val="53565A"/>
        </w:rPr>
        <w:t xml:space="preserve"> </w:t>
      </w:r>
      <w:r>
        <w:rPr>
          <w:rFonts w:ascii="Arial" w:cs="Arial" w:eastAsia="Arial" w:hAnsi="Arial"/>
          <w:sz w:val="16"/>
          <w:szCs w:val="16"/>
          <w:color w:val="53565A"/>
        </w:rPr>
        <w:t>premiums / discounts and deferred financing fees, for the most recent quarter.</w:t>
      </w:r>
    </w:p>
    <w:p>
      <w:pPr>
        <w:spacing w:after="0" w:line="46" w:lineRule="exact"/>
        <w:rPr>
          <w:sz w:val="20"/>
          <w:szCs w:val="20"/>
          <w:color w:val="auto"/>
        </w:rPr>
      </w:pPr>
    </w:p>
    <w:p>
      <w:pPr>
        <w:jc w:val="both"/>
        <w:ind w:left="160" w:right="220"/>
        <w:spacing w:after="0" w:line="263" w:lineRule="auto"/>
        <w:rPr>
          <w:sz w:val="20"/>
          <w:szCs w:val="20"/>
          <w:color w:val="auto"/>
        </w:rPr>
      </w:pPr>
      <w:r>
        <w:rPr>
          <w:rFonts w:ascii="Arial" w:cs="Arial" w:eastAsia="Arial" w:hAnsi="Arial"/>
          <w:sz w:val="16"/>
          <w:szCs w:val="16"/>
          <w:b w:val="1"/>
          <w:bCs w:val="1"/>
          <w:color w:val="53565A"/>
        </w:rPr>
        <w:t xml:space="preserve">Cash interest coverage ratio </w:t>
      </w:r>
      <w:r>
        <w:rPr>
          <w:rFonts w:ascii="Arial" w:cs="Arial" w:eastAsia="Arial" w:hAnsi="Arial"/>
          <w:sz w:val="16"/>
          <w:szCs w:val="16"/>
          <w:color w:val="53565A"/>
        </w:rPr>
        <w:t>is calculated as EBITDA divided by interest expense, excluding amortization of premiums / discounts and deferred financing</w:t>
      </w:r>
      <w:r>
        <w:rPr>
          <w:rFonts w:ascii="Arial" w:cs="Arial" w:eastAsia="Arial" w:hAnsi="Arial"/>
          <w:sz w:val="16"/>
          <w:szCs w:val="16"/>
          <w:b w:val="1"/>
          <w:bCs w:val="1"/>
          <w:color w:val="53565A"/>
        </w:rPr>
        <w:t xml:space="preserve"> </w:t>
      </w:r>
      <w:r>
        <w:rPr>
          <w:rFonts w:ascii="Arial" w:cs="Arial" w:eastAsia="Arial" w:hAnsi="Arial"/>
          <w:sz w:val="16"/>
          <w:szCs w:val="16"/>
          <w:color w:val="53565A"/>
        </w:rPr>
        <w:t>fees, for the most recent quarter.</w:t>
      </w:r>
    </w:p>
    <w:p>
      <w:pPr>
        <w:spacing w:after="0" w:line="46" w:lineRule="exact"/>
        <w:rPr>
          <w:sz w:val="20"/>
          <w:szCs w:val="20"/>
          <w:color w:val="auto"/>
        </w:rPr>
      </w:pPr>
    </w:p>
    <w:p>
      <w:pPr>
        <w:jc w:val="both"/>
        <w:ind w:left="160" w:right="220"/>
        <w:spacing w:after="0" w:line="238" w:lineRule="auto"/>
        <w:rPr>
          <w:sz w:val="20"/>
          <w:szCs w:val="20"/>
          <w:color w:val="auto"/>
        </w:rPr>
      </w:pPr>
      <w:r>
        <w:rPr>
          <w:rFonts w:ascii="Arial" w:cs="Arial" w:eastAsia="Arial" w:hAnsi="Arial"/>
          <w:sz w:val="16"/>
          <w:szCs w:val="16"/>
          <w:b w:val="1"/>
          <w:bCs w:val="1"/>
          <w:color w:val="53565A"/>
        </w:rPr>
        <w:t xml:space="preserve">Core Funds from Operations (Core FFO) </w:t>
      </w:r>
      <w:r>
        <w:rPr>
          <w:rFonts w:ascii="Arial" w:cs="Arial" w:eastAsia="Arial" w:hAnsi="Arial"/>
          <w:sz w:val="16"/>
          <w:szCs w:val="16"/>
          <w:color w:val="53565A"/>
        </w:rPr>
        <w:t>adjusts FFO to present an alternative measure of the Company's operating performance, which, when</w:t>
      </w:r>
      <w:r>
        <w:rPr>
          <w:rFonts w:ascii="Arial" w:cs="Arial" w:eastAsia="Arial" w:hAnsi="Arial"/>
          <w:sz w:val="16"/>
          <w:szCs w:val="16"/>
          <w:b w:val="1"/>
          <w:bCs w:val="1"/>
          <w:color w:val="53565A"/>
        </w:rPr>
        <w:t xml:space="preserve"> </w:t>
      </w:r>
      <w:r>
        <w:rPr>
          <w:rFonts w:ascii="Arial" w:cs="Arial" w:eastAsia="Arial" w:hAnsi="Arial"/>
          <w:sz w:val="16"/>
          <w:szCs w:val="16"/>
          <w:color w:val="53565A"/>
        </w:rPr>
        <w:t>applicable, excludes items which it believes are not representative of ongoing operating results, such as liability management related costs (including losses on extinguishment of debt and modification costs), catastrophic event charges, depreciation of non-real estate assets, provision for (recovery of) credit losses, and the unconsolidated real estate venture's allocated share of these adjustments. In future periods, the Company may also exclude other items from Core FFO that it believes may help investors compare its results. The Company believes Core FFO more accurately reflects the ongoing operational and financial performance of the Company's core business.</w:t>
      </w:r>
    </w:p>
    <w:p>
      <w:pPr>
        <w:spacing w:after="0" w:line="64" w:lineRule="exact"/>
        <w:rPr>
          <w:sz w:val="20"/>
          <w:szCs w:val="20"/>
          <w:color w:val="auto"/>
        </w:rPr>
      </w:pPr>
    </w:p>
    <w:p>
      <w:pPr>
        <w:jc w:val="both"/>
        <w:ind w:left="160" w:right="220"/>
        <w:spacing w:after="0" w:line="237" w:lineRule="auto"/>
        <w:rPr>
          <w:sz w:val="20"/>
          <w:szCs w:val="20"/>
          <w:color w:val="auto"/>
        </w:rPr>
      </w:pPr>
      <w:r>
        <w:rPr>
          <w:rFonts w:ascii="Arial" w:cs="Arial" w:eastAsia="Arial" w:hAnsi="Arial"/>
          <w:sz w:val="16"/>
          <w:szCs w:val="16"/>
          <w:b w:val="1"/>
          <w:bCs w:val="1"/>
          <w:color w:val="53565A"/>
        </w:rPr>
        <w:t xml:space="preserve">EBITDA </w:t>
      </w:r>
      <w:r>
        <w:rPr>
          <w:rFonts w:ascii="Arial" w:cs="Arial" w:eastAsia="Arial" w:hAnsi="Arial"/>
          <w:sz w:val="16"/>
          <w:szCs w:val="16"/>
          <w:color w:val="53565A"/>
        </w:rPr>
        <w:t>is calculated as the sum of net income (loss) before interest expense, taxes, depreciation and amortization, (gain) loss on the sale of operating</w:t>
      </w:r>
      <w:r>
        <w:rPr>
          <w:rFonts w:ascii="Arial" w:cs="Arial" w:eastAsia="Arial" w:hAnsi="Arial"/>
          <w:sz w:val="16"/>
          <w:szCs w:val="16"/>
          <w:b w:val="1"/>
          <w:bCs w:val="1"/>
          <w:color w:val="53565A"/>
        </w:rPr>
        <w:t xml:space="preserve"> </w:t>
      </w:r>
      <w:r>
        <w:rPr>
          <w:rFonts w:ascii="Arial" w:cs="Arial" w:eastAsia="Arial" w:hAnsi="Arial"/>
          <w:sz w:val="16"/>
          <w:szCs w:val="16"/>
          <w:color w:val="53565A"/>
        </w:rPr>
        <w:t>properties, impairment loss, and the unconsolidated real estate venture’s allocated share of these adjustments. EBITDA is not intended to represent cash flow for the period, is not presented as an alternative to operating income as an indicator of operating performance, should not be considered in isolation or as a substitute for measures of performance prepared in accordance with GAAP, is not indicative of operating income or cash provided by operating activities as determined under GAAP and may be presented on a pro forma basis. EBITDA is presented solely as a supplemental disclosure with respect to liquidity because the Company believes it provides useful information regarding the Company's ability to service or incur debt. Because all companies do not calculate EBITDA the same way, the presentation of EBITDA may not be comparable to similarly titled measures of other companies.</w:t>
      </w:r>
    </w:p>
    <w:p>
      <w:pPr>
        <w:spacing w:after="0" w:line="65" w:lineRule="exact"/>
        <w:rPr>
          <w:sz w:val="20"/>
          <w:szCs w:val="20"/>
          <w:color w:val="auto"/>
        </w:rPr>
      </w:pPr>
    </w:p>
    <w:p>
      <w:pPr>
        <w:jc w:val="both"/>
        <w:ind w:left="160" w:right="220"/>
        <w:spacing w:after="0" w:line="247" w:lineRule="auto"/>
        <w:rPr>
          <w:sz w:val="20"/>
          <w:szCs w:val="20"/>
          <w:color w:val="auto"/>
        </w:rPr>
      </w:pPr>
      <w:r>
        <w:rPr>
          <w:rFonts w:ascii="Arial" w:cs="Arial" w:eastAsia="Arial" w:hAnsi="Arial"/>
          <w:sz w:val="16"/>
          <w:szCs w:val="16"/>
          <w:b w:val="1"/>
          <w:bCs w:val="1"/>
          <w:color w:val="53565A"/>
        </w:rPr>
        <w:t xml:space="preserve">Fully diluted basis </w:t>
      </w:r>
      <w:r>
        <w:rPr>
          <w:rFonts w:ascii="Arial" w:cs="Arial" w:eastAsia="Arial" w:hAnsi="Arial"/>
          <w:sz w:val="16"/>
          <w:szCs w:val="16"/>
          <w:color w:val="53565A"/>
        </w:rPr>
        <w:t>assumes the exchange of all outstanding common units representing limited partnership interests in the Company’s operating</w:t>
      </w:r>
      <w:r>
        <w:rPr>
          <w:rFonts w:ascii="Arial" w:cs="Arial" w:eastAsia="Arial" w:hAnsi="Arial"/>
          <w:sz w:val="16"/>
          <w:szCs w:val="16"/>
          <w:b w:val="1"/>
          <w:bCs w:val="1"/>
          <w:color w:val="53565A"/>
        </w:rPr>
        <w:t xml:space="preserve"> </w:t>
      </w:r>
      <w:r>
        <w:rPr>
          <w:rFonts w:ascii="Arial" w:cs="Arial" w:eastAsia="Arial" w:hAnsi="Arial"/>
          <w:sz w:val="16"/>
          <w:szCs w:val="16"/>
          <w:color w:val="53565A"/>
        </w:rPr>
        <w:t>partnership, or common units, the full vesting of all shares of restricted stock, and the exchange of all earned and vested LTIP units in the Company’s operating partnership for shares of common stock on a one-for-one basis, which is not the same as the meaning of “fully diluted” under GAAP.</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025" w:right="319" w:bottom="1440" w:gutter="0" w:footer="0" w:header="0"/>
        </w:sectPr>
      </w:pPr>
    </w:p>
    <w:bookmarkStart w:id="16" w:name="page17"/>
    <w:bookmarkEnd w:id="16"/>
    <w:p>
      <w:pPr>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43815</wp:posOffset>
            </wp:positionV>
            <wp:extent cx="7149465"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352" w:lineRule="exact"/>
        <w:rPr>
          <w:sz w:val="20"/>
          <w:szCs w:val="20"/>
          <w:color w:val="auto"/>
        </w:rPr>
      </w:pPr>
    </w:p>
    <w:p>
      <w:pPr>
        <w:jc w:val="both"/>
        <w:ind w:left="160" w:right="220"/>
        <w:spacing w:after="0" w:line="238" w:lineRule="auto"/>
        <w:rPr>
          <w:sz w:val="20"/>
          <w:szCs w:val="20"/>
          <w:color w:val="auto"/>
        </w:rPr>
      </w:pPr>
      <w:r>
        <w:rPr>
          <w:rFonts w:ascii="Arial" w:cs="Arial" w:eastAsia="Arial" w:hAnsi="Arial"/>
          <w:sz w:val="16"/>
          <w:szCs w:val="16"/>
          <w:b w:val="1"/>
          <w:bCs w:val="1"/>
          <w:color w:val="53565A"/>
        </w:rPr>
        <w:t xml:space="preserve">Funds From Operations (FFO) </w:t>
      </w:r>
      <w:r>
        <w:rPr>
          <w:rFonts w:ascii="Arial" w:cs="Arial" w:eastAsia="Arial" w:hAnsi="Arial"/>
          <w:sz w:val="16"/>
          <w:szCs w:val="16"/>
          <w:color w:val="53565A"/>
        </w:rPr>
        <w:t>is defined, in accordance with the Nareit FFO White Paper - 2018 Restatement, as net income (loss), calculated in</w:t>
      </w:r>
      <w:r>
        <w:rPr>
          <w:rFonts w:ascii="Arial" w:cs="Arial" w:eastAsia="Arial" w:hAnsi="Arial"/>
          <w:sz w:val="16"/>
          <w:szCs w:val="16"/>
          <w:b w:val="1"/>
          <w:bCs w:val="1"/>
          <w:color w:val="53565A"/>
        </w:rPr>
        <w:t xml:space="preserve"> </w:t>
      </w:r>
      <w:r>
        <w:rPr>
          <w:rFonts w:ascii="Arial" w:cs="Arial" w:eastAsia="Arial" w:hAnsi="Arial"/>
          <w:sz w:val="16"/>
          <w:szCs w:val="16"/>
          <w:color w:val="53565A"/>
        </w:rPr>
        <w:t>accordance with GAAP, excluding depreciation and amortization related to real estate, gains and losses from the sale of certain real estate assets, gains and losses from change in control and impairment write-downs of certain real estate assets and investments in entities when the impairment is directly attributable to decreases in the value of depreciable real estate held by the entity. FFO includes the Company’s share of FFO generated by unconsolidated affiliates. FFO is a widely recognized measure of REIT performance. Although FFO is a non-GAAP financial measure, the Company believes that information regarding FFO is helpful to shareholders and potential investors.</w:t>
      </w:r>
    </w:p>
    <w:p>
      <w:pPr>
        <w:spacing w:after="0" w:line="64" w:lineRule="exact"/>
        <w:rPr>
          <w:sz w:val="20"/>
          <w:szCs w:val="20"/>
          <w:color w:val="auto"/>
        </w:rPr>
      </w:pPr>
    </w:p>
    <w:p>
      <w:pPr>
        <w:jc w:val="both"/>
        <w:ind w:left="160" w:right="220"/>
        <w:spacing w:after="0" w:line="251" w:lineRule="auto"/>
        <w:rPr>
          <w:sz w:val="20"/>
          <w:szCs w:val="20"/>
          <w:color w:val="auto"/>
        </w:rPr>
      </w:pPr>
      <w:r>
        <w:rPr>
          <w:rFonts w:ascii="Arial" w:cs="Arial" w:eastAsia="Arial" w:hAnsi="Arial"/>
          <w:sz w:val="15"/>
          <w:szCs w:val="15"/>
          <w:b w:val="1"/>
          <w:bCs w:val="1"/>
          <w:color w:val="53565A"/>
        </w:rPr>
        <w:t xml:space="preserve">Net Debt and Adjusted Net Debt </w:t>
      </w:r>
      <w:r>
        <w:rPr>
          <w:rFonts w:ascii="Arial" w:cs="Arial" w:eastAsia="Arial" w:hAnsi="Arial"/>
          <w:sz w:val="15"/>
          <w:szCs w:val="15"/>
          <w:color w:val="53565A"/>
        </w:rPr>
        <w:t>Net Debt represents the Company's consolidated debt and its share of unconsolidated debt adjusted to exclude its share</w:t>
      </w:r>
      <w:r>
        <w:rPr>
          <w:rFonts w:ascii="Arial" w:cs="Arial" w:eastAsia="Arial" w:hAnsi="Arial"/>
          <w:sz w:val="15"/>
          <w:szCs w:val="15"/>
          <w:b w:val="1"/>
          <w:bCs w:val="1"/>
          <w:color w:val="53565A"/>
        </w:rPr>
        <w:t xml:space="preserve"> </w:t>
      </w:r>
      <w:r>
        <w:rPr>
          <w:rFonts w:ascii="Arial" w:cs="Arial" w:eastAsia="Arial" w:hAnsi="Arial"/>
          <w:sz w:val="15"/>
          <w:szCs w:val="15"/>
          <w:color w:val="53565A"/>
        </w:rPr>
        <w:t>of unamortized premiums and discounts and deferred financing fees, less its share of cash and cash equivalents and property acquisition closing escrow, net of deposit. By excluding these items, the result provides an estimate of the contractual amount of borrowed capital to be repaid, net of cash available to repay it. The Company believes this calculation constitutes a beneficial supplemental non-GAAP financial disclosure to investors in understanding its financial condition. Adjusted Net Debt is Net Debt reduced by 1) for each project under construction or in design, the lesser of i) outstanding lump-sum reimbursement amounts and ii) the cost to date, 2) 40% times the amount by which the cost to date exceeds total lump-sum reimbursement amounts for each project under construction or in design and 3) outstanding lump-sum reimbursement amounts for projects previously completed. These adjustments are made to 1) remove the estimated portion of each project under construction, in design or previously completed that has been financed with debt which may be repaid with outstanding cost reimbursement payments from the US Government and 2) remove the estimated portion of each project under construction or in design, in excess of total lump-sum reimbursements, that has been financed with debt but has not yet produced earnings. See page 28 for further information. The Company’s method of calculating Net Debt and Adjusted Net Debt may be different from methods used by other REITs and may be presented on a pro forma basis. Accordingly, the Company's method may not be comparable to such other REITs.</w:t>
      </w:r>
    </w:p>
    <w:p>
      <w:pPr>
        <w:spacing w:after="0" w:line="59" w:lineRule="exact"/>
        <w:rPr>
          <w:sz w:val="20"/>
          <w:szCs w:val="20"/>
          <w:color w:val="auto"/>
        </w:rPr>
      </w:pPr>
    </w:p>
    <w:p>
      <w:pPr>
        <w:jc w:val="both"/>
        <w:ind w:left="160" w:right="220"/>
        <w:spacing w:after="0" w:line="236" w:lineRule="auto"/>
        <w:rPr>
          <w:sz w:val="20"/>
          <w:szCs w:val="20"/>
          <w:color w:val="auto"/>
        </w:rPr>
      </w:pPr>
      <w:r>
        <w:rPr>
          <w:rFonts w:ascii="Arial" w:cs="Arial" w:eastAsia="Arial" w:hAnsi="Arial"/>
          <w:sz w:val="16"/>
          <w:szCs w:val="16"/>
          <w:b w:val="1"/>
          <w:bCs w:val="1"/>
          <w:color w:val="53565A"/>
        </w:rPr>
        <w:t xml:space="preserve">Net Operating Income (NOI) and Cash NOI </w:t>
      </w:r>
      <w:r>
        <w:rPr>
          <w:rFonts w:ascii="Arial" w:cs="Arial" w:eastAsia="Arial" w:hAnsi="Arial"/>
          <w:sz w:val="16"/>
          <w:szCs w:val="16"/>
          <w:color w:val="53565A"/>
        </w:rPr>
        <w:t>NOI is calculated as net income adjusted to exclude depreciation and amortization, acquisition costs,</w:t>
      </w:r>
      <w:r>
        <w:rPr>
          <w:rFonts w:ascii="Arial" w:cs="Arial" w:eastAsia="Arial" w:hAnsi="Arial"/>
          <w:sz w:val="16"/>
          <w:szCs w:val="16"/>
          <w:b w:val="1"/>
          <w:bCs w:val="1"/>
          <w:color w:val="53565A"/>
        </w:rPr>
        <w:t xml:space="preserve"> </w:t>
      </w:r>
      <w:r>
        <w:rPr>
          <w:rFonts w:ascii="Arial" w:cs="Arial" w:eastAsia="Arial" w:hAnsi="Arial"/>
          <w:sz w:val="16"/>
          <w:szCs w:val="16"/>
          <w:color w:val="53565A"/>
        </w:rPr>
        <w:t>corporate general and administrative costs, recovery of credit losses, interest expense, gains or losses from sales of property, impairment loss, and the unconsolidated real estate venture’s allocated share of these adjustments. Cash NOI excludes from NOI straight-line rent, amortization of above-/below-market leases, amortization of deferred revenue (which results from landlord assets funded by tenants), and the unconsolidated real estate venture’s allocated share of these adjustments. NOI and Cash NOI presented by the Company may not be comparable to NOI and Cash NOI reported by other REITs that define NOI and Cash NOI differently. The Company believes that NOI and Cash NOI provide investors with useful measures of the operating performance of its properties. NOI and Cash NOI should not be considered an alternative to net income as an indication of the Company's performance or to cash flows as a measure of the Company's liquidity or its ability to make distributions.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1025" w:right="319" w:bottom="1440" w:gutter="0" w:footer="0" w:header="0"/>
        </w:sectPr>
      </w:pPr>
    </w:p>
    <w:bookmarkStart w:id="17" w:name="page18"/>
    <w:bookmarkEnd w:id="17"/>
    <w:p>
      <w:pPr>
        <w:ind w:left="4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946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gridSpan w:val="13"/>
          </w:tcPr>
          <w:p>
            <w:pPr>
              <w:spacing w:after="0"/>
              <w:rPr>
                <w:sz w:val="20"/>
                <w:szCs w:val="20"/>
                <w:color w:val="auto"/>
              </w:rPr>
            </w:pPr>
            <w:r>
              <w:rPr>
                <w:rFonts w:ascii="Arial" w:cs="Arial" w:eastAsia="Arial" w:hAnsi="Arial"/>
                <w:sz w:val="16"/>
                <w:szCs w:val="16"/>
                <w:color w:val="53565A"/>
              </w:rPr>
              <w:t>Overview</w:t>
            </w:r>
          </w:p>
        </w:tc>
        <w:tc>
          <w:tcPr>
            <w:tcW w:w="1960" w:type="dxa"/>
            <w:vAlign w:val="bottom"/>
          </w:tcPr>
          <w:p>
            <w:pPr>
              <w:spacing w:after="0"/>
              <w:rPr>
                <w:sz w:val="17"/>
                <w:szCs w:val="17"/>
                <w:color w:val="auto"/>
              </w:rPr>
            </w:pPr>
          </w:p>
        </w:tc>
      </w:tr>
      <w:tr>
        <w:trPr>
          <w:trHeight w:val="210"/>
        </w:trPr>
        <w:tc>
          <w:tcPr>
            <w:tcW w:w="360" w:type="dxa"/>
            <w:vAlign w:val="bottom"/>
          </w:tcPr>
          <w:p>
            <w:pPr>
              <w:spacing w:after="0"/>
              <w:rPr>
                <w:sz w:val="18"/>
                <w:szCs w:val="18"/>
                <w:color w:val="auto"/>
              </w:rPr>
            </w:pPr>
          </w:p>
        </w:tc>
        <w:tc>
          <w:tcPr>
            <w:tcW w:w="312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7"/>
              </w:rPr>
              <w:t>Corporate Information and Analyst Coverage</w:t>
            </w:r>
          </w:p>
        </w:tc>
        <w:tc>
          <w:tcPr>
            <w:tcW w:w="17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6</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Executive Summary</w:t>
            </w:r>
          </w:p>
        </w:tc>
        <w:tc>
          <w:tcPr>
            <w:tcW w:w="1960" w:type="dxa"/>
            <w:vAlign w:val="bottom"/>
          </w:tcPr>
          <w:p>
            <w:pPr>
              <w:jc w:val="right"/>
              <w:spacing w:after="0"/>
              <w:rPr>
                <w:sz w:val="20"/>
                <w:szCs w:val="20"/>
                <w:color w:val="auto"/>
              </w:rPr>
            </w:pPr>
            <w:r>
              <w:rPr>
                <w:rFonts w:ascii="Arial" w:cs="Arial" w:eastAsia="Arial" w:hAnsi="Arial"/>
                <w:sz w:val="16"/>
                <w:szCs w:val="16"/>
                <w:color w:val="53565A"/>
              </w:rPr>
              <w:t>7</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62"/>
        </w:trPr>
        <w:tc>
          <w:tcPr>
            <w:tcW w:w="5240" w:type="dxa"/>
            <w:vAlign w:val="bottom"/>
            <w:gridSpan w:val="13"/>
          </w:tcPr>
          <w:p>
            <w:pPr>
              <w:spacing w:after="0"/>
              <w:rPr>
                <w:sz w:val="20"/>
                <w:szCs w:val="20"/>
                <w:color w:val="auto"/>
              </w:rPr>
            </w:pPr>
            <w:r>
              <w:rPr>
                <w:rFonts w:ascii="Arial" w:cs="Arial" w:eastAsia="Arial" w:hAnsi="Arial"/>
                <w:sz w:val="16"/>
                <w:szCs w:val="16"/>
                <w:color w:val="53565A"/>
              </w:rPr>
              <w:t>Corporate Financials</w:t>
            </w:r>
          </w:p>
        </w:tc>
        <w:tc>
          <w:tcPr>
            <w:tcW w:w="196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Balance Sheets</w:t>
            </w:r>
          </w:p>
        </w:tc>
        <w:tc>
          <w:tcPr>
            <w:tcW w:w="1960" w:type="dxa"/>
            <w:vAlign w:val="bottom"/>
          </w:tcPr>
          <w:p>
            <w:pPr>
              <w:jc w:val="right"/>
              <w:spacing w:after="0"/>
              <w:rPr>
                <w:sz w:val="20"/>
                <w:szCs w:val="20"/>
                <w:color w:val="auto"/>
              </w:rPr>
            </w:pPr>
            <w:r>
              <w:rPr>
                <w:rFonts w:ascii="Arial" w:cs="Arial" w:eastAsia="Arial" w:hAnsi="Arial"/>
                <w:sz w:val="16"/>
                <w:szCs w:val="16"/>
                <w:color w:val="53565A"/>
              </w:rPr>
              <w:t>8</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Income Statements</w:t>
            </w:r>
          </w:p>
        </w:tc>
        <w:tc>
          <w:tcPr>
            <w:tcW w:w="1960" w:type="dxa"/>
            <w:vAlign w:val="bottom"/>
          </w:tcPr>
          <w:p>
            <w:pPr>
              <w:jc w:val="right"/>
              <w:spacing w:after="0"/>
              <w:rPr>
                <w:sz w:val="20"/>
                <w:szCs w:val="20"/>
                <w:color w:val="auto"/>
              </w:rPr>
            </w:pPr>
            <w:r>
              <w:rPr>
                <w:rFonts w:ascii="Arial" w:cs="Arial" w:eastAsia="Arial" w:hAnsi="Arial"/>
                <w:sz w:val="16"/>
                <w:szCs w:val="16"/>
                <w:color w:val="53565A"/>
              </w:rPr>
              <w:t>9</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Net Operating Income</w:t>
            </w:r>
          </w:p>
        </w:tc>
        <w:tc>
          <w:tcPr>
            <w:tcW w:w="1960" w:type="dxa"/>
            <w:vAlign w:val="bottom"/>
          </w:tcPr>
          <w:p>
            <w:pPr>
              <w:jc w:val="right"/>
              <w:spacing w:after="0"/>
              <w:rPr>
                <w:sz w:val="20"/>
                <w:szCs w:val="20"/>
                <w:color w:val="auto"/>
              </w:rPr>
            </w:pPr>
            <w:r>
              <w:rPr>
                <w:rFonts w:ascii="Arial" w:cs="Arial" w:eastAsia="Arial" w:hAnsi="Arial"/>
                <w:sz w:val="16"/>
                <w:szCs w:val="16"/>
                <w:color w:val="53565A"/>
              </w:rPr>
              <w:t>10</w:t>
            </w:r>
          </w:p>
        </w:tc>
      </w:tr>
      <w:tr>
        <w:trPr>
          <w:trHeight w:val="228"/>
        </w:trPr>
        <w:tc>
          <w:tcPr>
            <w:tcW w:w="360" w:type="dxa"/>
            <w:vAlign w:val="bottom"/>
          </w:tcPr>
          <w:p>
            <w:pPr>
              <w:spacing w:after="0"/>
              <w:rPr>
                <w:sz w:val="19"/>
                <w:szCs w:val="19"/>
                <w:color w:val="auto"/>
              </w:rPr>
            </w:pPr>
          </w:p>
        </w:tc>
        <w:tc>
          <w:tcPr>
            <w:tcW w:w="5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93"/>
              </w:rPr>
              <w:t>EBITDA</w:t>
            </w:r>
          </w:p>
        </w:tc>
        <w:tc>
          <w:tcPr>
            <w:tcW w:w="960" w:type="dxa"/>
            <w:vAlign w:val="bottom"/>
            <w:tcBorders>
              <w:top w:val="single" w:sz="8" w:color="0000FF"/>
            </w:tcBorders>
            <w:gridSpan w:val="6"/>
          </w:tcPr>
          <w:p>
            <w:pPr>
              <w:spacing w:after="0"/>
              <w:rPr>
                <w:sz w:val="19"/>
                <w:szCs w:val="19"/>
                <w:color w:val="auto"/>
              </w:rPr>
            </w:pPr>
          </w:p>
        </w:tc>
        <w:tc>
          <w:tcPr>
            <w:tcW w:w="3360" w:type="dxa"/>
            <w:vAlign w:val="bottom"/>
            <w:gridSpan w:val="5"/>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11</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FFO and CAD</w:t>
            </w:r>
          </w:p>
        </w:tc>
        <w:tc>
          <w:tcPr>
            <w:tcW w:w="1960" w:type="dxa"/>
            <w:vAlign w:val="bottom"/>
          </w:tcPr>
          <w:p>
            <w:pPr>
              <w:jc w:val="right"/>
              <w:spacing w:after="0"/>
              <w:rPr>
                <w:sz w:val="20"/>
                <w:szCs w:val="20"/>
                <w:color w:val="auto"/>
              </w:rPr>
            </w:pPr>
            <w:r>
              <w:rPr>
                <w:rFonts w:ascii="Arial" w:cs="Arial" w:eastAsia="Arial" w:hAnsi="Arial"/>
                <w:sz w:val="16"/>
                <w:szCs w:val="16"/>
                <w:color w:val="53565A"/>
              </w:rPr>
              <w:t>12</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Unconsolidated Real Estate Venture</w:t>
            </w:r>
          </w:p>
        </w:tc>
        <w:tc>
          <w:tcPr>
            <w:tcW w:w="1960" w:type="dxa"/>
            <w:vAlign w:val="bottom"/>
          </w:tcPr>
          <w:p>
            <w:pPr>
              <w:jc w:val="right"/>
              <w:spacing w:after="0"/>
              <w:rPr>
                <w:sz w:val="20"/>
                <w:szCs w:val="20"/>
                <w:color w:val="auto"/>
              </w:rPr>
            </w:pPr>
            <w:r>
              <w:rPr>
                <w:rFonts w:ascii="Arial" w:cs="Arial" w:eastAsia="Arial" w:hAnsi="Arial"/>
                <w:sz w:val="16"/>
                <w:szCs w:val="16"/>
                <w:color w:val="53565A"/>
              </w:rPr>
              <w:t>13</w:t>
            </w:r>
          </w:p>
        </w:tc>
      </w:tr>
      <w:tr>
        <w:trPr>
          <w:trHeight w:val="562"/>
        </w:trPr>
        <w:tc>
          <w:tcPr>
            <w:tcW w:w="360" w:type="dxa"/>
            <w:vAlign w:val="bottom"/>
          </w:tcPr>
          <w:p>
            <w:pPr>
              <w:spacing w:after="0"/>
              <w:rPr>
                <w:sz w:val="20"/>
                <w:szCs w:val="20"/>
                <w:color w:val="auto"/>
              </w:rPr>
            </w:pPr>
            <w:r>
              <w:rPr>
                <w:rFonts w:ascii="Arial" w:cs="Arial" w:eastAsia="Arial" w:hAnsi="Arial"/>
                <w:sz w:val="16"/>
                <w:szCs w:val="16"/>
                <w:color w:val="53565A"/>
                <w:w w:val="94"/>
              </w:rPr>
              <w:t>Debt</w:t>
            </w:r>
          </w:p>
        </w:tc>
        <w:tc>
          <w:tcPr>
            <w:tcW w:w="2520" w:type="dxa"/>
            <w:vAlign w:val="bottom"/>
            <w:tcBorders>
              <w:top w:val="single" w:sz="8" w:color="0000FF"/>
            </w:tcBorders>
            <w:gridSpan w:val="8"/>
          </w:tcPr>
          <w:p>
            <w:pPr>
              <w:spacing w:after="0"/>
              <w:rPr>
                <w:sz w:val="24"/>
                <w:szCs w:val="24"/>
                <w:color w:val="auto"/>
              </w:rPr>
            </w:pPr>
          </w:p>
        </w:tc>
        <w:tc>
          <w:tcPr>
            <w:tcW w:w="2360" w:type="dxa"/>
            <w:vAlign w:val="bottom"/>
            <w:gridSpan w:val="4"/>
          </w:tcPr>
          <w:p>
            <w:pPr>
              <w:spacing w:after="0"/>
              <w:rPr>
                <w:sz w:val="24"/>
                <w:szCs w:val="24"/>
                <w:color w:val="auto"/>
              </w:rPr>
            </w:pPr>
          </w:p>
        </w:tc>
        <w:tc>
          <w:tcPr>
            <w:tcW w:w="196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11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5"/>
              </w:rPr>
              <w:t>Debt Schedules</w:t>
            </w:r>
          </w:p>
        </w:tc>
        <w:tc>
          <w:tcPr>
            <w:tcW w:w="3780" w:type="dxa"/>
            <w:vAlign w:val="bottom"/>
            <w:gridSpan w:val="8"/>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15</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Debt Maturities</w:t>
            </w:r>
          </w:p>
        </w:tc>
        <w:tc>
          <w:tcPr>
            <w:tcW w:w="1960" w:type="dxa"/>
            <w:vAlign w:val="bottom"/>
          </w:tcPr>
          <w:p>
            <w:pPr>
              <w:jc w:val="right"/>
              <w:spacing w:after="0"/>
              <w:rPr>
                <w:sz w:val="20"/>
                <w:szCs w:val="20"/>
                <w:color w:val="auto"/>
              </w:rPr>
            </w:pPr>
            <w:r>
              <w:rPr>
                <w:rFonts w:ascii="Arial" w:cs="Arial" w:eastAsia="Arial" w:hAnsi="Arial"/>
                <w:sz w:val="16"/>
                <w:szCs w:val="16"/>
                <w:color w:val="53565A"/>
              </w:rPr>
              <w:t>17</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562"/>
        </w:trPr>
        <w:tc>
          <w:tcPr>
            <w:tcW w:w="5240" w:type="dxa"/>
            <w:vAlign w:val="bottom"/>
            <w:gridSpan w:val="13"/>
          </w:tcPr>
          <w:p>
            <w:pPr>
              <w:spacing w:after="0"/>
              <w:rPr>
                <w:sz w:val="20"/>
                <w:szCs w:val="20"/>
                <w:color w:val="auto"/>
              </w:rPr>
            </w:pPr>
            <w:r>
              <w:rPr>
                <w:rFonts w:ascii="Arial" w:cs="Arial" w:eastAsia="Arial" w:hAnsi="Arial"/>
                <w:sz w:val="16"/>
                <w:szCs w:val="16"/>
                <w:color w:val="53565A"/>
              </w:rPr>
              <w:t>Properties</w:t>
            </w:r>
          </w:p>
        </w:tc>
        <w:tc>
          <w:tcPr>
            <w:tcW w:w="1960" w:type="dxa"/>
            <w:vAlign w:val="bottom"/>
          </w:tcPr>
          <w:p>
            <w:pPr>
              <w:spacing w:after="0"/>
              <w:rPr>
                <w:sz w:val="24"/>
                <w:szCs w:val="24"/>
                <w:color w:val="auto"/>
              </w:rPr>
            </w:pPr>
          </w:p>
        </w:tc>
      </w:tr>
      <w:tr>
        <w:trPr>
          <w:trHeight w:val="210"/>
        </w:trPr>
        <w:tc>
          <w:tcPr>
            <w:tcW w:w="36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7"/>
              </w:rPr>
              <w:t>Leased Operating Property Overview</w:t>
            </w:r>
          </w:p>
        </w:tc>
        <w:tc>
          <w:tcPr>
            <w:tcW w:w="2300" w:type="dxa"/>
            <w:vAlign w:val="bottom"/>
            <w:gridSpan w:val="3"/>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18</w:t>
            </w:r>
          </w:p>
        </w:tc>
      </w:tr>
      <w:tr>
        <w:trPr>
          <w:trHeight w:val="228"/>
        </w:trPr>
        <w:tc>
          <w:tcPr>
            <w:tcW w:w="360" w:type="dxa"/>
            <w:vAlign w:val="bottom"/>
          </w:tcPr>
          <w:p>
            <w:pPr>
              <w:spacing w:after="0"/>
              <w:rPr>
                <w:sz w:val="19"/>
                <w:szCs w:val="19"/>
                <w:color w:val="auto"/>
              </w:rPr>
            </w:pPr>
          </w:p>
        </w:tc>
        <w:tc>
          <w:tcPr>
            <w:tcW w:w="5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3"/>
              </w:rPr>
              <w:t>Tenants</w:t>
            </w:r>
          </w:p>
        </w:tc>
        <w:tc>
          <w:tcPr>
            <w:tcW w:w="4320" w:type="dxa"/>
            <w:vAlign w:val="bottom"/>
            <w:gridSpan w:val="11"/>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23</w:t>
            </w:r>
          </w:p>
        </w:tc>
      </w:tr>
      <w:tr>
        <w:trPr>
          <w:trHeight w:val="228"/>
        </w:trPr>
        <w:tc>
          <w:tcPr>
            <w:tcW w:w="360" w:type="dxa"/>
            <w:vAlign w:val="bottom"/>
          </w:tcPr>
          <w:p>
            <w:pPr>
              <w:spacing w:after="0"/>
              <w:rPr>
                <w:sz w:val="19"/>
                <w:szCs w:val="19"/>
                <w:color w:val="auto"/>
              </w:rPr>
            </w:pPr>
          </w:p>
        </w:tc>
        <w:tc>
          <w:tcPr>
            <w:tcW w:w="124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5"/>
              </w:rPr>
              <w:t>Lease Expirations</w:t>
            </w:r>
          </w:p>
        </w:tc>
        <w:tc>
          <w:tcPr>
            <w:tcW w:w="3640" w:type="dxa"/>
            <w:vAlign w:val="bottom"/>
            <w:gridSpan w:val="7"/>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53565A"/>
              </w:rPr>
              <w:t>25</w:t>
            </w:r>
          </w:p>
        </w:tc>
      </w:tr>
      <w:tr>
        <w:trPr>
          <w:trHeight w:val="228"/>
        </w:trPr>
        <w:tc>
          <w:tcPr>
            <w:tcW w:w="360" w:type="dxa"/>
            <w:vAlign w:val="bottom"/>
          </w:tcPr>
          <w:p>
            <w:pPr>
              <w:spacing w:after="0"/>
              <w:rPr>
                <w:sz w:val="19"/>
                <w:szCs w:val="19"/>
                <w:color w:val="auto"/>
              </w:rPr>
            </w:pPr>
          </w:p>
        </w:tc>
        <w:tc>
          <w:tcPr>
            <w:tcW w:w="4880" w:type="dxa"/>
            <w:vAlign w:val="bottom"/>
            <w:gridSpan w:val="12"/>
          </w:tcPr>
          <w:p>
            <w:pPr>
              <w:spacing w:after="0"/>
              <w:rPr>
                <w:sz w:val="20"/>
                <w:szCs w:val="20"/>
                <w:color w:val="auto"/>
              </w:rPr>
            </w:pPr>
            <w:r>
              <w:rPr>
                <w:rFonts w:ascii="Arial" w:cs="Arial" w:eastAsia="Arial" w:hAnsi="Arial"/>
                <w:sz w:val="16"/>
                <w:szCs w:val="16"/>
                <w:color w:val="0000FF"/>
              </w:rPr>
              <w:t>Summary of Re/Development Projects</w:t>
            </w:r>
          </w:p>
        </w:tc>
        <w:tc>
          <w:tcPr>
            <w:tcW w:w="1960" w:type="dxa"/>
            <w:vAlign w:val="bottom"/>
          </w:tcPr>
          <w:p>
            <w:pPr>
              <w:jc w:val="right"/>
              <w:spacing w:after="0"/>
              <w:rPr>
                <w:sz w:val="20"/>
                <w:szCs w:val="20"/>
                <w:color w:val="auto"/>
              </w:rPr>
            </w:pPr>
            <w:r>
              <w:rPr>
                <w:rFonts w:ascii="Arial" w:cs="Arial" w:eastAsia="Arial" w:hAnsi="Arial"/>
                <w:sz w:val="16"/>
                <w:szCs w:val="16"/>
                <w:color w:val="53565A"/>
              </w:rPr>
              <w:t>27</w:t>
            </w:r>
          </w:p>
        </w:tc>
      </w:tr>
      <w:tr>
        <w:trPr>
          <w:trHeight w:val="20"/>
        </w:trPr>
        <w:tc>
          <w:tcPr>
            <w:tcW w:w="36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5" w:right="319" w:bottom="1440" w:gutter="0" w:footer="0" w:header="0"/>
        </w:sectPr>
      </w:pPr>
    </w:p>
    <w:bookmarkStart w:id="18" w:name="page19"/>
    <w:bookmarkEnd w:id="18"/>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Corporate Information and Analyst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43815</wp:posOffset>
            </wp:positionV>
            <wp:extent cx="7149465"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53565A"/>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4946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20"/>
                <w:szCs w:val="20"/>
                <w:color w:val="auto"/>
              </w:rPr>
            </w:pPr>
            <w:r>
              <w:rPr>
                <w:rFonts w:ascii="Arial" w:cs="Arial" w:eastAsia="Arial" w:hAnsi="Arial"/>
                <w:sz w:val="16"/>
                <w:szCs w:val="16"/>
                <w:b w:val="1"/>
                <w:bCs w:val="1"/>
                <w:color w:val="53565A"/>
              </w:rPr>
              <w:t>Corporate Headquarters</w:t>
            </w:r>
          </w:p>
        </w:tc>
        <w:tc>
          <w:tcPr>
            <w:tcW w:w="2720" w:type="dxa"/>
            <w:vAlign w:val="bottom"/>
          </w:tcPr>
          <w:p>
            <w:pPr>
              <w:ind w:left="80"/>
              <w:spacing w:after="0"/>
              <w:rPr>
                <w:sz w:val="20"/>
                <w:szCs w:val="20"/>
                <w:color w:val="auto"/>
              </w:rPr>
            </w:pPr>
            <w:r>
              <w:rPr>
                <w:rFonts w:ascii="Arial" w:cs="Arial" w:eastAsia="Arial" w:hAnsi="Arial"/>
                <w:sz w:val="16"/>
                <w:szCs w:val="16"/>
                <w:b w:val="1"/>
                <w:bCs w:val="1"/>
                <w:color w:val="53565A"/>
              </w:rPr>
              <w:t>Stock Exchange Listing</w:t>
            </w:r>
          </w:p>
        </w:tc>
        <w:tc>
          <w:tcPr>
            <w:tcW w:w="2580" w:type="dxa"/>
            <w:vAlign w:val="bottom"/>
          </w:tcPr>
          <w:p>
            <w:pPr>
              <w:ind w:left="60"/>
              <w:spacing w:after="0"/>
              <w:rPr>
                <w:sz w:val="20"/>
                <w:szCs w:val="20"/>
                <w:color w:val="auto"/>
              </w:rPr>
            </w:pPr>
            <w:r>
              <w:rPr>
                <w:rFonts w:ascii="Arial" w:cs="Arial" w:eastAsia="Arial" w:hAnsi="Arial"/>
                <w:sz w:val="16"/>
                <w:szCs w:val="16"/>
                <w:b w:val="1"/>
                <w:bCs w:val="1"/>
                <w:color w:val="53565A"/>
              </w:rPr>
              <w:t>Information Requests</w:t>
            </w:r>
          </w:p>
        </w:tc>
        <w:tc>
          <w:tcPr>
            <w:tcW w:w="2120" w:type="dxa"/>
            <w:vAlign w:val="bottom"/>
          </w:tcPr>
          <w:p>
            <w:pPr>
              <w:ind w:left="100"/>
              <w:spacing w:after="0"/>
              <w:rPr>
                <w:sz w:val="20"/>
                <w:szCs w:val="20"/>
                <w:color w:val="auto"/>
              </w:rPr>
            </w:pPr>
            <w:r>
              <w:rPr>
                <w:rFonts w:ascii="Arial" w:cs="Arial" w:eastAsia="Arial" w:hAnsi="Arial"/>
                <w:sz w:val="16"/>
                <w:szCs w:val="16"/>
                <w:b w:val="1"/>
                <w:bCs w:val="1"/>
                <w:color w:val="53565A"/>
              </w:rPr>
              <w:t>Investor Relations</w:t>
            </w: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6"/>
                <w:szCs w:val="16"/>
                <w:color w:val="53565A"/>
              </w:rPr>
              <w:t>2001 K Street NW</w:t>
            </w:r>
          </w:p>
        </w:tc>
        <w:tc>
          <w:tcPr>
            <w:tcW w:w="2720" w:type="dxa"/>
            <w:vAlign w:val="bottom"/>
          </w:tcPr>
          <w:p>
            <w:pPr>
              <w:ind w:left="80"/>
              <w:spacing w:after="0"/>
              <w:rPr>
                <w:sz w:val="20"/>
                <w:szCs w:val="20"/>
                <w:color w:val="auto"/>
              </w:rPr>
            </w:pPr>
            <w:r>
              <w:rPr>
                <w:rFonts w:ascii="Arial" w:cs="Arial" w:eastAsia="Arial" w:hAnsi="Arial"/>
                <w:sz w:val="16"/>
                <w:szCs w:val="16"/>
                <w:color w:val="53565A"/>
              </w:rPr>
              <w:t>New York Stock Exchange</w:t>
            </w:r>
          </w:p>
        </w:tc>
        <w:tc>
          <w:tcPr>
            <w:tcW w:w="2580" w:type="dxa"/>
            <w:vAlign w:val="bottom"/>
          </w:tcPr>
          <w:p>
            <w:pPr>
              <w:ind w:left="60"/>
              <w:spacing w:after="0"/>
              <w:rPr>
                <w:sz w:val="20"/>
                <w:szCs w:val="20"/>
                <w:color w:val="auto"/>
              </w:rPr>
            </w:pPr>
            <w:r>
              <w:rPr>
                <w:rFonts w:ascii="Arial" w:cs="Arial" w:eastAsia="Arial" w:hAnsi="Arial"/>
                <w:sz w:val="16"/>
                <w:szCs w:val="16"/>
                <w:color w:val="53565A"/>
              </w:rPr>
              <w:t>Please contact ir@easterlyreit.com</w:t>
            </w:r>
          </w:p>
        </w:tc>
        <w:tc>
          <w:tcPr>
            <w:tcW w:w="2120" w:type="dxa"/>
            <w:vAlign w:val="bottom"/>
          </w:tcPr>
          <w:p>
            <w:pPr>
              <w:ind w:left="100"/>
              <w:spacing w:after="0"/>
              <w:rPr>
                <w:sz w:val="20"/>
                <w:szCs w:val="20"/>
                <w:color w:val="auto"/>
              </w:rPr>
            </w:pPr>
            <w:r>
              <w:rPr>
                <w:rFonts w:ascii="Arial" w:cs="Arial" w:eastAsia="Arial" w:hAnsi="Arial"/>
                <w:sz w:val="16"/>
                <w:szCs w:val="16"/>
                <w:color w:val="53565A"/>
              </w:rPr>
              <w:t>Cole Bardawill</w:t>
            </w:r>
          </w:p>
        </w:tc>
        <w:tc>
          <w:tcPr>
            <w:tcW w:w="0" w:type="dxa"/>
            <w:vAlign w:val="bottom"/>
          </w:tcPr>
          <w:p>
            <w:pPr>
              <w:spacing w:after="0"/>
              <w:rPr>
                <w:sz w:val="1"/>
                <w:szCs w:val="1"/>
                <w:color w:val="auto"/>
              </w:rPr>
            </w:pPr>
          </w:p>
        </w:tc>
      </w:tr>
      <w:tr>
        <w:trPr>
          <w:trHeight w:val="201"/>
        </w:trPr>
        <w:tc>
          <w:tcPr>
            <w:tcW w:w="3640" w:type="dxa"/>
            <w:vAlign w:val="bottom"/>
          </w:tcPr>
          <w:p>
            <w:pPr>
              <w:spacing w:after="0"/>
              <w:rPr>
                <w:sz w:val="20"/>
                <w:szCs w:val="20"/>
                <w:color w:val="auto"/>
              </w:rPr>
            </w:pPr>
            <w:r>
              <w:rPr>
                <w:rFonts w:ascii="Arial" w:cs="Arial" w:eastAsia="Arial" w:hAnsi="Arial"/>
                <w:sz w:val="16"/>
                <w:szCs w:val="16"/>
                <w:color w:val="53565A"/>
              </w:rPr>
              <w:t>Suite 775 North</w:t>
            </w:r>
          </w:p>
        </w:tc>
        <w:tc>
          <w:tcPr>
            <w:tcW w:w="2720" w:type="dxa"/>
            <w:vAlign w:val="bottom"/>
            <w:vMerge w:val="restart"/>
          </w:tcPr>
          <w:p>
            <w:pPr>
              <w:ind w:left="80"/>
              <w:spacing w:after="0"/>
              <w:rPr>
                <w:sz w:val="20"/>
                <w:szCs w:val="20"/>
                <w:color w:val="auto"/>
              </w:rPr>
            </w:pPr>
            <w:r>
              <w:rPr>
                <w:rFonts w:ascii="Arial" w:cs="Arial" w:eastAsia="Arial" w:hAnsi="Arial"/>
                <w:sz w:val="16"/>
                <w:szCs w:val="16"/>
                <w:b w:val="1"/>
                <w:bCs w:val="1"/>
                <w:color w:val="53565A"/>
              </w:rPr>
              <w:t>Ticker</w:t>
            </w:r>
          </w:p>
        </w:tc>
        <w:tc>
          <w:tcPr>
            <w:tcW w:w="2580" w:type="dxa"/>
            <w:vAlign w:val="bottom"/>
          </w:tcPr>
          <w:p>
            <w:pPr>
              <w:ind w:left="60"/>
              <w:spacing w:after="0"/>
              <w:rPr>
                <w:sz w:val="20"/>
                <w:szCs w:val="20"/>
                <w:color w:val="auto"/>
              </w:rPr>
            </w:pPr>
            <w:r>
              <w:rPr>
                <w:rFonts w:ascii="Arial" w:cs="Arial" w:eastAsia="Arial" w:hAnsi="Arial"/>
                <w:sz w:val="16"/>
                <w:szCs w:val="16"/>
                <w:color w:val="53565A"/>
              </w:rPr>
              <w:t>or 202-987-9395 to request an</w:t>
            </w:r>
          </w:p>
        </w:tc>
        <w:tc>
          <w:tcPr>
            <w:tcW w:w="2120" w:type="dxa"/>
            <w:vAlign w:val="bottom"/>
          </w:tcPr>
          <w:p>
            <w:pPr>
              <w:ind w:left="100"/>
              <w:spacing w:after="0"/>
              <w:rPr>
                <w:sz w:val="20"/>
                <w:szCs w:val="20"/>
                <w:color w:val="auto"/>
              </w:rPr>
            </w:pPr>
            <w:r>
              <w:rPr>
                <w:rFonts w:ascii="Arial" w:cs="Arial" w:eastAsia="Arial" w:hAnsi="Arial"/>
                <w:sz w:val="16"/>
                <w:szCs w:val="16"/>
                <w:color w:val="53565A"/>
                <w:w w:val="96"/>
              </w:rPr>
              <w:t>Director of Investor Relations</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53565A"/>
              </w:rPr>
              <w:t>Washington, DC 20006</w:t>
            </w:r>
          </w:p>
        </w:tc>
        <w:tc>
          <w:tcPr>
            <w:tcW w:w="2720" w:type="dxa"/>
            <w:vAlign w:val="bottom"/>
            <w:vMerge w:val="continue"/>
          </w:tcPr>
          <w:p>
            <w:pPr>
              <w:spacing w:after="0"/>
              <w:rPr>
                <w:sz w:val="16"/>
                <w:szCs w:val="16"/>
                <w:color w:val="auto"/>
              </w:rPr>
            </w:pPr>
          </w:p>
        </w:tc>
        <w:tc>
          <w:tcPr>
            <w:tcW w:w="2580" w:type="dxa"/>
            <w:vAlign w:val="bottom"/>
          </w:tcPr>
          <w:p>
            <w:pPr>
              <w:ind w:left="60"/>
              <w:spacing w:after="0"/>
              <w:rPr>
                <w:sz w:val="20"/>
                <w:szCs w:val="20"/>
                <w:color w:val="auto"/>
              </w:rPr>
            </w:pPr>
            <w:r>
              <w:rPr>
                <w:rFonts w:ascii="Arial" w:cs="Arial" w:eastAsia="Arial" w:hAnsi="Arial"/>
                <w:sz w:val="16"/>
                <w:szCs w:val="16"/>
                <w:color w:val="53565A"/>
              </w:rPr>
              <w:t>Investor Relations package</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color w:val="53565A"/>
              </w:rPr>
              <w:t>202-595-9500</w:t>
            </w:r>
          </w:p>
        </w:tc>
        <w:tc>
          <w:tcPr>
            <w:tcW w:w="2720" w:type="dxa"/>
            <w:vAlign w:val="bottom"/>
          </w:tcPr>
          <w:p>
            <w:pPr>
              <w:ind w:left="80"/>
              <w:spacing w:after="0"/>
              <w:rPr>
                <w:sz w:val="20"/>
                <w:szCs w:val="20"/>
                <w:color w:val="auto"/>
              </w:rPr>
            </w:pPr>
            <w:r>
              <w:rPr>
                <w:rFonts w:ascii="Arial" w:cs="Arial" w:eastAsia="Arial" w:hAnsi="Arial"/>
                <w:sz w:val="16"/>
                <w:szCs w:val="16"/>
                <w:color w:val="53565A"/>
              </w:rPr>
              <w:t>DEA</w:t>
            </w:r>
          </w:p>
        </w:tc>
        <w:tc>
          <w:tcPr>
            <w:tcW w:w="2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640" w:type="dxa"/>
            <w:vAlign w:val="bottom"/>
          </w:tcPr>
          <w:p>
            <w:pPr>
              <w:spacing w:after="0"/>
              <w:rPr>
                <w:sz w:val="20"/>
                <w:szCs w:val="20"/>
                <w:color w:val="auto"/>
              </w:rPr>
            </w:pPr>
            <w:r>
              <w:rPr>
                <w:rFonts w:ascii="Arial" w:cs="Arial" w:eastAsia="Arial" w:hAnsi="Arial"/>
                <w:sz w:val="16"/>
                <w:szCs w:val="16"/>
                <w:b w:val="1"/>
                <w:bCs w:val="1"/>
                <w:color w:val="53565A"/>
              </w:rPr>
              <w:t>Executive Team</w:t>
            </w:r>
          </w:p>
        </w:tc>
        <w:tc>
          <w:tcPr>
            <w:tcW w:w="2720" w:type="dxa"/>
            <w:vAlign w:val="bottom"/>
          </w:tcPr>
          <w:p>
            <w:pPr>
              <w:spacing w:after="0"/>
              <w:rPr>
                <w:sz w:val="24"/>
                <w:szCs w:val="24"/>
                <w:color w:val="auto"/>
              </w:rPr>
            </w:pPr>
          </w:p>
        </w:tc>
        <w:tc>
          <w:tcPr>
            <w:tcW w:w="2580" w:type="dxa"/>
            <w:vAlign w:val="bottom"/>
          </w:tcPr>
          <w:p>
            <w:pPr>
              <w:ind w:left="60"/>
              <w:spacing w:after="0"/>
              <w:rPr>
                <w:sz w:val="20"/>
                <w:szCs w:val="20"/>
                <w:color w:val="auto"/>
              </w:rPr>
            </w:pPr>
            <w:r>
              <w:rPr>
                <w:rFonts w:ascii="Arial" w:cs="Arial" w:eastAsia="Arial" w:hAnsi="Arial"/>
                <w:sz w:val="16"/>
                <w:szCs w:val="16"/>
                <w:b w:val="1"/>
                <w:bCs w:val="1"/>
                <w:color w:val="53565A"/>
              </w:rPr>
              <w:t>Board of Directors</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color w:val="53565A"/>
              </w:rPr>
              <w:t>Darrell Crate, President &amp; CEO</w:t>
            </w:r>
          </w:p>
        </w:tc>
        <w:tc>
          <w:tcPr>
            <w:tcW w:w="2720" w:type="dxa"/>
            <w:vAlign w:val="bottom"/>
          </w:tcPr>
          <w:p>
            <w:pPr>
              <w:ind w:left="80"/>
              <w:spacing w:after="0"/>
              <w:rPr>
                <w:sz w:val="20"/>
                <w:szCs w:val="20"/>
                <w:color w:val="auto"/>
              </w:rPr>
            </w:pPr>
            <w:r>
              <w:rPr>
                <w:rFonts w:ascii="Arial" w:cs="Arial" w:eastAsia="Arial" w:hAnsi="Arial"/>
                <w:sz w:val="16"/>
                <w:szCs w:val="16"/>
                <w:color w:val="53565A"/>
              </w:rPr>
              <w:t>Mark Bauer, EVP Development</w:t>
            </w:r>
          </w:p>
        </w:tc>
        <w:tc>
          <w:tcPr>
            <w:tcW w:w="2580" w:type="dxa"/>
            <w:vAlign w:val="bottom"/>
          </w:tcPr>
          <w:p>
            <w:pPr>
              <w:ind w:left="60"/>
              <w:spacing w:after="0"/>
              <w:rPr>
                <w:sz w:val="20"/>
                <w:szCs w:val="20"/>
                <w:color w:val="auto"/>
              </w:rPr>
            </w:pPr>
            <w:r>
              <w:rPr>
                <w:rFonts w:ascii="Arial" w:cs="Arial" w:eastAsia="Arial" w:hAnsi="Arial"/>
                <w:sz w:val="16"/>
                <w:szCs w:val="16"/>
                <w:color w:val="53565A"/>
              </w:rPr>
              <w:t>William Binnie, Chairman</w:t>
            </w:r>
          </w:p>
        </w:tc>
        <w:tc>
          <w:tcPr>
            <w:tcW w:w="2120" w:type="dxa"/>
            <w:vAlign w:val="bottom"/>
          </w:tcPr>
          <w:p>
            <w:pPr>
              <w:ind w:left="100"/>
              <w:spacing w:after="0"/>
              <w:rPr>
                <w:sz w:val="20"/>
                <w:szCs w:val="20"/>
                <w:color w:val="auto"/>
              </w:rPr>
            </w:pPr>
            <w:r>
              <w:rPr>
                <w:rFonts w:ascii="Arial" w:cs="Arial" w:eastAsia="Arial" w:hAnsi="Arial"/>
                <w:sz w:val="16"/>
                <w:szCs w:val="16"/>
                <w:color w:val="53565A"/>
              </w:rPr>
              <w:t>Emil Henry Jr.</w:t>
            </w:r>
          </w:p>
        </w:tc>
        <w:tc>
          <w:tcPr>
            <w:tcW w:w="0" w:type="dxa"/>
            <w:vAlign w:val="bottom"/>
          </w:tcPr>
          <w:p>
            <w:pPr>
              <w:spacing w:after="0"/>
              <w:rPr>
                <w:sz w:val="1"/>
                <w:szCs w:val="1"/>
                <w:color w:val="auto"/>
              </w:rPr>
            </w:pPr>
          </w:p>
        </w:tc>
      </w:tr>
      <w:tr>
        <w:trPr>
          <w:trHeight w:val="177"/>
        </w:trPr>
        <w:tc>
          <w:tcPr>
            <w:tcW w:w="3640" w:type="dxa"/>
            <w:vAlign w:val="bottom"/>
          </w:tcPr>
          <w:p>
            <w:pPr>
              <w:spacing w:after="0" w:line="178" w:lineRule="exact"/>
              <w:rPr>
                <w:sz w:val="20"/>
                <w:szCs w:val="20"/>
                <w:color w:val="auto"/>
              </w:rPr>
            </w:pPr>
            <w:r>
              <w:rPr>
                <w:rFonts w:ascii="Arial" w:cs="Arial" w:eastAsia="Arial" w:hAnsi="Arial"/>
                <w:sz w:val="16"/>
                <w:szCs w:val="16"/>
                <w:color w:val="53565A"/>
              </w:rPr>
              <w:t>Michael Ibe, Vice-Chairman &amp; EVP</w:t>
            </w:r>
          </w:p>
        </w:tc>
        <w:tc>
          <w:tcPr>
            <w:tcW w:w="2720" w:type="dxa"/>
            <w:vAlign w:val="bottom"/>
          </w:tcPr>
          <w:p>
            <w:pPr>
              <w:ind w:left="80"/>
              <w:spacing w:after="0" w:line="178" w:lineRule="exact"/>
              <w:rPr>
                <w:sz w:val="20"/>
                <w:szCs w:val="20"/>
                <w:color w:val="auto"/>
              </w:rPr>
            </w:pPr>
            <w:r>
              <w:rPr>
                <w:rFonts w:ascii="Arial" w:cs="Arial" w:eastAsia="Arial" w:hAnsi="Arial"/>
                <w:sz w:val="16"/>
                <w:szCs w:val="16"/>
                <w:color w:val="53565A"/>
                <w:w w:val="99"/>
              </w:rPr>
              <w:t>Franklin Logan, EVP GC &amp; Secretary</w:t>
            </w:r>
          </w:p>
        </w:tc>
        <w:tc>
          <w:tcPr>
            <w:tcW w:w="2580" w:type="dxa"/>
            <w:vAlign w:val="bottom"/>
          </w:tcPr>
          <w:p>
            <w:pPr>
              <w:ind w:left="60"/>
              <w:spacing w:after="0" w:line="178" w:lineRule="exact"/>
              <w:rPr>
                <w:sz w:val="20"/>
                <w:szCs w:val="20"/>
                <w:color w:val="auto"/>
              </w:rPr>
            </w:pPr>
            <w:r>
              <w:rPr>
                <w:rFonts w:ascii="Arial" w:cs="Arial" w:eastAsia="Arial" w:hAnsi="Arial"/>
                <w:sz w:val="16"/>
                <w:szCs w:val="16"/>
                <w:color w:val="53565A"/>
              </w:rPr>
              <w:t>Darrell Crate</w:t>
            </w:r>
          </w:p>
        </w:tc>
        <w:tc>
          <w:tcPr>
            <w:tcW w:w="2120" w:type="dxa"/>
            <w:vAlign w:val="bottom"/>
          </w:tcPr>
          <w:p>
            <w:pPr>
              <w:ind w:left="100"/>
              <w:spacing w:after="0" w:line="178" w:lineRule="exact"/>
              <w:rPr>
                <w:sz w:val="20"/>
                <w:szCs w:val="20"/>
                <w:color w:val="auto"/>
              </w:rPr>
            </w:pPr>
            <w:r>
              <w:rPr>
                <w:rFonts w:ascii="Arial" w:cs="Arial" w:eastAsia="Arial" w:hAnsi="Arial"/>
                <w:sz w:val="16"/>
                <w:szCs w:val="16"/>
                <w:color w:val="53565A"/>
              </w:rPr>
              <w:t>Michael Ibe</w:t>
            </w:r>
          </w:p>
        </w:tc>
        <w:tc>
          <w:tcPr>
            <w:tcW w:w="0" w:type="dxa"/>
            <w:vAlign w:val="bottom"/>
          </w:tcPr>
          <w:p>
            <w:pPr>
              <w:spacing w:after="0"/>
              <w:rPr>
                <w:sz w:val="1"/>
                <w:szCs w:val="1"/>
                <w:color w:val="auto"/>
              </w:rPr>
            </w:pPr>
          </w:p>
        </w:tc>
      </w:tr>
      <w:tr>
        <w:trPr>
          <w:trHeight w:val="177"/>
        </w:trPr>
        <w:tc>
          <w:tcPr>
            <w:tcW w:w="3640" w:type="dxa"/>
            <w:vAlign w:val="bottom"/>
          </w:tcPr>
          <w:p>
            <w:pPr>
              <w:spacing w:after="0" w:line="178" w:lineRule="exact"/>
              <w:rPr>
                <w:sz w:val="20"/>
                <w:szCs w:val="20"/>
                <w:color w:val="auto"/>
              </w:rPr>
            </w:pPr>
            <w:r>
              <w:rPr>
                <w:rFonts w:ascii="Arial" w:cs="Arial" w:eastAsia="Arial" w:hAnsi="Arial"/>
                <w:sz w:val="16"/>
                <w:szCs w:val="16"/>
                <w:color w:val="53565A"/>
              </w:rPr>
              <w:t>Allison Marino, EVP CFO</w:t>
            </w:r>
          </w:p>
        </w:tc>
        <w:tc>
          <w:tcPr>
            <w:tcW w:w="2720" w:type="dxa"/>
            <w:vAlign w:val="bottom"/>
          </w:tcPr>
          <w:p>
            <w:pPr>
              <w:ind w:left="80"/>
              <w:spacing w:after="0" w:line="178" w:lineRule="exact"/>
              <w:rPr>
                <w:sz w:val="20"/>
                <w:szCs w:val="20"/>
                <w:color w:val="auto"/>
              </w:rPr>
            </w:pPr>
            <w:r>
              <w:rPr>
                <w:rFonts w:ascii="Arial" w:cs="Arial" w:eastAsia="Arial" w:hAnsi="Arial"/>
                <w:sz w:val="16"/>
                <w:szCs w:val="16"/>
                <w:color w:val="53565A"/>
              </w:rPr>
              <w:t>Christopher Wang, EVP Acquisitions</w:t>
            </w:r>
          </w:p>
        </w:tc>
        <w:tc>
          <w:tcPr>
            <w:tcW w:w="2580" w:type="dxa"/>
            <w:vAlign w:val="bottom"/>
          </w:tcPr>
          <w:p>
            <w:pPr>
              <w:ind w:left="60"/>
              <w:spacing w:after="0" w:line="178" w:lineRule="exact"/>
              <w:rPr>
                <w:sz w:val="20"/>
                <w:szCs w:val="20"/>
                <w:color w:val="auto"/>
              </w:rPr>
            </w:pPr>
            <w:r>
              <w:rPr>
                <w:rFonts w:ascii="Arial" w:cs="Arial" w:eastAsia="Arial" w:hAnsi="Arial"/>
                <w:sz w:val="16"/>
                <w:szCs w:val="16"/>
                <w:color w:val="53565A"/>
              </w:rPr>
              <w:t>Cynthia Fisher</w:t>
            </w:r>
          </w:p>
        </w:tc>
        <w:tc>
          <w:tcPr>
            <w:tcW w:w="2120" w:type="dxa"/>
            <w:vAlign w:val="bottom"/>
          </w:tcPr>
          <w:p>
            <w:pPr>
              <w:ind w:left="100"/>
              <w:spacing w:after="0" w:line="178" w:lineRule="exact"/>
              <w:rPr>
                <w:sz w:val="20"/>
                <w:szCs w:val="20"/>
                <w:color w:val="auto"/>
              </w:rPr>
            </w:pPr>
            <w:r>
              <w:rPr>
                <w:rFonts w:ascii="Arial" w:cs="Arial" w:eastAsia="Arial" w:hAnsi="Arial"/>
                <w:sz w:val="16"/>
                <w:szCs w:val="16"/>
                <w:color w:val="53565A"/>
              </w:rPr>
              <w:t>Tara Innes</w:t>
            </w:r>
          </w:p>
        </w:tc>
        <w:tc>
          <w:tcPr>
            <w:tcW w:w="0" w:type="dxa"/>
            <w:vAlign w:val="bottom"/>
          </w:tcPr>
          <w:p>
            <w:pPr>
              <w:spacing w:after="0"/>
              <w:rPr>
                <w:sz w:val="1"/>
                <w:szCs w:val="1"/>
                <w:color w:val="auto"/>
              </w:rPr>
            </w:pPr>
          </w:p>
        </w:tc>
      </w:tr>
      <w:tr>
        <w:trPr>
          <w:trHeight w:val="177"/>
        </w:trPr>
        <w:tc>
          <w:tcPr>
            <w:tcW w:w="3640" w:type="dxa"/>
            <w:vAlign w:val="bottom"/>
          </w:tcPr>
          <w:p>
            <w:pPr>
              <w:spacing w:after="0" w:line="178" w:lineRule="exact"/>
              <w:rPr>
                <w:sz w:val="20"/>
                <w:szCs w:val="20"/>
                <w:color w:val="auto"/>
              </w:rPr>
            </w:pPr>
            <w:r>
              <w:rPr>
                <w:rFonts w:ascii="Arial" w:cs="Arial" w:eastAsia="Arial" w:hAnsi="Arial"/>
                <w:sz w:val="16"/>
                <w:szCs w:val="16"/>
                <w:color w:val="53565A"/>
              </w:rPr>
              <w:t>Stuart Burns, EVP Government Relations</w:t>
            </w:r>
          </w:p>
        </w:tc>
        <w:tc>
          <w:tcPr>
            <w:tcW w:w="2720" w:type="dxa"/>
            <w:vAlign w:val="bottom"/>
          </w:tcPr>
          <w:p>
            <w:pPr>
              <w:ind w:left="80"/>
              <w:spacing w:after="0" w:line="178" w:lineRule="exact"/>
              <w:rPr>
                <w:sz w:val="20"/>
                <w:szCs w:val="20"/>
                <w:color w:val="auto"/>
              </w:rPr>
            </w:pPr>
            <w:r>
              <w:rPr>
                <w:rFonts w:ascii="Arial" w:cs="Arial" w:eastAsia="Arial" w:hAnsi="Arial"/>
                <w:sz w:val="16"/>
                <w:szCs w:val="16"/>
                <w:color w:val="53565A"/>
              </w:rPr>
              <w:t>Brian Colantuoni, SVP CAO</w:t>
            </w:r>
          </w:p>
        </w:tc>
        <w:tc>
          <w:tcPr>
            <w:tcW w:w="2580" w:type="dxa"/>
            <w:vAlign w:val="bottom"/>
          </w:tcPr>
          <w:p>
            <w:pPr>
              <w:ind w:left="60"/>
              <w:spacing w:after="0" w:line="178" w:lineRule="exact"/>
              <w:rPr>
                <w:sz w:val="20"/>
                <w:szCs w:val="20"/>
                <w:color w:val="auto"/>
              </w:rPr>
            </w:pPr>
            <w:r>
              <w:rPr>
                <w:rFonts w:ascii="Arial" w:cs="Arial" w:eastAsia="Arial" w:hAnsi="Arial"/>
                <w:sz w:val="16"/>
                <w:szCs w:val="16"/>
                <w:color w:val="53565A"/>
              </w:rPr>
              <w:t>Scott Freeman</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6"/>
                <w:szCs w:val="16"/>
                <w:color w:val="53565A"/>
              </w:rPr>
              <w:t>Nick Nimerala, EVP Portfolio &amp; Asset Management</w:t>
            </w:r>
          </w:p>
        </w:tc>
        <w:tc>
          <w:tcPr>
            <w:tcW w:w="27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22"/>
          <w:szCs w:val="22"/>
          <w:b w:val="1"/>
          <w:bCs w:val="1"/>
          <w:color w:val="53565A"/>
        </w:rPr>
        <w:t>Equity 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7149465"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20"/>
                <w:szCs w:val="20"/>
                <w:color w:val="auto"/>
              </w:rPr>
            </w:pPr>
            <w:r>
              <w:rPr>
                <w:rFonts w:ascii="Arial" w:cs="Arial" w:eastAsia="Arial" w:hAnsi="Arial"/>
                <w:sz w:val="16"/>
                <w:szCs w:val="16"/>
                <w:b w:val="1"/>
                <w:bCs w:val="1"/>
                <w:color w:val="53565A"/>
              </w:rPr>
              <w:t>Citigroup</w:t>
            </w:r>
          </w:p>
        </w:tc>
        <w:tc>
          <w:tcPr>
            <w:tcW w:w="3800" w:type="dxa"/>
            <w:vAlign w:val="bottom"/>
          </w:tcPr>
          <w:p>
            <w:pPr>
              <w:ind w:left="1020"/>
              <w:spacing w:after="0"/>
              <w:rPr>
                <w:sz w:val="20"/>
                <w:szCs w:val="20"/>
                <w:color w:val="auto"/>
              </w:rPr>
            </w:pPr>
            <w:r>
              <w:rPr>
                <w:rFonts w:ascii="Arial" w:cs="Arial" w:eastAsia="Arial" w:hAnsi="Arial"/>
                <w:sz w:val="16"/>
                <w:szCs w:val="16"/>
                <w:b w:val="1"/>
                <w:bCs w:val="1"/>
                <w:color w:val="53565A"/>
              </w:rPr>
              <w:t>BMO Capital Markets</w:t>
            </w:r>
          </w:p>
        </w:tc>
        <w:tc>
          <w:tcPr>
            <w:tcW w:w="4260" w:type="dxa"/>
            <w:vAlign w:val="bottom"/>
          </w:tcPr>
          <w:p>
            <w:pPr>
              <w:ind w:left="1180"/>
              <w:spacing w:after="0"/>
              <w:rPr>
                <w:sz w:val="20"/>
                <w:szCs w:val="20"/>
                <w:color w:val="auto"/>
              </w:rPr>
            </w:pPr>
            <w:r>
              <w:rPr>
                <w:rFonts w:ascii="Arial" w:cs="Arial" w:eastAsia="Arial" w:hAnsi="Arial"/>
                <w:sz w:val="16"/>
                <w:szCs w:val="16"/>
                <w:b w:val="1"/>
                <w:bCs w:val="1"/>
                <w:color w:val="53565A"/>
              </w:rPr>
              <w:t>RBC Capital Markets</w:t>
            </w:r>
          </w:p>
        </w:tc>
      </w:tr>
      <w:tr>
        <w:trPr>
          <w:trHeight w:val="177"/>
        </w:trPr>
        <w:tc>
          <w:tcPr>
            <w:tcW w:w="3180" w:type="dxa"/>
            <w:vAlign w:val="bottom"/>
          </w:tcPr>
          <w:p>
            <w:pPr>
              <w:spacing w:after="0" w:line="178" w:lineRule="exact"/>
              <w:rPr>
                <w:sz w:val="20"/>
                <w:szCs w:val="20"/>
                <w:color w:val="auto"/>
              </w:rPr>
            </w:pPr>
            <w:r>
              <w:rPr>
                <w:rFonts w:ascii="Arial" w:cs="Arial" w:eastAsia="Arial" w:hAnsi="Arial"/>
                <w:sz w:val="16"/>
                <w:szCs w:val="16"/>
                <w:color w:val="53565A"/>
              </w:rPr>
              <w:t>Seth Bergey &amp; Nick Joseph</w:t>
            </w:r>
          </w:p>
        </w:tc>
        <w:tc>
          <w:tcPr>
            <w:tcW w:w="3800" w:type="dxa"/>
            <w:vAlign w:val="bottom"/>
          </w:tcPr>
          <w:p>
            <w:pPr>
              <w:ind w:left="1020"/>
              <w:spacing w:after="0" w:line="178" w:lineRule="exact"/>
              <w:rPr>
                <w:sz w:val="20"/>
                <w:szCs w:val="20"/>
                <w:color w:val="auto"/>
              </w:rPr>
            </w:pPr>
            <w:r>
              <w:rPr>
                <w:rFonts w:ascii="Arial" w:cs="Arial" w:eastAsia="Arial" w:hAnsi="Arial"/>
                <w:sz w:val="16"/>
                <w:szCs w:val="16"/>
                <w:color w:val="53565A"/>
              </w:rPr>
              <w:t>John P. Kim</w:t>
            </w:r>
          </w:p>
        </w:tc>
        <w:tc>
          <w:tcPr>
            <w:tcW w:w="4260" w:type="dxa"/>
            <w:vAlign w:val="bottom"/>
          </w:tcPr>
          <w:p>
            <w:pPr>
              <w:ind w:left="1180"/>
              <w:spacing w:after="0" w:line="178" w:lineRule="exact"/>
              <w:rPr>
                <w:sz w:val="20"/>
                <w:szCs w:val="20"/>
                <w:color w:val="auto"/>
              </w:rPr>
            </w:pPr>
            <w:r>
              <w:rPr>
                <w:rFonts w:ascii="Arial" w:cs="Arial" w:eastAsia="Arial" w:hAnsi="Arial"/>
                <w:sz w:val="16"/>
                <w:szCs w:val="16"/>
                <w:color w:val="53565A"/>
              </w:rPr>
              <w:t>Michael Carroll</w:t>
            </w:r>
          </w:p>
        </w:tc>
      </w:tr>
      <w:tr>
        <w:trPr>
          <w:trHeight w:val="207"/>
        </w:trPr>
        <w:tc>
          <w:tcPr>
            <w:tcW w:w="3180" w:type="dxa"/>
            <w:vAlign w:val="bottom"/>
          </w:tcPr>
          <w:p>
            <w:pPr>
              <w:spacing w:after="0"/>
              <w:rPr>
                <w:sz w:val="20"/>
                <w:szCs w:val="20"/>
                <w:color w:val="auto"/>
              </w:rPr>
            </w:pPr>
            <w:r>
              <w:rPr>
                <w:rFonts w:ascii="Arial" w:cs="Arial" w:eastAsia="Arial" w:hAnsi="Arial"/>
                <w:sz w:val="16"/>
                <w:szCs w:val="16"/>
                <w:color w:val="53565A"/>
              </w:rPr>
              <w:t>212-816-2066 &amp; 212-816-1909</w:t>
            </w:r>
          </w:p>
        </w:tc>
        <w:tc>
          <w:tcPr>
            <w:tcW w:w="3800" w:type="dxa"/>
            <w:vAlign w:val="bottom"/>
          </w:tcPr>
          <w:p>
            <w:pPr>
              <w:ind w:left="1020"/>
              <w:spacing w:after="0"/>
              <w:rPr>
                <w:sz w:val="20"/>
                <w:szCs w:val="20"/>
                <w:color w:val="auto"/>
              </w:rPr>
            </w:pPr>
            <w:r>
              <w:rPr>
                <w:rFonts w:ascii="Arial" w:cs="Arial" w:eastAsia="Arial" w:hAnsi="Arial"/>
                <w:sz w:val="16"/>
                <w:szCs w:val="16"/>
                <w:color w:val="53565A"/>
              </w:rPr>
              <w:t>212-885-4115</w:t>
            </w:r>
          </w:p>
        </w:tc>
        <w:tc>
          <w:tcPr>
            <w:tcW w:w="4260" w:type="dxa"/>
            <w:vAlign w:val="bottom"/>
          </w:tcPr>
          <w:p>
            <w:pPr>
              <w:ind w:left="1180"/>
              <w:spacing w:after="0"/>
              <w:rPr>
                <w:sz w:val="20"/>
                <w:szCs w:val="20"/>
                <w:color w:val="auto"/>
              </w:rPr>
            </w:pPr>
            <w:r>
              <w:rPr>
                <w:rFonts w:ascii="Arial" w:cs="Arial" w:eastAsia="Arial" w:hAnsi="Arial"/>
                <w:sz w:val="16"/>
                <w:szCs w:val="16"/>
                <w:color w:val="53565A"/>
              </w:rPr>
              <w:t>440-715-2649</w:t>
            </w:r>
          </w:p>
        </w:tc>
      </w:tr>
      <w:tr>
        <w:trPr>
          <w:trHeight w:val="361"/>
        </w:trPr>
        <w:tc>
          <w:tcPr>
            <w:tcW w:w="3180" w:type="dxa"/>
            <w:vAlign w:val="bottom"/>
          </w:tcPr>
          <w:p>
            <w:pPr>
              <w:spacing w:after="0"/>
              <w:rPr>
                <w:sz w:val="20"/>
                <w:szCs w:val="20"/>
                <w:color w:val="auto"/>
              </w:rPr>
            </w:pPr>
            <w:r>
              <w:rPr>
                <w:rFonts w:ascii="Arial" w:cs="Arial" w:eastAsia="Arial" w:hAnsi="Arial"/>
                <w:sz w:val="16"/>
                <w:szCs w:val="16"/>
                <w:b w:val="1"/>
                <w:bCs w:val="1"/>
                <w:color w:val="53565A"/>
              </w:rPr>
              <w:t>Jefferies</w:t>
            </w:r>
          </w:p>
        </w:tc>
        <w:tc>
          <w:tcPr>
            <w:tcW w:w="3800" w:type="dxa"/>
            <w:vAlign w:val="bottom"/>
          </w:tcPr>
          <w:p>
            <w:pPr>
              <w:ind w:left="1020"/>
              <w:spacing w:after="0"/>
              <w:rPr>
                <w:sz w:val="20"/>
                <w:szCs w:val="20"/>
                <w:color w:val="auto"/>
              </w:rPr>
            </w:pPr>
            <w:r>
              <w:rPr>
                <w:rFonts w:ascii="Arial" w:cs="Arial" w:eastAsia="Arial" w:hAnsi="Arial"/>
                <w:sz w:val="16"/>
                <w:szCs w:val="16"/>
                <w:b w:val="1"/>
                <w:bCs w:val="1"/>
                <w:color w:val="53565A"/>
              </w:rPr>
              <w:t>Truist Securities</w:t>
            </w:r>
          </w:p>
        </w:tc>
        <w:tc>
          <w:tcPr>
            <w:tcW w:w="4260" w:type="dxa"/>
            <w:vAlign w:val="bottom"/>
          </w:tcPr>
          <w:p>
            <w:pPr>
              <w:ind w:left="1180"/>
              <w:spacing w:after="0"/>
              <w:rPr>
                <w:sz w:val="20"/>
                <w:szCs w:val="20"/>
                <w:color w:val="auto"/>
              </w:rPr>
            </w:pPr>
            <w:r>
              <w:rPr>
                <w:rFonts w:ascii="Arial" w:cs="Arial" w:eastAsia="Arial" w:hAnsi="Arial"/>
                <w:sz w:val="16"/>
                <w:szCs w:val="16"/>
                <w:b w:val="1"/>
                <w:bCs w:val="1"/>
                <w:color w:val="53565A"/>
                <w:w w:val="98"/>
              </w:rPr>
              <w:t>Compass Point Research &amp; Trading, LLC</w:t>
            </w:r>
          </w:p>
        </w:tc>
      </w:tr>
      <w:tr>
        <w:trPr>
          <w:trHeight w:val="177"/>
        </w:trPr>
        <w:tc>
          <w:tcPr>
            <w:tcW w:w="3180" w:type="dxa"/>
            <w:vAlign w:val="bottom"/>
          </w:tcPr>
          <w:p>
            <w:pPr>
              <w:spacing w:after="0" w:line="178" w:lineRule="exact"/>
              <w:rPr>
                <w:sz w:val="20"/>
                <w:szCs w:val="20"/>
                <w:color w:val="auto"/>
              </w:rPr>
            </w:pPr>
            <w:r>
              <w:rPr>
                <w:rFonts w:ascii="Arial" w:cs="Arial" w:eastAsia="Arial" w:hAnsi="Arial"/>
                <w:sz w:val="16"/>
                <w:szCs w:val="16"/>
                <w:color w:val="53565A"/>
              </w:rPr>
              <w:t>Joe Dickstein</w:t>
            </w:r>
          </w:p>
        </w:tc>
        <w:tc>
          <w:tcPr>
            <w:tcW w:w="3800" w:type="dxa"/>
            <w:vAlign w:val="bottom"/>
          </w:tcPr>
          <w:p>
            <w:pPr>
              <w:ind w:left="1020"/>
              <w:spacing w:after="0" w:line="178" w:lineRule="exact"/>
              <w:rPr>
                <w:sz w:val="20"/>
                <w:szCs w:val="20"/>
                <w:color w:val="auto"/>
              </w:rPr>
            </w:pPr>
            <w:r>
              <w:rPr>
                <w:rFonts w:ascii="Arial" w:cs="Arial" w:eastAsia="Arial" w:hAnsi="Arial"/>
                <w:sz w:val="16"/>
                <w:szCs w:val="16"/>
                <w:color w:val="53565A"/>
              </w:rPr>
              <w:t>Michael R. Lewis</w:t>
            </w:r>
          </w:p>
        </w:tc>
        <w:tc>
          <w:tcPr>
            <w:tcW w:w="4260" w:type="dxa"/>
            <w:vAlign w:val="bottom"/>
          </w:tcPr>
          <w:p>
            <w:pPr>
              <w:ind w:left="1180"/>
              <w:spacing w:after="0" w:line="178" w:lineRule="exact"/>
              <w:rPr>
                <w:sz w:val="20"/>
                <w:szCs w:val="20"/>
                <w:color w:val="auto"/>
              </w:rPr>
            </w:pPr>
            <w:r>
              <w:rPr>
                <w:rFonts w:ascii="Arial" w:cs="Arial" w:eastAsia="Arial" w:hAnsi="Arial"/>
                <w:sz w:val="16"/>
                <w:szCs w:val="16"/>
                <w:color w:val="53565A"/>
              </w:rPr>
              <w:t>Merrill Ross</w:t>
            </w:r>
          </w:p>
        </w:tc>
      </w:tr>
      <w:tr>
        <w:trPr>
          <w:trHeight w:val="218"/>
        </w:trPr>
        <w:tc>
          <w:tcPr>
            <w:tcW w:w="3180" w:type="dxa"/>
            <w:vAlign w:val="bottom"/>
          </w:tcPr>
          <w:p>
            <w:pPr>
              <w:spacing w:after="0"/>
              <w:rPr>
                <w:sz w:val="20"/>
                <w:szCs w:val="20"/>
                <w:color w:val="auto"/>
              </w:rPr>
            </w:pPr>
            <w:r>
              <w:rPr>
                <w:rFonts w:ascii="Arial" w:cs="Arial" w:eastAsia="Arial" w:hAnsi="Arial"/>
                <w:sz w:val="16"/>
                <w:szCs w:val="16"/>
                <w:color w:val="53565A"/>
              </w:rPr>
              <w:t>212-778-8771</w:t>
            </w:r>
          </w:p>
        </w:tc>
        <w:tc>
          <w:tcPr>
            <w:tcW w:w="3800" w:type="dxa"/>
            <w:vAlign w:val="bottom"/>
          </w:tcPr>
          <w:p>
            <w:pPr>
              <w:ind w:left="1020"/>
              <w:spacing w:after="0"/>
              <w:rPr>
                <w:sz w:val="20"/>
                <w:szCs w:val="20"/>
                <w:color w:val="auto"/>
              </w:rPr>
            </w:pPr>
            <w:r>
              <w:rPr>
                <w:rFonts w:ascii="Arial" w:cs="Arial" w:eastAsia="Arial" w:hAnsi="Arial"/>
                <w:sz w:val="16"/>
                <w:szCs w:val="16"/>
                <w:color w:val="53565A"/>
              </w:rPr>
              <w:t>212-319-5659</w:t>
            </w:r>
          </w:p>
        </w:tc>
        <w:tc>
          <w:tcPr>
            <w:tcW w:w="4260" w:type="dxa"/>
            <w:vAlign w:val="bottom"/>
          </w:tcPr>
          <w:p>
            <w:pPr>
              <w:ind w:left="1180"/>
              <w:spacing w:after="0"/>
              <w:rPr>
                <w:sz w:val="20"/>
                <w:szCs w:val="20"/>
                <w:color w:val="auto"/>
              </w:rPr>
            </w:pPr>
            <w:r>
              <w:rPr>
                <w:rFonts w:ascii="Arial" w:cs="Arial" w:eastAsia="Arial" w:hAnsi="Arial"/>
                <w:sz w:val="16"/>
                <w:szCs w:val="16"/>
                <w:color w:val="53565A"/>
              </w:rPr>
              <w:t>202-534-1392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i w:val="1"/>
          <w:iCs w:val="1"/>
          <w:color w:val="53565A"/>
        </w:rPr>
        <w:t>Any opinions, estimates, forecasts or predictions regarding Easterly Government Properties, Inc.’s performance made by these analysts are theirs alone and do not represent opinions, estimates, forecasts or predictions of Easterly Government Properties, Inc. or its management. Easterly Government Properties, Inc. does not by its reference above or distribution imply its endorsement of or concurrence with such opinions, estimates, forecasts or predictions.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25" w:right="319" w:bottom="1440" w:gutter="0" w:footer="0" w:header="0"/>
        </w:sectPr>
      </w:pPr>
    </w:p>
    <w:bookmarkStart w:id="19" w:name="page20"/>
    <w:bookmarkEnd w:id="19"/>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Executive Summary</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660" w:type="dxa"/>
            <w:vAlign w:val="bottom"/>
          </w:tcPr>
          <w:p>
            <w:pPr>
              <w:spacing w:after="0"/>
              <w:rPr>
                <w:sz w:val="20"/>
                <w:szCs w:val="20"/>
                <w:color w:val="auto"/>
              </w:rPr>
            </w:pPr>
            <w:r>
              <w:rPr>
                <w:rFonts w:ascii="Arial" w:cs="Arial" w:eastAsia="Arial" w:hAnsi="Arial"/>
                <w:sz w:val="13"/>
                <w:szCs w:val="13"/>
                <w:b w:val="1"/>
                <w:bCs w:val="1"/>
                <w:color w:val="auto"/>
                <w:w w:val="99"/>
              </w:rPr>
              <w:t>Outstanding Classes of Stock and Partnership Units - Fully</w:t>
            </w:r>
          </w:p>
        </w:tc>
        <w:tc>
          <w:tcPr>
            <w:tcW w:w="1200" w:type="dxa"/>
            <w:vAlign w:val="bottom"/>
          </w:tcPr>
          <w:p>
            <w:pPr>
              <w:spacing w:after="0"/>
              <w:rPr>
                <w:sz w:val="13"/>
                <w:szCs w:val="13"/>
                <w:color w:val="auto"/>
              </w:rPr>
            </w:pPr>
          </w:p>
        </w:tc>
      </w:tr>
      <w:tr>
        <w:trPr>
          <w:trHeight w:val="165"/>
        </w:trPr>
        <w:tc>
          <w:tcPr>
            <w:tcW w:w="366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Diluted Basis</w:t>
            </w:r>
          </w:p>
        </w:tc>
        <w:tc>
          <w:tcPr>
            <w:tcW w:w="120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At March 31, 2026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color w:val="auto"/>
              </w:rPr>
              <w:t>Common shares</w:t>
            </w:r>
          </w:p>
        </w:tc>
        <w:tc>
          <w:tcPr>
            <w:tcW w:w="1200" w:type="dxa"/>
            <w:vAlign w:val="bottom"/>
          </w:tcPr>
          <w:p>
            <w:pPr>
              <w:jc w:val="right"/>
              <w:spacing w:after="0" w:line="134" w:lineRule="exact"/>
              <w:rPr>
                <w:sz w:val="20"/>
                <w:szCs w:val="20"/>
                <w:color w:val="auto"/>
              </w:rPr>
            </w:pPr>
            <w:r>
              <w:rPr>
                <w:rFonts w:ascii="Arial" w:cs="Arial" w:eastAsia="Arial" w:hAnsi="Arial"/>
                <w:sz w:val="13"/>
                <w:szCs w:val="13"/>
                <w:color w:val="auto"/>
              </w:rPr>
              <w:t>46,370,407</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Unvested restricted shares</w:t>
            </w: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73,967</w:t>
            </w:r>
          </w:p>
        </w:tc>
      </w:tr>
      <w:tr>
        <w:trPr>
          <w:trHeight w:val="150"/>
        </w:trPr>
        <w:tc>
          <w:tcPr>
            <w:tcW w:w="3660" w:type="dxa"/>
            <w:vAlign w:val="bottom"/>
          </w:tcPr>
          <w:p>
            <w:pPr>
              <w:spacing w:after="0"/>
              <w:rPr>
                <w:sz w:val="20"/>
                <w:szCs w:val="20"/>
                <w:color w:val="auto"/>
              </w:rPr>
            </w:pPr>
            <w:r>
              <w:rPr>
                <w:rFonts w:ascii="Arial" w:cs="Arial" w:eastAsia="Arial" w:hAnsi="Arial"/>
                <w:sz w:val="13"/>
                <w:szCs w:val="13"/>
                <w:color w:val="auto"/>
              </w:rPr>
              <w:t>Common partnership and vested LTIP units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1,655,896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b w:val="1"/>
                <w:bCs w:val="1"/>
                <w:color w:val="auto"/>
              </w:rPr>
              <w:t>Total - fully diluted basis</w:t>
            </w: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48,100,270</w:t>
            </w:r>
          </w:p>
        </w:tc>
      </w:tr>
      <w:tr>
        <w:trPr>
          <w:trHeight w:val="20"/>
        </w:trPr>
        <w:tc>
          <w:tcPr>
            <w:tcW w:w="3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7"/>
        </w:trPr>
        <w:tc>
          <w:tcPr>
            <w:tcW w:w="366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Market Capitalization</w:t>
            </w:r>
          </w:p>
        </w:tc>
        <w:tc>
          <w:tcPr>
            <w:tcW w:w="120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At March 31, 2026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b w:val="1"/>
                <w:bCs w:val="1"/>
                <w:color w:val="auto"/>
              </w:rPr>
              <w:t>Price of Common Shares</w:t>
            </w:r>
          </w:p>
        </w:tc>
        <w:tc>
          <w:tcPr>
            <w:tcW w:w="12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$21.43</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b w:val="1"/>
                <w:bCs w:val="1"/>
                <w:color w:val="auto"/>
              </w:rPr>
              <w:t>Total equity market capitalization - fully diluted basis</w:t>
            </w:r>
          </w:p>
        </w:tc>
        <w:tc>
          <w:tcPr>
            <w:tcW w:w="12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$1,030,789</w:t>
            </w:r>
          </w:p>
        </w:tc>
      </w:tr>
      <w:tr>
        <w:trPr>
          <w:trHeight w:val="150"/>
        </w:trPr>
        <w:tc>
          <w:tcPr>
            <w:tcW w:w="3660" w:type="dxa"/>
            <w:vAlign w:val="bottom"/>
          </w:tcPr>
          <w:p>
            <w:pPr>
              <w:spacing w:after="0"/>
              <w:rPr>
                <w:sz w:val="20"/>
                <w:szCs w:val="20"/>
                <w:color w:val="auto"/>
              </w:rPr>
            </w:pPr>
            <w:r>
              <w:rPr>
                <w:rFonts w:ascii="Arial" w:cs="Arial" w:eastAsia="Arial" w:hAnsi="Arial"/>
                <w:sz w:val="13"/>
                <w:szCs w:val="13"/>
                <w:color w:val="auto"/>
              </w:rPr>
              <w:t>Net Debt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$1,716,596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b w:val="1"/>
                <w:bCs w:val="1"/>
                <w:color w:val="auto"/>
              </w:rPr>
              <w:t>Total enterprise value</w:t>
            </w:r>
          </w:p>
        </w:tc>
        <w:tc>
          <w:tcPr>
            <w:tcW w:w="12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$2,747,385</w:t>
            </w:r>
          </w:p>
        </w:tc>
      </w:tr>
      <w:tr>
        <w:trPr>
          <w:trHeight w:val="20"/>
        </w:trPr>
        <w:tc>
          <w:tcPr>
            <w:tcW w:w="36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23"/>
        </w:trPr>
        <w:tc>
          <w:tcPr>
            <w:tcW w:w="366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Ratios</w:t>
            </w:r>
          </w:p>
        </w:tc>
        <w:tc>
          <w:tcPr>
            <w:tcW w:w="120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At March 31, 2026</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color w:val="auto"/>
              </w:rPr>
              <w:t>Net debt to total enterprise value</w:t>
            </w:r>
          </w:p>
        </w:tc>
        <w:tc>
          <w:tcPr>
            <w:tcW w:w="1200" w:type="dxa"/>
            <w:vAlign w:val="bottom"/>
          </w:tcPr>
          <w:p>
            <w:pPr>
              <w:jc w:val="right"/>
              <w:spacing w:after="0" w:line="134" w:lineRule="exact"/>
              <w:rPr>
                <w:sz w:val="20"/>
                <w:szCs w:val="20"/>
                <w:color w:val="auto"/>
              </w:rPr>
            </w:pPr>
            <w:r>
              <w:rPr>
                <w:rFonts w:ascii="Arial" w:cs="Arial" w:eastAsia="Arial" w:hAnsi="Arial"/>
                <w:sz w:val="13"/>
                <w:szCs w:val="13"/>
                <w:color w:val="auto"/>
              </w:rPr>
              <w:t>62.5%</w:t>
            </w: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Net debt to annualized quarterly EBITDA</w:t>
            </w:r>
          </w:p>
        </w:tc>
        <w:tc>
          <w:tcPr>
            <w:tcW w:w="1200" w:type="dxa"/>
            <w:vAlign w:val="bottom"/>
          </w:tcPr>
          <w:p>
            <w:pPr>
              <w:jc w:val="right"/>
              <w:spacing w:after="0"/>
              <w:rPr>
                <w:sz w:val="20"/>
                <w:szCs w:val="20"/>
                <w:color w:val="auto"/>
              </w:rPr>
            </w:pPr>
            <w:r>
              <w:rPr>
                <w:rFonts w:ascii="Arial" w:cs="Arial" w:eastAsia="Arial" w:hAnsi="Arial"/>
                <w:sz w:val="13"/>
                <w:szCs w:val="13"/>
                <w:color w:val="auto"/>
              </w:rPr>
              <w:t>7.5x</w:t>
            </w:r>
          </w:p>
        </w:tc>
      </w:tr>
      <w:tr>
        <w:trPr>
          <w:trHeight w:val="153"/>
        </w:trPr>
        <w:tc>
          <w:tcPr>
            <w:tcW w:w="3660" w:type="dxa"/>
            <w:vAlign w:val="bottom"/>
          </w:tcPr>
          <w:p>
            <w:pPr>
              <w:spacing w:after="0"/>
              <w:rPr>
                <w:sz w:val="20"/>
                <w:szCs w:val="20"/>
                <w:color w:val="auto"/>
              </w:rPr>
            </w:pPr>
            <w:r>
              <w:rPr>
                <w:rFonts w:ascii="Arial" w:cs="Arial" w:eastAsia="Arial" w:hAnsi="Arial"/>
                <w:sz w:val="13"/>
                <w:szCs w:val="13"/>
                <w:color w:val="auto"/>
              </w:rPr>
              <w:t>Adjusted Net Debt to annualized quarterly pro forma EBITDA</w:t>
            </w:r>
          </w:p>
        </w:tc>
        <w:tc>
          <w:tcPr>
            <w:tcW w:w="1200" w:type="dxa"/>
            <w:vAlign w:val="bottom"/>
          </w:tcPr>
          <w:p>
            <w:pPr>
              <w:jc w:val="right"/>
              <w:spacing w:after="0"/>
              <w:rPr>
                <w:sz w:val="20"/>
                <w:szCs w:val="20"/>
                <w:color w:val="auto"/>
              </w:rPr>
            </w:pPr>
            <w:r>
              <w:rPr>
                <w:rFonts w:ascii="Arial" w:cs="Arial" w:eastAsia="Arial" w:hAnsi="Arial"/>
                <w:sz w:val="13"/>
                <w:szCs w:val="13"/>
                <w:color w:val="auto"/>
              </w:rPr>
              <w:t>7.3x</w:t>
            </w: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Cash interest coverage ratio</w:t>
            </w:r>
          </w:p>
        </w:tc>
        <w:tc>
          <w:tcPr>
            <w:tcW w:w="1200" w:type="dxa"/>
            <w:vAlign w:val="bottom"/>
          </w:tcPr>
          <w:p>
            <w:pPr>
              <w:jc w:val="right"/>
              <w:spacing w:after="0" w:line="142" w:lineRule="exact"/>
              <w:rPr>
                <w:sz w:val="20"/>
                <w:szCs w:val="20"/>
                <w:color w:val="auto"/>
              </w:rPr>
            </w:pPr>
            <w:r>
              <w:rPr>
                <w:rFonts w:ascii="Arial" w:cs="Arial" w:eastAsia="Arial" w:hAnsi="Arial"/>
                <w:sz w:val="13"/>
                <w:szCs w:val="13"/>
                <w:color w:val="auto"/>
              </w:rPr>
              <w:t>3.0x</w:t>
            </w:r>
          </w:p>
        </w:tc>
      </w:tr>
      <w:tr>
        <w:trPr>
          <w:trHeight w:val="166"/>
        </w:trPr>
        <w:tc>
          <w:tcPr>
            <w:tcW w:w="3660" w:type="dxa"/>
            <w:vAlign w:val="bottom"/>
          </w:tcPr>
          <w:p>
            <w:pPr>
              <w:spacing w:after="0"/>
              <w:rPr>
                <w:sz w:val="20"/>
                <w:szCs w:val="20"/>
                <w:color w:val="auto"/>
              </w:rPr>
            </w:pPr>
            <w:r>
              <w:rPr>
                <w:rFonts w:ascii="Arial" w:cs="Arial" w:eastAsia="Arial" w:hAnsi="Arial"/>
                <w:sz w:val="13"/>
                <w:szCs w:val="13"/>
                <w:color w:val="auto"/>
              </w:rPr>
              <w:t>Cash fixed charge coverage ratio</w:t>
            </w:r>
          </w:p>
        </w:tc>
        <w:tc>
          <w:tcPr>
            <w:tcW w:w="1200" w:type="dxa"/>
            <w:vAlign w:val="bottom"/>
          </w:tcPr>
          <w:p>
            <w:pPr>
              <w:jc w:val="right"/>
              <w:spacing w:after="0"/>
              <w:rPr>
                <w:sz w:val="20"/>
                <w:szCs w:val="20"/>
                <w:color w:val="auto"/>
              </w:rPr>
            </w:pPr>
            <w:r>
              <w:rPr>
                <w:rFonts w:ascii="Arial" w:cs="Arial" w:eastAsia="Arial" w:hAnsi="Arial"/>
                <w:sz w:val="13"/>
                <w:szCs w:val="13"/>
                <w:color w:val="auto"/>
              </w:rPr>
              <w:t>2.8x</w:t>
            </w: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3"/>
                <w:szCs w:val="13"/>
                <w:color w:val="auto"/>
              </w:rPr>
            </w:pPr>
          </w:p>
        </w:tc>
        <w:tc>
          <w:tcPr>
            <w:tcW w:w="2680" w:type="dxa"/>
            <w:vAlign w:val="bottom"/>
            <w:gridSpan w:val="2"/>
          </w:tcPr>
          <w:p>
            <w:pPr>
              <w:jc w:val="right"/>
              <w:spacing w:after="0"/>
              <w:rPr>
                <w:sz w:val="20"/>
                <w:szCs w:val="20"/>
                <w:color w:val="auto"/>
              </w:rPr>
            </w:pPr>
            <w:r>
              <w:rPr>
                <w:rFonts w:ascii="Arial" w:cs="Arial" w:eastAsia="Arial" w:hAnsi="Arial"/>
                <w:sz w:val="13"/>
                <w:szCs w:val="13"/>
                <w:b w:val="1"/>
                <w:bCs w:val="1"/>
                <w:color w:val="auto"/>
              </w:rPr>
              <w:t>Three months endedThree months ended</w:t>
            </w:r>
          </w:p>
        </w:tc>
      </w:tr>
      <w:tr>
        <w:trPr>
          <w:trHeight w:val="165"/>
        </w:trPr>
        <w:tc>
          <w:tcPr>
            <w:tcW w:w="36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Earnings</w:t>
            </w:r>
          </w:p>
        </w:tc>
        <w:tc>
          <w:tcPr>
            <w:tcW w:w="1500" w:type="dxa"/>
            <w:vAlign w:val="bottom"/>
            <w:tcBorders>
              <w:bottom w:val="single" w:sz="8" w:color="2B4B86"/>
            </w:tcBorders>
          </w:tcPr>
          <w:p>
            <w:pPr>
              <w:jc w:val="right"/>
              <w:ind w:right="197"/>
              <w:spacing w:after="0"/>
              <w:rPr>
                <w:sz w:val="20"/>
                <w:szCs w:val="20"/>
                <w:color w:val="auto"/>
              </w:rPr>
            </w:pPr>
            <w:r>
              <w:rPr>
                <w:rFonts w:ascii="Arial" w:cs="Arial" w:eastAsia="Arial" w:hAnsi="Arial"/>
                <w:sz w:val="13"/>
                <w:szCs w:val="13"/>
                <w:b w:val="1"/>
                <w:bCs w:val="1"/>
                <w:color w:val="auto"/>
              </w:rPr>
              <w:t>March 31, 2026</w:t>
            </w:r>
          </w:p>
        </w:tc>
        <w:tc>
          <w:tcPr>
            <w:tcW w:w="1180" w:type="dxa"/>
            <w:vAlign w:val="bottom"/>
            <w:tcBorders>
              <w:bottom w:val="single" w:sz="8" w:color="2B4B86"/>
            </w:tcBorders>
          </w:tcPr>
          <w:p>
            <w:pPr>
              <w:jc w:val="right"/>
              <w:ind w:right="137"/>
              <w:spacing w:after="0"/>
              <w:rPr>
                <w:sz w:val="20"/>
                <w:szCs w:val="20"/>
                <w:color w:val="auto"/>
              </w:rPr>
            </w:pPr>
            <w:r>
              <w:rPr>
                <w:rFonts w:ascii="Arial" w:cs="Arial" w:eastAsia="Arial" w:hAnsi="Arial"/>
                <w:sz w:val="13"/>
                <w:szCs w:val="13"/>
                <w:b w:val="1"/>
                <w:bCs w:val="1"/>
                <w:color w:val="auto"/>
              </w:rPr>
              <w:t>March 31, 2025</w:t>
            </w:r>
          </w:p>
        </w:tc>
      </w:tr>
      <w:tr>
        <w:trPr>
          <w:trHeight w:val="134"/>
        </w:trPr>
        <w:tc>
          <w:tcPr>
            <w:tcW w:w="3600" w:type="dxa"/>
            <w:vAlign w:val="bottom"/>
          </w:tcPr>
          <w:p>
            <w:pPr>
              <w:spacing w:after="0" w:line="134" w:lineRule="exact"/>
              <w:rPr>
                <w:sz w:val="20"/>
                <w:szCs w:val="20"/>
                <w:color w:val="auto"/>
              </w:rPr>
            </w:pPr>
            <w:r>
              <w:rPr>
                <w:rFonts w:ascii="Arial" w:cs="Arial" w:eastAsia="Arial" w:hAnsi="Arial"/>
                <w:sz w:val="13"/>
                <w:szCs w:val="13"/>
                <w:color w:val="auto"/>
              </w:rPr>
              <w:t>Net income available to Easterly Government Properties, Inc.</w:t>
            </w:r>
          </w:p>
        </w:tc>
        <w:tc>
          <w:tcPr>
            <w:tcW w:w="1500" w:type="dxa"/>
            <w:vAlign w:val="bottom"/>
          </w:tcPr>
          <w:p>
            <w:pPr>
              <w:jc w:val="right"/>
              <w:ind w:right="37"/>
              <w:spacing w:after="0" w:line="134" w:lineRule="exact"/>
              <w:rPr>
                <w:sz w:val="20"/>
                <w:szCs w:val="20"/>
                <w:color w:val="auto"/>
              </w:rPr>
            </w:pPr>
            <w:r>
              <w:rPr>
                <w:rFonts w:ascii="Arial" w:cs="Arial" w:eastAsia="Arial" w:hAnsi="Arial"/>
                <w:sz w:val="13"/>
                <w:szCs w:val="13"/>
                <w:color w:val="auto"/>
              </w:rPr>
              <w:t>$1,365</w:t>
            </w:r>
          </w:p>
        </w:tc>
        <w:tc>
          <w:tcPr>
            <w:tcW w:w="1180" w:type="dxa"/>
            <w:vAlign w:val="bottom"/>
          </w:tcPr>
          <w:p>
            <w:pPr>
              <w:jc w:val="right"/>
              <w:spacing w:after="0" w:line="134" w:lineRule="exact"/>
              <w:rPr>
                <w:sz w:val="20"/>
                <w:szCs w:val="20"/>
                <w:color w:val="auto"/>
              </w:rPr>
            </w:pPr>
            <w:r>
              <w:rPr>
                <w:rFonts w:ascii="Arial" w:cs="Arial" w:eastAsia="Arial" w:hAnsi="Arial"/>
                <w:sz w:val="13"/>
                <w:szCs w:val="13"/>
                <w:color w:val="auto"/>
              </w:rPr>
              <w:t>$3,127</w:t>
            </w: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Net income available to Easterly Government Properties, Inc.</w:t>
            </w:r>
          </w:p>
        </w:tc>
        <w:tc>
          <w:tcPr>
            <w:tcW w:w="15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6"/>
        </w:trPr>
        <w:tc>
          <w:tcPr>
            <w:tcW w:w="3600" w:type="dxa"/>
            <w:vAlign w:val="bottom"/>
          </w:tcPr>
          <w:p>
            <w:pPr>
              <w:ind w:left="40"/>
              <w:spacing w:after="0"/>
              <w:rPr>
                <w:sz w:val="20"/>
                <w:szCs w:val="20"/>
                <w:color w:val="auto"/>
              </w:rPr>
            </w:pPr>
            <w:r>
              <w:rPr>
                <w:rFonts w:ascii="Arial" w:cs="Arial" w:eastAsia="Arial" w:hAnsi="Arial"/>
                <w:sz w:val="13"/>
                <w:szCs w:val="13"/>
                <w:color w:val="auto"/>
              </w:rPr>
              <w:t>per share:</w:t>
            </w: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53"/>
        </w:trPr>
        <w:tc>
          <w:tcPr>
            <w:tcW w:w="3600" w:type="dxa"/>
            <w:vAlign w:val="bottom"/>
          </w:tcPr>
          <w:p>
            <w:pPr>
              <w:spacing w:after="0"/>
              <w:rPr>
                <w:sz w:val="20"/>
                <w:szCs w:val="20"/>
                <w:color w:val="auto"/>
              </w:rPr>
            </w:pPr>
            <w:r>
              <w:rPr>
                <w:rFonts w:ascii="Arial" w:cs="Arial" w:eastAsia="Arial" w:hAnsi="Arial"/>
                <w:sz w:val="13"/>
                <w:szCs w:val="13"/>
                <w:color w:val="auto"/>
              </w:rPr>
              <w:t>Basic</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$0.02</w:t>
            </w:r>
          </w:p>
        </w:tc>
        <w:tc>
          <w:tcPr>
            <w:tcW w:w="1180" w:type="dxa"/>
            <w:vAlign w:val="bottom"/>
          </w:tcPr>
          <w:p>
            <w:pPr>
              <w:jc w:val="right"/>
              <w:spacing w:after="0"/>
              <w:rPr>
                <w:sz w:val="20"/>
                <w:szCs w:val="20"/>
                <w:color w:val="auto"/>
              </w:rPr>
            </w:pPr>
            <w:r>
              <w:rPr>
                <w:rFonts w:ascii="Arial" w:cs="Arial" w:eastAsia="Arial" w:hAnsi="Arial"/>
                <w:sz w:val="13"/>
                <w:szCs w:val="13"/>
                <w:color w:val="auto"/>
              </w:rPr>
              <w:t>$0.07</w:t>
            </w:r>
          </w:p>
        </w:tc>
      </w:tr>
      <w:tr>
        <w:trPr>
          <w:trHeight w:val="166"/>
        </w:trPr>
        <w:tc>
          <w:tcPr>
            <w:tcW w:w="3600" w:type="dxa"/>
            <w:vAlign w:val="bottom"/>
          </w:tcPr>
          <w:p>
            <w:pPr>
              <w:spacing w:after="0"/>
              <w:rPr>
                <w:sz w:val="20"/>
                <w:szCs w:val="20"/>
                <w:color w:val="auto"/>
              </w:rPr>
            </w:pPr>
            <w:r>
              <w:rPr>
                <w:rFonts w:ascii="Arial" w:cs="Arial" w:eastAsia="Arial" w:hAnsi="Arial"/>
                <w:sz w:val="13"/>
                <w:szCs w:val="13"/>
                <w:color w:val="auto"/>
              </w:rPr>
              <w:t>Diluted</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$0.02</w:t>
            </w:r>
          </w:p>
        </w:tc>
        <w:tc>
          <w:tcPr>
            <w:tcW w:w="1180" w:type="dxa"/>
            <w:vAlign w:val="bottom"/>
          </w:tcPr>
          <w:p>
            <w:pPr>
              <w:jc w:val="right"/>
              <w:spacing w:after="0"/>
              <w:rPr>
                <w:sz w:val="20"/>
                <w:szCs w:val="20"/>
                <w:color w:val="auto"/>
              </w:rPr>
            </w:pPr>
            <w:r>
              <w:rPr>
                <w:rFonts w:ascii="Arial" w:cs="Arial" w:eastAsia="Arial" w:hAnsi="Arial"/>
                <w:sz w:val="13"/>
                <w:szCs w:val="13"/>
                <w:color w:val="auto"/>
              </w:rPr>
              <w:t>$0.07</w:t>
            </w:r>
          </w:p>
        </w:tc>
      </w:tr>
      <w:tr>
        <w:trPr>
          <w:trHeight w:val="295"/>
        </w:trPr>
        <w:tc>
          <w:tcPr>
            <w:tcW w:w="3600" w:type="dxa"/>
            <w:vAlign w:val="bottom"/>
          </w:tcPr>
          <w:p>
            <w:pPr>
              <w:spacing w:after="0"/>
              <w:rPr>
                <w:sz w:val="20"/>
                <w:szCs w:val="20"/>
                <w:color w:val="auto"/>
              </w:rPr>
            </w:pPr>
            <w:r>
              <w:rPr>
                <w:rFonts w:ascii="Arial" w:cs="Arial" w:eastAsia="Arial" w:hAnsi="Arial"/>
                <w:sz w:val="13"/>
                <w:szCs w:val="13"/>
                <w:color w:val="auto"/>
              </w:rPr>
              <w:t>Net income</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$1,414</w:t>
            </w:r>
          </w:p>
        </w:tc>
        <w:tc>
          <w:tcPr>
            <w:tcW w:w="1180" w:type="dxa"/>
            <w:vAlign w:val="bottom"/>
          </w:tcPr>
          <w:p>
            <w:pPr>
              <w:jc w:val="right"/>
              <w:spacing w:after="0"/>
              <w:rPr>
                <w:sz w:val="20"/>
                <w:szCs w:val="20"/>
                <w:color w:val="auto"/>
              </w:rPr>
            </w:pPr>
            <w:r>
              <w:rPr>
                <w:rFonts w:ascii="Arial" w:cs="Arial" w:eastAsia="Arial" w:hAnsi="Arial"/>
                <w:sz w:val="13"/>
                <w:szCs w:val="13"/>
                <w:color w:val="auto"/>
              </w:rPr>
              <w:t>$3,283</w:t>
            </w: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Net income, per share - fully diluted basis</w:t>
            </w:r>
          </w:p>
        </w:tc>
        <w:tc>
          <w:tcPr>
            <w:tcW w:w="1500" w:type="dxa"/>
            <w:vAlign w:val="bottom"/>
          </w:tcPr>
          <w:p>
            <w:pPr>
              <w:jc w:val="right"/>
              <w:ind w:right="37"/>
              <w:spacing w:after="0" w:line="142" w:lineRule="exact"/>
              <w:rPr>
                <w:sz w:val="20"/>
                <w:szCs w:val="20"/>
                <w:color w:val="auto"/>
              </w:rPr>
            </w:pPr>
            <w:r>
              <w:rPr>
                <w:rFonts w:ascii="Arial" w:cs="Arial" w:eastAsia="Arial" w:hAnsi="Arial"/>
                <w:sz w:val="13"/>
                <w:szCs w:val="13"/>
                <w:color w:val="auto"/>
              </w:rPr>
              <w:t>$0.03</w:t>
            </w: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$0.07</w:t>
            </w:r>
          </w:p>
        </w:tc>
      </w:tr>
      <w:tr>
        <w:trPr>
          <w:trHeight w:val="154"/>
        </w:trPr>
        <w:tc>
          <w:tcPr>
            <w:tcW w:w="3600" w:type="dxa"/>
            <w:vAlign w:val="bottom"/>
          </w:tcPr>
          <w:p>
            <w:pPr>
              <w:spacing w:after="0"/>
              <w:rPr>
                <w:sz w:val="20"/>
                <w:szCs w:val="20"/>
                <w:color w:val="auto"/>
              </w:rPr>
            </w:pPr>
            <w:r>
              <w:rPr>
                <w:rFonts w:ascii="Arial" w:cs="Arial" w:eastAsia="Arial" w:hAnsi="Arial"/>
                <w:sz w:val="13"/>
                <w:szCs w:val="13"/>
                <w:color w:val="auto"/>
              </w:rPr>
              <w:t>Funds From Operations (FFO)</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$36,650</w:t>
            </w:r>
          </w:p>
        </w:tc>
        <w:tc>
          <w:tcPr>
            <w:tcW w:w="1180" w:type="dxa"/>
            <w:vAlign w:val="bottom"/>
          </w:tcPr>
          <w:p>
            <w:pPr>
              <w:jc w:val="right"/>
              <w:spacing w:after="0"/>
              <w:rPr>
                <w:sz w:val="20"/>
                <w:szCs w:val="20"/>
                <w:color w:val="auto"/>
              </w:rPr>
            </w:pPr>
            <w:r>
              <w:rPr>
                <w:rFonts w:ascii="Arial" w:cs="Arial" w:eastAsia="Arial" w:hAnsi="Arial"/>
                <w:sz w:val="13"/>
                <w:szCs w:val="13"/>
                <w:color w:val="auto"/>
              </w:rPr>
              <w:t>$32,108</w:t>
            </w:r>
          </w:p>
        </w:tc>
      </w:tr>
      <w:tr>
        <w:trPr>
          <w:trHeight w:val="166"/>
        </w:trPr>
        <w:tc>
          <w:tcPr>
            <w:tcW w:w="3600" w:type="dxa"/>
            <w:vAlign w:val="bottom"/>
          </w:tcPr>
          <w:p>
            <w:pPr>
              <w:spacing w:after="0"/>
              <w:rPr>
                <w:sz w:val="20"/>
                <w:szCs w:val="20"/>
                <w:color w:val="auto"/>
              </w:rPr>
            </w:pPr>
            <w:r>
              <w:rPr>
                <w:rFonts w:ascii="Arial" w:cs="Arial" w:eastAsia="Arial" w:hAnsi="Arial"/>
                <w:sz w:val="13"/>
                <w:szCs w:val="13"/>
                <w:color w:val="auto"/>
              </w:rPr>
              <w:t>FFO, per share - fully diluted basis</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$0.76</w:t>
            </w:r>
          </w:p>
        </w:tc>
        <w:tc>
          <w:tcPr>
            <w:tcW w:w="1180" w:type="dxa"/>
            <w:vAlign w:val="bottom"/>
          </w:tcPr>
          <w:p>
            <w:pPr>
              <w:jc w:val="right"/>
              <w:spacing w:after="0"/>
              <w:rPr>
                <w:sz w:val="20"/>
                <w:szCs w:val="20"/>
                <w:color w:val="auto"/>
              </w:rPr>
            </w:pPr>
            <w:r>
              <w:rPr>
                <w:rFonts w:ascii="Arial" w:cs="Arial" w:eastAsia="Arial" w:hAnsi="Arial"/>
                <w:sz w:val="13"/>
                <w:szCs w:val="13"/>
                <w:color w:val="auto"/>
              </w:rPr>
              <w:t>$0.71</w:t>
            </w:r>
          </w:p>
        </w:tc>
      </w:tr>
      <w:tr>
        <w:trPr>
          <w:trHeight w:val="367"/>
        </w:trPr>
        <w:tc>
          <w:tcPr>
            <w:tcW w:w="3600" w:type="dxa"/>
            <w:vAlign w:val="bottom"/>
          </w:tcPr>
          <w:p>
            <w:pPr>
              <w:spacing w:after="0"/>
              <w:rPr>
                <w:sz w:val="20"/>
                <w:szCs w:val="20"/>
                <w:color w:val="auto"/>
              </w:rPr>
            </w:pPr>
            <w:r>
              <w:rPr>
                <w:rFonts w:ascii="Arial" w:cs="Arial" w:eastAsia="Arial" w:hAnsi="Arial"/>
                <w:sz w:val="13"/>
                <w:szCs w:val="13"/>
                <w:color w:val="auto"/>
              </w:rPr>
              <w:t>Core FFO</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$37,145</w:t>
            </w:r>
          </w:p>
        </w:tc>
        <w:tc>
          <w:tcPr>
            <w:tcW w:w="1180" w:type="dxa"/>
            <w:vAlign w:val="bottom"/>
          </w:tcPr>
          <w:p>
            <w:pPr>
              <w:jc w:val="right"/>
              <w:spacing w:after="0"/>
              <w:rPr>
                <w:sz w:val="20"/>
                <w:szCs w:val="20"/>
                <w:color w:val="auto"/>
              </w:rPr>
            </w:pPr>
            <w:r>
              <w:rPr>
                <w:rFonts w:ascii="Arial" w:cs="Arial" w:eastAsia="Arial" w:hAnsi="Arial"/>
                <w:sz w:val="13"/>
                <w:szCs w:val="13"/>
                <w:color w:val="auto"/>
              </w:rPr>
              <w:t>$33,061</w:t>
            </w:r>
          </w:p>
        </w:tc>
      </w:tr>
      <w:tr>
        <w:trPr>
          <w:trHeight w:val="189"/>
        </w:trPr>
        <w:tc>
          <w:tcPr>
            <w:tcW w:w="3600" w:type="dxa"/>
            <w:vAlign w:val="bottom"/>
          </w:tcPr>
          <w:p>
            <w:pPr>
              <w:spacing w:after="0"/>
              <w:rPr>
                <w:sz w:val="20"/>
                <w:szCs w:val="20"/>
                <w:color w:val="auto"/>
              </w:rPr>
            </w:pPr>
            <w:r>
              <w:rPr>
                <w:rFonts w:ascii="Arial" w:cs="Arial" w:eastAsia="Arial" w:hAnsi="Arial"/>
                <w:sz w:val="13"/>
                <w:szCs w:val="13"/>
                <w:color w:val="auto"/>
              </w:rPr>
              <w:t>Core FFO, per share - fully diluted basis</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$0.77</w:t>
            </w:r>
          </w:p>
        </w:tc>
        <w:tc>
          <w:tcPr>
            <w:tcW w:w="1180" w:type="dxa"/>
            <w:vAlign w:val="bottom"/>
          </w:tcPr>
          <w:p>
            <w:pPr>
              <w:jc w:val="right"/>
              <w:spacing w:after="0"/>
              <w:rPr>
                <w:sz w:val="20"/>
                <w:szCs w:val="20"/>
                <w:color w:val="auto"/>
              </w:rPr>
            </w:pPr>
            <w:r>
              <w:rPr>
                <w:rFonts w:ascii="Arial" w:cs="Arial" w:eastAsia="Arial" w:hAnsi="Arial"/>
                <w:sz w:val="13"/>
                <w:szCs w:val="13"/>
                <w:color w:val="auto"/>
              </w:rPr>
              <w:t>$0.73</w:t>
            </w:r>
          </w:p>
        </w:tc>
      </w:tr>
      <w:tr>
        <w:trPr>
          <w:trHeight w:val="331"/>
        </w:trPr>
        <w:tc>
          <w:tcPr>
            <w:tcW w:w="3600" w:type="dxa"/>
            <w:vAlign w:val="bottom"/>
          </w:tcPr>
          <w:p>
            <w:pPr>
              <w:spacing w:after="0"/>
              <w:rPr>
                <w:sz w:val="20"/>
                <w:szCs w:val="20"/>
                <w:color w:val="auto"/>
              </w:rPr>
            </w:pPr>
            <w:r>
              <w:rPr>
                <w:rFonts w:ascii="Arial" w:cs="Arial" w:eastAsia="Arial" w:hAnsi="Arial"/>
                <w:sz w:val="13"/>
                <w:szCs w:val="13"/>
                <w:color w:val="auto"/>
              </w:rPr>
              <w:t>Cash Available for Distribution (CAD)</w:t>
            </w:r>
          </w:p>
        </w:tc>
        <w:tc>
          <w:tcPr>
            <w:tcW w:w="1500" w:type="dxa"/>
            <w:vAlign w:val="bottom"/>
          </w:tcPr>
          <w:p>
            <w:pPr>
              <w:jc w:val="right"/>
              <w:ind w:right="37"/>
              <w:spacing w:after="0"/>
              <w:rPr>
                <w:sz w:val="20"/>
                <w:szCs w:val="20"/>
                <w:color w:val="auto"/>
              </w:rPr>
            </w:pPr>
            <w:r>
              <w:rPr>
                <w:rFonts w:ascii="Arial" w:cs="Arial" w:eastAsia="Arial" w:hAnsi="Arial"/>
                <w:sz w:val="13"/>
                <w:szCs w:val="13"/>
                <w:color w:val="auto"/>
              </w:rPr>
              <w:t>$32,153</w:t>
            </w:r>
          </w:p>
        </w:tc>
        <w:tc>
          <w:tcPr>
            <w:tcW w:w="1180" w:type="dxa"/>
            <w:vAlign w:val="bottom"/>
          </w:tcPr>
          <w:p>
            <w:pPr>
              <w:jc w:val="right"/>
              <w:spacing w:after="0"/>
              <w:rPr>
                <w:sz w:val="20"/>
                <w:szCs w:val="20"/>
                <w:color w:val="auto"/>
              </w:rPr>
            </w:pPr>
            <w:r>
              <w:rPr>
                <w:rFonts w:ascii="Arial" w:cs="Arial" w:eastAsia="Arial" w:hAnsi="Arial"/>
                <w:sz w:val="13"/>
                <w:szCs w:val="13"/>
                <w:color w:val="auto"/>
              </w:rPr>
              <w:t>$31,145</w:t>
            </w:r>
          </w:p>
        </w:tc>
      </w:tr>
      <w:tr>
        <w:trPr>
          <w:trHeight w:val="283"/>
        </w:trPr>
        <w:tc>
          <w:tcPr>
            <w:tcW w:w="36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Liquidity</w:t>
            </w:r>
          </w:p>
        </w:tc>
        <w:tc>
          <w:tcPr>
            <w:tcW w:w="1500" w:type="dxa"/>
            <w:vAlign w:val="bottom"/>
            <w:tcBorders>
              <w:bottom w:val="single" w:sz="8" w:color="2B4B86"/>
            </w:tcBorders>
          </w:tcPr>
          <w:p>
            <w:pPr>
              <w:spacing w:after="0"/>
              <w:rPr>
                <w:sz w:val="24"/>
                <w:szCs w:val="24"/>
                <w:color w:val="auto"/>
              </w:rPr>
            </w:pPr>
          </w:p>
        </w:tc>
        <w:tc>
          <w:tcPr>
            <w:tcW w:w="118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At March 31, 2026</w:t>
            </w:r>
          </w:p>
        </w:tc>
      </w:tr>
      <w:tr>
        <w:trPr>
          <w:trHeight w:val="118"/>
        </w:trPr>
        <w:tc>
          <w:tcPr>
            <w:tcW w:w="3600" w:type="dxa"/>
            <w:vAlign w:val="bottom"/>
          </w:tcPr>
          <w:p>
            <w:pPr>
              <w:spacing w:after="0" w:line="118" w:lineRule="exact"/>
              <w:rPr>
                <w:sz w:val="20"/>
                <w:szCs w:val="20"/>
                <w:color w:val="auto"/>
              </w:rPr>
            </w:pPr>
            <w:r>
              <w:rPr>
                <w:rFonts w:ascii="Arial" w:cs="Arial" w:eastAsia="Arial" w:hAnsi="Arial"/>
                <w:sz w:val="13"/>
                <w:szCs w:val="13"/>
                <w:color w:val="auto"/>
              </w:rPr>
              <w:t>Cash and cash equivalents</w:t>
            </w:r>
          </w:p>
        </w:tc>
        <w:tc>
          <w:tcPr>
            <w:tcW w:w="1500" w:type="dxa"/>
            <w:vAlign w:val="bottom"/>
          </w:tcPr>
          <w:p>
            <w:pPr>
              <w:spacing w:after="0"/>
              <w:rPr>
                <w:sz w:val="10"/>
                <w:szCs w:val="10"/>
                <w:color w:val="auto"/>
              </w:rPr>
            </w:pPr>
          </w:p>
        </w:tc>
        <w:tc>
          <w:tcPr>
            <w:tcW w:w="1180" w:type="dxa"/>
            <w:vAlign w:val="bottom"/>
          </w:tcPr>
          <w:p>
            <w:pPr>
              <w:jc w:val="right"/>
              <w:spacing w:after="0" w:line="118" w:lineRule="exact"/>
              <w:rPr>
                <w:sz w:val="20"/>
                <w:szCs w:val="20"/>
                <w:color w:val="auto"/>
              </w:rPr>
            </w:pPr>
            <w:r>
              <w:rPr>
                <w:rFonts w:ascii="Arial" w:cs="Arial" w:eastAsia="Arial" w:hAnsi="Arial"/>
                <w:sz w:val="13"/>
                <w:szCs w:val="13"/>
                <w:color w:val="auto"/>
              </w:rPr>
              <w:t>$3,964</w:t>
            </w:r>
          </w:p>
        </w:tc>
      </w:tr>
      <w:tr>
        <w:trPr>
          <w:trHeight w:val="225"/>
        </w:trPr>
        <w:tc>
          <w:tcPr>
            <w:tcW w:w="5100" w:type="dxa"/>
            <w:vAlign w:val="bottom"/>
            <w:gridSpan w:val="2"/>
          </w:tcPr>
          <w:p>
            <w:pPr>
              <w:spacing w:after="0"/>
              <w:rPr>
                <w:sz w:val="20"/>
                <w:szCs w:val="20"/>
                <w:color w:val="auto"/>
              </w:rPr>
            </w:pPr>
            <w:r>
              <w:rPr>
                <w:rFonts w:ascii="Arial" w:cs="Arial" w:eastAsia="Arial" w:hAnsi="Arial"/>
                <w:sz w:val="13"/>
                <w:szCs w:val="13"/>
                <w:color w:val="auto"/>
              </w:rPr>
              <w:t>Available under $400 million senior unsecured 2024 revolving credit facility</w:t>
            </w:r>
            <w:r>
              <w:rPr>
                <w:rFonts w:ascii="Arial" w:cs="Arial" w:eastAsia="Arial" w:hAnsi="Arial"/>
                <w:sz w:val="16"/>
                <w:szCs w:val="16"/>
                <w:color w:val="auto"/>
                <w:vertAlign w:val="superscript"/>
              </w:rPr>
              <w:t>(1)</w:t>
            </w:r>
          </w:p>
        </w:tc>
        <w:tc>
          <w:tcPr>
            <w:tcW w:w="1180" w:type="dxa"/>
            <w:vAlign w:val="bottom"/>
          </w:tcPr>
          <w:p>
            <w:pPr>
              <w:jc w:val="right"/>
              <w:spacing w:after="0"/>
              <w:rPr>
                <w:sz w:val="20"/>
                <w:szCs w:val="20"/>
                <w:color w:val="auto"/>
              </w:rPr>
            </w:pPr>
            <w:r>
              <w:rPr>
                <w:rFonts w:ascii="Arial" w:cs="Arial" w:eastAsia="Arial" w:hAnsi="Arial"/>
                <w:sz w:val="13"/>
                <w:szCs w:val="13"/>
                <w:color w:val="auto"/>
              </w:rPr>
              <w:t>$154,825</w:t>
            </w:r>
          </w:p>
        </w:tc>
      </w:tr>
    </w:tbl>
    <w:p>
      <w:pPr>
        <w:spacing w:after="0" w:line="200" w:lineRule="exact"/>
        <w:rPr>
          <w:sz w:val="20"/>
          <w:szCs w:val="20"/>
          <w:color w:val="auto"/>
        </w:rPr>
      </w:pPr>
    </w:p>
    <w:p>
      <w:pPr>
        <w:sectPr>
          <w:pgSz w:w="11900" w:h="16838" w:orient="portrait"/>
          <w:cols w:equalWidth="0" w:num="2">
            <w:col w:w="4865" w:space="120"/>
            <w:col w:w="6280"/>
          </w:cols>
          <w:pgMar w:left="315" w:top="836" w:right="319" w:bottom="1440" w:gutter="0" w:footer="0" w:header="0"/>
          <w:type w:val="continuous"/>
        </w:sectPr>
      </w:pPr>
    </w:p>
    <w:p>
      <w:pPr>
        <w:spacing w:after="0" w:line="28" w:lineRule="exact"/>
        <w:rPr>
          <w:sz w:val="20"/>
          <w:szCs w:val="20"/>
          <w:color w:val="auto"/>
        </w:rPr>
      </w:pPr>
    </w:p>
    <w:p>
      <w:pPr>
        <w:ind w:left="5" w:right="320" w:hanging="5"/>
        <w:spacing w:after="0" w:line="229" w:lineRule="auto"/>
        <w:tabs>
          <w:tab w:leader="none" w:pos="132" w:val="left"/>
        </w:tabs>
        <w:numPr>
          <w:ilvl w:val="0"/>
          <w:numId w:val="5"/>
        </w:numPr>
        <w:rPr>
          <w:rFonts w:ascii="Arial" w:cs="Arial" w:eastAsia="Arial" w:hAnsi="Arial"/>
          <w:sz w:val="16"/>
          <w:szCs w:val="16"/>
          <w:color w:val="53565A"/>
          <w:vertAlign w:val="superscript"/>
        </w:rPr>
      </w:pPr>
      <w:r>
        <w:rPr>
          <w:rFonts w:ascii="Arial" w:cs="Arial" w:eastAsia="Arial" w:hAnsi="Arial"/>
          <w:sz w:val="12"/>
          <w:szCs w:val="12"/>
          <w:color w:val="53565A"/>
        </w:rPr>
        <w:t>2024 revolving credit facility has an accordion feature that provides additional capacity, subject to syndication of the increase and the satisfaction of customary terms and conditions, of up to $300 million, for a total revolving credit facility size of not more than $700 million.</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Balance Sheets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00" w:type="dxa"/>
            <w:vAlign w:val="bottom"/>
          </w:tcPr>
          <w:p>
            <w:pPr>
              <w:spacing w:after="0"/>
              <w:rPr>
                <w:sz w:val="14"/>
                <w:szCs w:val="14"/>
                <w:color w:val="auto"/>
              </w:rPr>
            </w:pPr>
          </w:p>
        </w:tc>
        <w:tc>
          <w:tcPr>
            <w:tcW w:w="1600" w:type="dxa"/>
            <w:vAlign w:val="bottom"/>
            <w:tcBorders>
              <w:bottom w:val="single" w:sz="8" w:color="2B4B86"/>
            </w:tcBorders>
          </w:tcPr>
          <w:p>
            <w:pPr>
              <w:ind w:left="680"/>
              <w:spacing w:after="0"/>
              <w:rPr>
                <w:sz w:val="20"/>
                <w:szCs w:val="20"/>
                <w:color w:val="auto"/>
              </w:rPr>
            </w:pPr>
            <w:r>
              <w:rPr>
                <w:rFonts w:ascii="Arial" w:cs="Arial" w:eastAsia="Arial" w:hAnsi="Arial"/>
                <w:sz w:val="13"/>
                <w:szCs w:val="13"/>
                <w:b w:val="1"/>
                <w:bCs w:val="1"/>
                <w:color w:val="auto"/>
                <w:w w:val="97"/>
              </w:rPr>
              <w:t>March 31, 2026</w:t>
            </w:r>
          </w:p>
        </w:tc>
        <w:tc>
          <w:tcPr>
            <w:tcW w:w="660" w:type="dxa"/>
            <w:vAlign w:val="bottom"/>
            <w:tcBorders>
              <w:bottom w:val="single" w:sz="8" w:color="2B4B86"/>
            </w:tcBorders>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Borders>
              <w:bottom w:val="single" w:sz="8" w:color="2B4B86"/>
            </w:tcBorders>
          </w:tcPr>
          <w:p>
            <w:pPr>
              <w:jc w:val="right"/>
              <w:ind w:right="517"/>
              <w:spacing w:after="0"/>
              <w:rPr>
                <w:sz w:val="20"/>
                <w:szCs w:val="20"/>
                <w:color w:val="auto"/>
              </w:rPr>
            </w:pPr>
            <w:r>
              <w:rPr>
                <w:rFonts w:ascii="Arial" w:cs="Arial" w:eastAsia="Arial" w:hAnsi="Arial"/>
                <w:sz w:val="13"/>
                <w:szCs w:val="13"/>
                <w:b w:val="1"/>
                <w:bCs w:val="1"/>
                <w:color w:val="auto"/>
              </w:rPr>
              <w:t>December 31, 2025</w:t>
            </w:r>
          </w:p>
        </w:tc>
      </w:tr>
      <w:tr>
        <w:trPr>
          <w:trHeight w:val="134"/>
        </w:trPr>
        <w:tc>
          <w:tcPr>
            <w:tcW w:w="6500" w:type="dxa"/>
            <w:vAlign w:val="bottom"/>
          </w:tcPr>
          <w:p>
            <w:pPr>
              <w:spacing w:after="0" w:line="134" w:lineRule="exact"/>
              <w:rPr>
                <w:sz w:val="20"/>
                <w:szCs w:val="20"/>
                <w:color w:val="auto"/>
              </w:rPr>
            </w:pPr>
            <w:r>
              <w:rPr>
                <w:rFonts w:ascii="Arial" w:cs="Arial" w:eastAsia="Arial" w:hAnsi="Arial"/>
                <w:sz w:val="13"/>
                <w:szCs w:val="13"/>
                <w:b w:val="1"/>
                <w:bCs w:val="1"/>
                <w:color w:val="auto"/>
              </w:rPr>
              <w:t>Assets</w:t>
            </w:r>
          </w:p>
        </w:tc>
        <w:tc>
          <w:tcPr>
            <w:tcW w:w="1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Real estate properties,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95"/>
              </w:rPr>
              <w:t>$2,738,755</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$2,714,650</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Cash and cash equivalents</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2,017</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23,374</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Restricted cash</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10,661</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10,257</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Tenant accounts receivable</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73,041</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51,493</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Investment in unconsolidated real estate venture</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304,070</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304,721</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Real estate loans receivable, net and investment in sales-type lease,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44,462</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34,286</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Intangible assets,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189,534</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183,911</w:t>
            </w:r>
          </w:p>
        </w:tc>
      </w:tr>
      <w:tr>
        <w:trPr>
          <w:trHeight w:val="150"/>
        </w:trPr>
        <w:tc>
          <w:tcPr>
            <w:tcW w:w="8100" w:type="dxa"/>
            <w:vAlign w:val="bottom"/>
            <w:gridSpan w:val="2"/>
          </w:tcPr>
          <w:p>
            <w:pPr>
              <w:ind w:left="60"/>
              <w:spacing w:after="0"/>
              <w:rPr>
                <w:sz w:val="20"/>
                <w:szCs w:val="20"/>
                <w:color w:val="auto"/>
              </w:rPr>
            </w:pPr>
            <w:r>
              <w:rPr>
                <w:rFonts w:ascii="Arial" w:cs="Arial" w:eastAsia="Arial" w:hAnsi="Arial"/>
                <w:sz w:val="13"/>
                <w:szCs w:val="13"/>
                <w:color w:val="auto"/>
              </w:rPr>
              <w:t>Prepaid expenses and other assets</w:t>
            </w:r>
          </w:p>
        </w:tc>
        <w:tc>
          <w:tcPr>
            <w:tcW w:w="660" w:type="dxa"/>
            <w:vAlign w:val="bottom"/>
          </w:tcPr>
          <w:p>
            <w:pPr>
              <w:jc w:val="right"/>
              <w:spacing w:after="0"/>
              <w:rPr>
                <w:sz w:val="20"/>
                <w:szCs w:val="20"/>
                <w:color w:val="auto"/>
              </w:rPr>
            </w:pPr>
            <w:r>
              <w:rPr>
                <w:rFonts w:ascii="Arial" w:cs="Arial" w:eastAsia="Arial" w:hAnsi="Arial"/>
                <w:sz w:val="13"/>
                <w:szCs w:val="13"/>
                <w:color w:val="auto"/>
              </w:rPr>
              <w:t>57,520</w:t>
            </w:r>
          </w:p>
        </w:tc>
        <w:tc>
          <w:tcPr>
            <w:tcW w:w="2500" w:type="dxa"/>
            <w:vAlign w:val="bottom"/>
            <w:gridSpan w:val="2"/>
          </w:tcPr>
          <w:p>
            <w:pPr>
              <w:jc w:val="right"/>
              <w:spacing w:after="0"/>
              <w:rPr>
                <w:sz w:val="20"/>
                <w:szCs w:val="20"/>
                <w:color w:val="auto"/>
              </w:rPr>
            </w:pPr>
            <w:r>
              <w:rPr>
                <w:rFonts w:ascii="Arial" w:cs="Arial" w:eastAsia="Arial" w:hAnsi="Arial"/>
                <w:sz w:val="13"/>
                <w:szCs w:val="13"/>
                <w:color w:val="auto"/>
              </w:rPr>
              <w:t>57,078</w:t>
            </w: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assets</w:t>
            </w:r>
          </w:p>
        </w:tc>
        <w:tc>
          <w:tcPr>
            <w:tcW w:w="16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95"/>
              </w:rPr>
              <w:t>$3,420,060</w:t>
            </w:r>
          </w:p>
        </w:tc>
        <w:tc>
          <w:tcPr>
            <w:tcW w:w="22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r>
      <w:tr>
        <w:trPr>
          <w:trHeight w:val="20"/>
        </w:trPr>
        <w:tc>
          <w:tcPr>
            <w:tcW w:w="6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251"/>
        </w:trPr>
        <w:tc>
          <w:tcPr>
            <w:tcW w:w="8100" w:type="dxa"/>
            <w:vAlign w:val="bottom"/>
            <w:gridSpan w:val="2"/>
          </w:tcPr>
          <w:p>
            <w:pPr>
              <w:spacing w:after="0"/>
              <w:rPr>
                <w:sz w:val="20"/>
                <w:szCs w:val="20"/>
                <w:color w:val="auto"/>
              </w:rPr>
            </w:pPr>
            <w:r>
              <w:rPr>
                <w:rFonts w:ascii="Arial" w:cs="Arial" w:eastAsia="Arial" w:hAnsi="Arial"/>
                <w:sz w:val="13"/>
                <w:szCs w:val="13"/>
                <w:b w:val="1"/>
                <w:bCs w:val="1"/>
                <w:color w:val="auto"/>
              </w:rPr>
              <w:t>Liabilities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Revolving credit facility</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245,050</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199,050</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Term loan facilities,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297,479</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297,200</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Notes payable,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1,019,132</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1,018,884</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Mortgage notes payable,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150,054</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151,191</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Intangible liabilities, net</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13,598</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11,959</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Deferred revenue</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230,031</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219,201</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Interest rate swaps</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1,010</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3,034</w:t>
            </w:r>
          </w:p>
        </w:tc>
      </w:tr>
      <w:tr>
        <w:trPr>
          <w:trHeight w:val="150"/>
        </w:trPr>
        <w:tc>
          <w:tcPr>
            <w:tcW w:w="6500" w:type="dxa"/>
            <w:vAlign w:val="bottom"/>
          </w:tcPr>
          <w:p>
            <w:pPr>
              <w:ind w:left="60"/>
              <w:spacing w:after="0"/>
              <w:rPr>
                <w:sz w:val="20"/>
                <w:szCs w:val="20"/>
                <w:color w:val="auto"/>
              </w:rPr>
            </w:pPr>
            <w:r>
              <w:rPr>
                <w:rFonts w:ascii="Arial" w:cs="Arial" w:eastAsia="Arial" w:hAnsi="Arial"/>
                <w:sz w:val="13"/>
                <w:szCs w:val="13"/>
                <w:color w:val="auto"/>
              </w:rPr>
              <w:t>Accounts payable, accrued expenses and other liabilities</w:t>
            </w:r>
          </w:p>
        </w:tc>
        <w:tc>
          <w:tcPr>
            <w:tcW w:w="1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108,203</w:t>
            </w:r>
          </w:p>
        </w:tc>
        <w:tc>
          <w:tcPr>
            <w:tcW w:w="220" w:type="dxa"/>
            <w:vAlign w:val="bottom"/>
          </w:tcPr>
          <w:p>
            <w:pPr>
              <w:spacing w:after="0"/>
              <w:rPr>
                <w:sz w:val="13"/>
                <w:szCs w:val="13"/>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109,686</w:t>
            </w: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Total liabilities</w:t>
            </w:r>
          </w:p>
        </w:tc>
        <w:tc>
          <w:tcPr>
            <w:tcW w:w="1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2,064,557</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2,010,205</w:t>
            </w:r>
          </w:p>
        </w:tc>
      </w:tr>
      <w:tr>
        <w:trPr>
          <w:trHeight w:val="268"/>
        </w:trPr>
        <w:tc>
          <w:tcPr>
            <w:tcW w:w="8100" w:type="dxa"/>
            <w:vAlign w:val="bottom"/>
            <w:gridSpan w:val="2"/>
          </w:tcPr>
          <w:p>
            <w:pPr>
              <w:spacing w:after="0"/>
              <w:rPr>
                <w:sz w:val="20"/>
                <w:szCs w:val="20"/>
                <w:color w:val="auto"/>
              </w:rPr>
            </w:pPr>
            <w:r>
              <w:rPr>
                <w:rFonts w:ascii="Arial" w:cs="Arial" w:eastAsia="Arial" w:hAnsi="Arial"/>
                <w:sz w:val="13"/>
                <w:szCs w:val="13"/>
                <w:b w:val="1"/>
                <w:bCs w:val="1"/>
                <w:color w:val="auto"/>
              </w:rPr>
              <w:t>Equity</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Common stock, par value $0.01, 80,000,000 shares authorized,</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2"/>
        </w:trPr>
        <w:tc>
          <w:tcPr>
            <w:tcW w:w="8100" w:type="dxa"/>
            <w:vAlign w:val="bottom"/>
            <w:gridSpan w:val="2"/>
          </w:tcPr>
          <w:p>
            <w:pPr>
              <w:ind w:left="120"/>
              <w:spacing w:after="0" w:line="142" w:lineRule="exact"/>
              <w:rPr>
                <w:sz w:val="20"/>
                <w:szCs w:val="20"/>
                <w:color w:val="auto"/>
              </w:rPr>
            </w:pPr>
            <w:r>
              <w:rPr>
                <w:rFonts w:ascii="Arial" w:cs="Arial" w:eastAsia="Arial" w:hAnsi="Arial"/>
                <w:sz w:val="13"/>
                <w:szCs w:val="13"/>
                <w:color w:val="auto"/>
              </w:rPr>
              <w:t>46,444,374 and 46,303,469 shares issued and outstanding at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r>
      <w:tr>
        <w:trPr>
          <w:trHeight w:val="142"/>
        </w:trPr>
        <w:tc>
          <w:tcPr>
            <w:tcW w:w="8100" w:type="dxa"/>
            <w:vAlign w:val="bottom"/>
            <w:gridSpan w:val="2"/>
          </w:tcPr>
          <w:p>
            <w:pPr>
              <w:ind w:left="160"/>
              <w:spacing w:after="0" w:line="142" w:lineRule="exact"/>
              <w:rPr>
                <w:sz w:val="20"/>
                <w:szCs w:val="20"/>
                <w:color w:val="auto"/>
              </w:rPr>
            </w:pPr>
            <w:r>
              <w:rPr>
                <w:rFonts w:ascii="Arial" w:cs="Arial" w:eastAsia="Arial" w:hAnsi="Arial"/>
                <w:sz w:val="13"/>
                <w:szCs w:val="13"/>
                <w:color w:val="auto"/>
              </w:rPr>
              <w:t>March 31, 2026 and December 31, 2025, respectively</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464</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463</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Additional paid-in capital</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1,961,587</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1,958,412</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Retained earnings</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146,222</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144,857</w:t>
            </w:r>
          </w:p>
        </w:tc>
      </w:tr>
      <w:tr>
        <w:trPr>
          <w:trHeight w:val="142"/>
        </w:trPr>
        <w:tc>
          <w:tcPr>
            <w:tcW w:w="810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Cumulative dividends</w:t>
            </w: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(796,880)</w:t>
            </w:r>
          </w:p>
        </w:tc>
        <w:tc>
          <w:tcPr>
            <w:tcW w:w="25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(776,022)</w:t>
            </w:r>
          </w:p>
        </w:tc>
      </w:tr>
      <w:tr>
        <w:trPr>
          <w:trHeight w:val="150"/>
        </w:trPr>
        <w:tc>
          <w:tcPr>
            <w:tcW w:w="6500" w:type="dxa"/>
            <w:vAlign w:val="bottom"/>
          </w:tcPr>
          <w:p>
            <w:pPr>
              <w:ind w:left="60"/>
              <w:spacing w:after="0"/>
              <w:rPr>
                <w:sz w:val="20"/>
                <w:szCs w:val="20"/>
                <w:color w:val="auto"/>
              </w:rPr>
            </w:pPr>
            <w:r>
              <w:rPr>
                <w:rFonts w:ascii="Arial" w:cs="Arial" w:eastAsia="Arial" w:hAnsi="Arial"/>
                <w:sz w:val="13"/>
                <w:szCs w:val="13"/>
                <w:color w:val="auto"/>
              </w:rPr>
              <w:t>Accumulated other comprehensive loss</w:t>
            </w:r>
          </w:p>
        </w:tc>
        <w:tc>
          <w:tcPr>
            <w:tcW w:w="16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(2,554)</w:t>
            </w:r>
          </w:p>
        </w:tc>
        <w:tc>
          <w:tcPr>
            <w:tcW w:w="220" w:type="dxa"/>
            <w:vAlign w:val="bottom"/>
          </w:tcPr>
          <w:p>
            <w:pPr>
              <w:spacing w:after="0"/>
              <w:rPr>
                <w:sz w:val="13"/>
                <w:szCs w:val="13"/>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w:t>
            </w:r>
          </w:p>
        </w:tc>
      </w:tr>
      <w:tr>
        <w:trPr>
          <w:trHeight w:val="134"/>
        </w:trPr>
        <w:tc>
          <w:tcPr>
            <w:tcW w:w="6500" w:type="dxa"/>
            <w:vAlign w:val="bottom"/>
          </w:tcPr>
          <w:p>
            <w:pPr>
              <w:ind w:left="120"/>
              <w:spacing w:after="0" w:line="134" w:lineRule="exact"/>
              <w:rPr>
                <w:sz w:val="20"/>
                <w:szCs w:val="20"/>
                <w:color w:val="auto"/>
              </w:rPr>
            </w:pPr>
            <w:r>
              <w:rPr>
                <w:rFonts w:ascii="Arial" w:cs="Arial" w:eastAsia="Arial" w:hAnsi="Arial"/>
                <w:sz w:val="13"/>
                <w:szCs w:val="13"/>
                <w:color w:val="auto"/>
              </w:rPr>
              <w:t>Total stockholders' equity</w:t>
            </w:r>
          </w:p>
        </w:tc>
        <w:tc>
          <w:tcPr>
            <w:tcW w:w="1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1,308,839</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1,323,132</w:t>
            </w:r>
          </w:p>
        </w:tc>
      </w:tr>
      <w:tr>
        <w:trPr>
          <w:trHeight w:val="134"/>
        </w:trPr>
        <w:tc>
          <w:tcPr>
            <w:tcW w:w="6500" w:type="dxa"/>
            <w:vAlign w:val="bottom"/>
          </w:tcPr>
          <w:p>
            <w:pPr>
              <w:ind w:left="60"/>
              <w:spacing w:after="0" w:line="134" w:lineRule="exact"/>
              <w:rPr>
                <w:sz w:val="20"/>
                <w:szCs w:val="20"/>
                <w:color w:val="auto"/>
              </w:rPr>
            </w:pPr>
            <w:r>
              <w:rPr>
                <w:rFonts w:ascii="Arial" w:cs="Arial" w:eastAsia="Arial" w:hAnsi="Arial"/>
                <w:sz w:val="13"/>
                <w:szCs w:val="13"/>
                <w:color w:val="auto"/>
              </w:rPr>
              <w:t>Non-controlling interest in Operating Partnership</w:t>
            </w:r>
          </w:p>
        </w:tc>
        <w:tc>
          <w:tcPr>
            <w:tcW w:w="16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46,664</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46,433</w:t>
            </w:r>
          </w:p>
        </w:tc>
      </w:tr>
      <w:tr>
        <w:trPr>
          <w:trHeight w:val="134"/>
        </w:trPr>
        <w:tc>
          <w:tcPr>
            <w:tcW w:w="810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Total equity</w:t>
            </w:r>
          </w:p>
        </w:tc>
        <w:tc>
          <w:tcPr>
            <w:tcW w:w="660" w:type="dxa"/>
            <w:vAlign w:val="bottom"/>
          </w:tcPr>
          <w:p>
            <w:pPr>
              <w:jc w:val="right"/>
              <w:spacing w:after="0" w:line="134" w:lineRule="exact"/>
              <w:rPr>
                <w:sz w:val="20"/>
                <w:szCs w:val="20"/>
                <w:color w:val="auto"/>
              </w:rPr>
            </w:pPr>
            <w:r>
              <w:rPr>
                <w:rFonts w:ascii="Arial" w:cs="Arial" w:eastAsia="Arial" w:hAnsi="Arial"/>
                <w:sz w:val="13"/>
                <w:szCs w:val="13"/>
                <w:color w:val="auto"/>
              </w:rPr>
              <w:t>1,355,503</w:t>
            </w:r>
          </w:p>
        </w:tc>
        <w:tc>
          <w:tcPr>
            <w:tcW w:w="220" w:type="dxa"/>
            <w:vAlign w:val="bottom"/>
          </w:tcPr>
          <w:p>
            <w:pPr>
              <w:spacing w:after="0"/>
              <w:rPr>
                <w:sz w:val="11"/>
                <w:szCs w:val="11"/>
                <w:color w:val="auto"/>
              </w:rPr>
            </w:pPr>
          </w:p>
        </w:tc>
        <w:tc>
          <w:tcPr>
            <w:tcW w:w="2280" w:type="dxa"/>
            <w:vAlign w:val="bottom"/>
          </w:tcPr>
          <w:p>
            <w:pPr>
              <w:jc w:val="right"/>
              <w:spacing w:after="0" w:line="134" w:lineRule="exact"/>
              <w:rPr>
                <w:sz w:val="20"/>
                <w:szCs w:val="20"/>
                <w:color w:val="auto"/>
              </w:rPr>
            </w:pPr>
            <w:r>
              <w:rPr>
                <w:rFonts w:ascii="Arial" w:cs="Arial" w:eastAsia="Arial" w:hAnsi="Arial"/>
                <w:sz w:val="13"/>
                <w:szCs w:val="13"/>
                <w:color w:val="auto"/>
              </w:rPr>
              <w:t>1,369,565</w:t>
            </w:r>
          </w:p>
        </w:tc>
      </w:tr>
      <w:tr>
        <w:trPr>
          <w:trHeight w:val="134"/>
        </w:trPr>
        <w:tc>
          <w:tcPr>
            <w:tcW w:w="6500" w:type="dxa"/>
            <w:vAlign w:val="bottom"/>
          </w:tcPr>
          <w:p>
            <w:pPr>
              <w:spacing w:after="0" w:line="134" w:lineRule="exact"/>
              <w:rPr>
                <w:sz w:val="20"/>
                <w:szCs w:val="20"/>
                <w:color w:val="auto"/>
              </w:rPr>
            </w:pPr>
            <w:r>
              <w:rPr>
                <w:rFonts w:ascii="Arial" w:cs="Arial" w:eastAsia="Arial" w:hAnsi="Arial"/>
                <w:sz w:val="13"/>
                <w:szCs w:val="13"/>
                <w:b w:val="1"/>
                <w:bCs w:val="1"/>
                <w:color w:val="auto"/>
              </w:rPr>
              <w:t>Total liabilities and equity</w:t>
            </w:r>
          </w:p>
        </w:tc>
        <w:tc>
          <w:tcPr>
            <w:tcW w:w="16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w w:val="95"/>
              </w:rPr>
              <w:t>$3,420,060</w:t>
            </w:r>
          </w:p>
        </w:tc>
        <w:tc>
          <w:tcPr>
            <w:tcW w:w="22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$3,379,770</w:t>
            </w:r>
          </w:p>
        </w:tc>
      </w:tr>
      <w:tr>
        <w:trPr>
          <w:trHeight w:val="20"/>
        </w:trPr>
        <w:tc>
          <w:tcPr>
            <w:tcW w:w="6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21" w:name="page22"/>
    <w:bookmarkEnd w:id="21"/>
    <w:p>
      <w:pPr>
        <w:ind w:left="4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Income Statements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2B4B86"/>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20320</wp:posOffset>
            </wp:positionV>
            <wp:extent cx="714946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20"/>
          </w:cols>
          <w:pgMar w:left="360" w:top="8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Revenues</w:t>
      </w:r>
    </w:p>
    <w:p>
      <w:pPr>
        <w:ind w:left="60"/>
        <w:spacing w:after="0" w:line="234" w:lineRule="auto"/>
        <w:rPr>
          <w:sz w:val="20"/>
          <w:szCs w:val="20"/>
          <w:color w:val="auto"/>
        </w:rPr>
      </w:pPr>
      <w:r>
        <w:rPr>
          <w:rFonts w:ascii="Arial" w:cs="Arial" w:eastAsia="Arial" w:hAnsi="Arial"/>
          <w:sz w:val="13"/>
          <w:szCs w:val="13"/>
          <w:color w:val="auto"/>
        </w:rPr>
        <w:t>Rental income</w:t>
      </w:r>
    </w:p>
    <w:p>
      <w:pPr>
        <w:ind w:left="60"/>
        <w:spacing w:after="0" w:line="228" w:lineRule="auto"/>
        <w:rPr>
          <w:sz w:val="20"/>
          <w:szCs w:val="20"/>
          <w:color w:val="auto"/>
        </w:rPr>
      </w:pPr>
      <w:r>
        <w:rPr>
          <w:rFonts w:ascii="Arial" w:cs="Arial" w:eastAsia="Arial" w:hAnsi="Arial"/>
          <w:sz w:val="13"/>
          <w:szCs w:val="13"/>
          <w:color w:val="auto"/>
        </w:rPr>
        <w:t>Tenant reimbursements</w:t>
      </w:r>
    </w:p>
    <w:p>
      <w:pPr>
        <w:ind w:left="60"/>
        <w:spacing w:after="0"/>
        <w:rPr>
          <w:sz w:val="20"/>
          <w:szCs w:val="20"/>
          <w:color w:val="auto"/>
        </w:rPr>
      </w:pPr>
      <w:r>
        <w:rPr>
          <w:rFonts w:ascii="Arial" w:cs="Arial" w:eastAsia="Arial" w:hAnsi="Arial"/>
          <w:sz w:val="13"/>
          <w:szCs w:val="13"/>
          <w:color w:val="auto"/>
        </w:rPr>
        <w:t>Asset management income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auto"/>
        </w:rPr>
        <w:t>Other income</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Total revenues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Expenses</w:t>
      </w:r>
    </w:p>
    <w:p>
      <w:pPr>
        <w:ind w:left="60"/>
        <w:spacing w:after="0" w:line="234" w:lineRule="auto"/>
        <w:rPr>
          <w:sz w:val="20"/>
          <w:szCs w:val="20"/>
          <w:color w:val="auto"/>
        </w:rPr>
      </w:pPr>
      <w:r>
        <w:rPr>
          <w:rFonts w:ascii="Arial" w:cs="Arial" w:eastAsia="Arial" w:hAnsi="Arial"/>
          <w:sz w:val="13"/>
          <w:szCs w:val="13"/>
          <w:color w:val="auto"/>
        </w:rPr>
        <w:t>Property operating</w:t>
      </w:r>
    </w:p>
    <w:p>
      <w:pPr>
        <w:ind w:left="60"/>
        <w:spacing w:after="0" w:line="228" w:lineRule="auto"/>
        <w:rPr>
          <w:sz w:val="20"/>
          <w:szCs w:val="20"/>
          <w:color w:val="auto"/>
        </w:rPr>
      </w:pPr>
      <w:r>
        <w:rPr>
          <w:rFonts w:ascii="Arial" w:cs="Arial" w:eastAsia="Arial" w:hAnsi="Arial"/>
          <w:sz w:val="13"/>
          <w:szCs w:val="13"/>
          <w:color w:val="auto"/>
        </w:rPr>
        <w:t>Real estate taxes</w:t>
      </w:r>
    </w:p>
    <w:p>
      <w:pPr>
        <w:ind w:left="60"/>
        <w:spacing w:after="0" w:line="228" w:lineRule="auto"/>
        <w:rPr>
          <w:sz w:val="20"/>
          <w:szCs w:val="20"/>
          <w:color w:val="auto"/>
        </w:rPr>
      </w:pPr>
      <w:r>
        <w:rPr>
          <w:rFonts w:ascii="Arial" w:cs="Arial" w:eastAsia="Arial" w:hAnsi="Arial"/>
          <w:sz w:val="13"/>
          <w:szCs w:val="13"/>
          <w:color w:val="auto"/>
        </w:rPr>
        <w:t>Depreciation and amortization</w:t>
      </w:r>
    </w:p>
    <w:p>
      <w:pPr>
        <w:ind w:left="60"/>
        <w:spacing w:after="0" w:line="228" w:lineRule="auto"/>
        <w:rPr>
          <w:sz w:val="20"/>
          <w:szCs w:val="20"/>
          <w:color w:val="auto"/>
        </w:rPr>
      </w:pPr>
      <w:r>
        <w:rPr>
          <w:rFonts w:ascii="Arial" w:cs="Arial" w:eastAsia="Arial" w:hAnsi="Arial"/>
          <w:sz w:val="13"/>
          <w:szCs w:val="13"/>
          <w:color w:val="auto"/>
        </w:rPr>
        <w:t>Acquisition costs</w:t>
      </w:r>
    </w:p>
    <w:p>
      <w:pPr>
        <w:ind w:left="60"/>
        <w:spacing w:after="0"/>
        <w:rPr>
          <w:sz w:val="20"/>
          <w:szCs w:val="20"/>
          <w:color w:val="auto"/>
        </w:rPr>
      </w:pPr>
      <w:r>
        <w:rPr>
          <w:rFonts w:ascii="Arial" w:cs="Arial" w:eastAsia="Arial" w:hAnsi="Arial"/>
          <w:sz w:val="13"/>
          <w:szCs w:val="13"/>
          <w:color w:val="auto"/>
        </w:rPr>
        <w:t>Corporate general and administrative</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auto"/>
        </w:rPr>
        <w:t>Provision for (recovery of) credit losses</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Total expenses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Other income (expense)</w:t>
      </w:r>
    </w:p>
    <w:p>
      <w:pPr>
        <w:ind w:left="60"/>
        <w:spacing w:after="0" w:line="234" w:lineRule="auto"/>
        <w:rPr>
          <w:sz w:val="20"/>
          <w:szCs w:val="20"/>
          <w:color w:val="auto"/>
        </w:rPr>
      </w:pPr>
      <w:r>
        <w:rPr>
          <w:rFonts w:ascii="Arial" w:cs="Arial" w:eastAsia="Arial" w:hAnsi="Arial"/>
          <w:sz w:val="13"/>
          <w:szCs w:val="13"/>
          <w:color w:val="auto"/>
        </w:rPr>
        <w:t>Income from unconsolidated real estate venture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color w:val="auto"/>
        </w:rPr>
        <w:t>Interest expense, net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Non-controlling interest in Operating Partnership</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 available to Easterly Government</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Properties, Inc.</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Net income available to Easterly Government</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Properties, Inc. per share: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Basic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Diluted</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Weighted-average common shares outstanding:</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Basic</w:t>
      </w:r>
    </w:p>
    <w:p>
      <w:pPr>
        <w:ind w:left="20"/>
        <w:spacing w:after="0"/>
        <w:rPr>
          <w:sz w:val="20"/>
          <w:szCs w:val="20"/>
          <w:color w:val="auto"/>
        </w:rPr>
      </w:pPr>
      <w:r>
        <w:rPr>
          <w:rFonts w:ascii="Arial" w:cs="Arial" w:eastAsia="Arial" w:hAnsi="Arial"/>
          <w:sz w:val="13"/>
          <w:szCs w:val="13"/>
          <w:color w:val="auto"/>
        </w:rPr>
        <w:t>Diluted</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income, per share - fully diluted basis</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Weighted average common shares outstanding -</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3"/>
          <w:szCs w:val="13"/>
          <w:color w:val="auto"/>
        </w:rPr>
        <w:t>fully diluted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left="1800"/>
        <w:spacing w:after="0"/>
        <w:rPr>
          <w:sz w:val="20"/>
          <w:szCs w:val="20"/>
          <w:color w:val="auto"/>
        </w:rPr>
      </w:pPr>
      <w:r>
        <w:rPr>
          <w:rFonts w:ascii="Arial" w:cs="Arial" w:eastAsia="Arial" w:hAnsi="Arial"/>
          <w:sz w:val="13"/>
          <w:szCs w:val="13"/>
          <w:b w:val="1"/>
          <w:bCs w:val="1"/>
          <w:color w:val="auto"/>
        </w:rPr>
        <w:t>Three Months Ended</w:t>
      </w:r>
    </w:p>
    <w:tbl>
      <w:tblPr>
        <w:tblLayout w:type="fixed"/>
        <w:tblInd w:w="0" w:type="dxa"/>
        <w:tblCellMar>
          <w:top w:w="0" w:type="dxa"/>
          <w:left w:w="0" w:type="dxa"/>
          <w:bottom w:w="0" w:type="dxa"/>
          <w:right w:w="0" w:type="dxa"/>
        </w:tblCellMar>
      </w:tblPr>
      <w:tr>
        <w:trPr>
          <w:trHeight w:val="173"/>
        </w:trPr>
        <w:tc>
          <w:tcPr>
            <w:tcW w:w="2320" w:type="dxa"/>
            <w:vAlign w:val="bottom"/>
            <w:tcBorders>
              <w:top w:val="single" w:sz="8" w:color="2B4B86"/>
              <w:bottom w:val="single" w:sz="8" w:color="2B4B86"/>
            </w:tcBorders>
          </w:tcPr>
          <w:p>
            <w:pPr>
              <w:jc w:val="right"/>
              <w:ind w:right="637"/>
              <w:spacing w:after="0"/>
              <w:rPr>
                <w:sz w:val="20"/>
                <w:szCs w:val="20"/>
                <w:color w:val="auto"/>
              </w:rPr>
            </w:pPr>
            <w:r>
              <w:rPr>
                <w:rFonts w:ascii="Arial" w:cs="Arial" w:eastAsia="Arial" w:hAnsi="Arial"/>
                <w:sz w:val="13"/>
                <w:szCs w:val="13"/>
                <w:b w:val="1"/>
                <w:bCs w:val="1"/>
                <w:color w:val="auto"/>
              </w:rPr>
              <w:t>March 31, 2026</w:t>
            </w:r>
          </w:p>
        </w:tc>
        <w:tc>
          <w:tcPr>
            <w:tcW w:w="240" w:type="dxa"/>
            <w:vAlign w:val="bottom"/>
            <w:tcBorders>
              <w:top w:val="single" w:sz="8" w:color="2B4B86"/>
            </w:tcBorders>
          </w:tcPr>
          <w:p>
            <w:pPr>
              <w:spacing w:after="0"/>
              <w:rPr>
                <w:sz w:val="15"/>
                <w:szCs w:val="15"/>
                <w:color w:val="auto"/>
              </w:rPr>
            </w:pPr>
          </w:p>
        </w:tc>
        <w:tc>
          <w:tcPr>
            <w:tcW w:w="2280" w:type="dxa"/>
            <w:vAlign w:val="bottom"/>
            <w:tcBorders>
              <w:top w:val="single" w:sz="8" w:color="2B4B86"/>
              <w:bottom w:val="single" w:sz="8" w:color="2B4B86"/>
            </w:tcBorders>
          </w:tcPr>
          <w:p>
            <w:pPr>
              <w:jc w:val="right"/>
              <w:ind w:right="637"/>
              <w:spacing w:after="0"/>
              <w:rPr>
                <w:sz w:val="20"/>
                <w:szCs w:val="20"/>
                <w:color w:val="auto"/>
              </w:rPr>
            </w:pPr>
            <w:r>
              <w:rPr>
                <w:rFonts w:ascii="Arial" w:cs="Arial" w:eastAsia="Arial" w:hAnsi="Arial"/>
                <w:sz w:val="13"/>
                <w:szCs w:val="13"/>
                <w:b w:val="1"/>
                <w:bCs w:val="1"/>
                <w:color w:val="auto"/>
              </w:rPr>
              <w:t>March 31, 2025</w:t>
            </w:r>
          </w:p>
        </w:tc>
      </w:tr>
      <w:tr>
        <w:trPr>
          <w:trHeight w:val="276"/>
        </w:trPr>
        <w:tc>
          <w:tcPr>
            <w:tcW w:w="2320" w:type="dxa"/>
            <w:vAlign w:val="bottom"/>
          </w:tcPr>
          <w:p>
            <w:pPr>
              <w:jc w:val="right"/>
              <w:spacing w:after="0"/>
              <w:rPr>
                <w:sz w:val="20"/>
                <w:szCs w:val="20"/>
                <w:color w:val="auto"/>
              </w:rPr>
            </w:pPr>
            <w:r>
              <w:rPr>
                <w:rFonts w:ascii="Arial" w:cs="Arial" w:eastAsia="Arial" w:hAnsi="Arial"/>
                <w:sz w:val="13"/>
                <w:szCs w:val="13"/>
                <w:color w:val="auto"/>
              </w:rPr>
              <w:t>$88,593</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$75,546</w:t>
            </w:r>
          </w:p>
        </w:tc>
      </w:tr>
      <w:tr>
        <w:trPr>
          <w:trHeight w:val="142"/>
        </w:trPr>
        <w:tc>
          <w:tcPr>
            <w:tcW w:w="2320" w:type="dxa"/>
            <w:vAlign w:val="bottom"/>
          </w:tcPr>
          <w:p>
            <w:pPr>
              <w:jc w:val="right"/>
              <w:spacing w:after="0" w:line="142" w:lineRule="exact"/>
              <w:rPr>
                <w:sz w:val="20"/>
                <w:szCs w:val="20"/>
                <w:color w:val="auto"/>
              </w:rPr>
            </w:pPr>
            <w:r>
              <w:rPr>
                <w:rFonts w:ascii="Arial" w:cs="Arial" w:eastAsia="Arial" w:hAnsi="Arial"/>
                <w:sz w:val="13"/>
                <w:szCs w:val="13"/>
                <w:color w:val="auto"/>
              </w:rPr>
              <w:t>804</w:t>
            </w:r>
          </w:p>
        </w:tc>
        <w:tc>
          <w:tcPr>
            <w:tcW w:w="2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1,026</w:t>
            </w:r>
          </w:p>
        </w:tc>
      </w:tr>
      <w:tr>
        <w:trPr>
          <w:trHeight w:val="142"/>
        </w:trPr>
        <w:tc>
          <w:tcPr>
            <w:tcW w:w="2320" w:type="dxa"/>
            <w:vAlign w:val="bottom"/>
          </w:tcPr>
          <w:p>
            <w:pPr>
              <w:jc w:val="right"/>
              <w:spacing w:after="0" w:line="142" w:lineRule="exact"/>
              <w:rPr>
                <w:sz w:val="20"/>
                <w:szCs w:val="20"/>
                <w:color w:val="auto"/>
              </w:rPr>
            </w:pPr>
            <w:r>
              <w:rPr>
                <w:rFonts w:ascii="Arial" w:cs="Arial" w:eastAsia="Arial" w:hAnsi="Arial"/>
                <w:sz w:val="13"/>
                <w:szCs w:val="13"/>
                <w:color w:val="auto"/>
              </w:rPr>
              <w:t>646</w:t>
            </w:r>
          </w:p>
        </w:tc>
        <w:tc>
          <w:tcPr>
            <w:tcW w:w="2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622</w:t>
            </w:r>
          </w:p>
        </w:tc>
      </w:tr>
      <w:tr>
        <w:trPr>
          <w:trHeight w:val="150"/>
        </w:trPr>
        <w:tc>
          <w:tcPr>
            <w:tcW w:w="2320" w:type="dxa"/>
            <w:vAlign w:val="bottom"/>
          </w:tcPr>
          <w:p>
            <w:pPr>
              <w:jc w:val="right"/>
              <w:spacing w:after="0"/>
              <w:rPr>
                <w:sz w:val="20"/>
                <w:szCs w:val="20"/>
                <w:color w:val="auto"/>
              </w:rPr>
            </w:pPr>
            <w:r>
              <w:rPr>
                <w:rFonts w:ascii="Arial" w:cs="Arial" w:eastAsia="Arial" w:hAnsi="Arial"/>
                <w:sz w:val="13"/>
                <w:szCs w:val="13"/>
                <w:color w:val="auto"/>
              </w:rPr>
              <w:t>1,502</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1,481</w:t>
            </w:r>
          </w:p>
        </w:tc>
      </w:tr>
      <w:tr>
        <w:trPr>
          <w:trHeight w:val="134"/>
        </w:trPr>
        <w:tc>
          <w:tcPr>
            <w:tcW w:w="23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91,545</w:t>
            </w:r>
          </w:p>
        </w:tc>
        <w:tc>
          <w:tcPr>
            <w:tcW w:w="24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78,675</w:t>
            </w:r>
          </w:p>
        </w:tc>
      </w:tr>
      <w:tr>
        <w:trPr>
          <w:trHeight w:val="410"/>
        </w:trPr>
        <w:tc>
          <w:tcPr>
            <w:tcW w:w="2320" w:type="dxa"/>
            <w:vAlign w:val="bottom"/>
          </w:tcPr>
          <w:p>
            <w:pPr>
              <w:jc w:val="right"/>
              <w:spacing w:after="0"/>
              <w:rPr>
                <w:sz w:val="20"/>
                <w:szCs w:val="20"/>
                <w:color w:val="auto"/>
              </w:rPr>
            </w:pPr>
            <w:r>
              <w:rPr>
                <w:rFonts w:ascii="Arial" w:cs="Arial" w:eastAsia="Arial" w:hAnsi="Arial"/>
                <w:sz w:val="13"/>
                <w:szCs w:val="13"/>
                <w:color w:val="auto"/>
              </w:rPr>
              <w:t>20,536</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17,799</w:t>
            </w:r>
          </w:p>
        </w:tc>
      </w:tr>
      <w:tr>
        <w:trPr>
          <w:trHeight w:val="142"/>
        </w:trPr>
        <w:tc>
          <w:tcPr>
            <w:tcW w:w="2320" w:type="dxa"/>
            <w:vAlign w:val="bottom"/>
          </w:tcPr>
          <w:p>
            <w:pPr>
              <w:jc w:val="right"/>
              <w:spacing w:after="0" w:line="142" w:lineRule="exact"/>
              <w:rPr>
                <w:sz w:val="20"/>
                <w:szCs w:val="20"/>
                <w:color w:val="auto"/>
              </w:rPr>
            </w:pPr>
            <w:r>
              <w:rPr>
                <w:rFonts w:ascii="Arial" w:cs="Arial" w:eastAsia="Arial" w:hAnsi="Arial"/>
                <w:sz w:val="13"/>
                <w:szCs w:val="13"/>
                <w:color w:val="auto"/>
              </w:rPr>
              <w:t>8,532</w:t>
            </w:r>
          </w:p>
        </w:tc>
        <w:tc>
          <w:tcPr>
            <w:tcW w:w="2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7,957</w:t>
            </w:r>
          </w:p>
        </w:tc>
      </w:tr>
      <w:tr>
        <w:trPr>
          <w:trHeight w:val="142"/>
        </w:trPr>
        <w:tc>
          <w:tcPr>
            <w:tcW w:w="2320" w:type="dxa"/>
            <w:vAlign w:val="bottom"/>
          </w:tcPr>
          <w:p>
            <w:pPr>
              <w:jc w:val="right"/>
              <w:spacing w:after="0" w:line="142" w:lineRule="exact"/>
              <w:rPr>
                <w:sz w:val="20"/>
                <w:szCs w:val="20"/>
                <w:color w:val="auto"/>
              </w:rPr>
            </w:pPr>
            <w:r>
              <w:rPr>
                <w:rFonts w:ascii="Arial" w:cs="Arial" w:eastAsia="Arial" w:hAnsi="Arial"/>
                <w:sz w:val="13"/>
                <w:szCs w:val="13"/>
                <w:color w:val="auto"/>
              </w:rPr>
              <w:t>33,221</w:t>
            </w:r>
          </w:p>
        </w:tc>
        <w:tc>
          <w:tcPr>
            <w:tcW w:w="2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26,797</w:t>
            </w:r>
          </w:p>
        </w:tc>
      </w:tr>
      <w:tr>
        <w:trPr>
          <w:trHeight w:val="142"/>
        </w:trPr>
        <w:tc>
          <w:tcPr>
            <w:tcW w:w="2320" w:type="dxa"/>
            <w:vAlign w:val="bottom"/>
          </w:tcPr>
          <w:p>
            <w:pPr>
              <w:jc w:val="right"/>
              <w:spacing w:after="0" w:line="142" w:lineRule="exact"/>
              <w:rPr>
                <w:sz w:val="20"/>
                <w:szCs w:val="20"/>
                <w:color w:val="auto"/>
              </w:rPr>
            </w:pPr>
            <w:r>
              <w:rPr>
                <w:rFonts w:ascii="Arial" w:cs="Arial" w:eastAsia="Arial" w:hAnsi="Arial"/>
                <w:sz w:val="13"/>
                <w:szCs w:val="13"/>
                <w:color w:val="auto"/>
              </w:rPr>
              <w:t>649</w:t>
            </w:r>
          </w:p>
        </w:tc>
        <w:tc>
          <w:tcPr>
            <w:tcW w:w="2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307</w:t>
            </w:r>
          </w:p>
        </w:tc>
      </w:tr>
      <w:tr>
        <w:trPr>
          <w:trHeight w:val="142"/>
        </w:trPr>
        <w:tc>
          <w:tcPr>
            <w:tcW w:w="2320" w:type="dxa"/>
            <w:vAlign w:val="bottom"/>
          </w:tcPr>
          <w:p>
            <w:pPr>
              <w:jc w:val="right"/>
              <w:spacing w:after="0" w:line="142" w:lineRule="exact"/>
              <w:rPr>
                <w:sz w:val="20"/>
                <w:szCs w:val="20"/>
                <w:color w:val="auto"/>
              </w:rPr>
            </w:pPr>
            <w:r>
              <w:rPr>
                <w:rFonts w:ascii="Arial" w:cs="Arial" w:eastAsia="Arial" w:hAnsi="Arial"/>
                <w:sz w:val="13"/>
                <w:szCs w:val="13"/>
                <w:color w:val="auto"/>
              </w:rPr>
              <w:t>8,495</w:t>
            </w:r>
          </w:p>
        </w:tc>
        <w:tc>
          <w:tcPr>
            <w:tcW w:w="2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6,215</w:t>
            </w:r>
          </w:p>
        </w:tc>
      </w:tr>
      <w:tr>
        <w:trPr>
          <w:trHeight w:val="150"/>
        </w:trPr>
        <w:tc>
          <w:tcPr>
            <w:tcW w:w="2320" w:type="dxa"/>
            <w:vAlign w:val="bottom"/>
          </w:tcPr>
          <w:p>
            <w:pPr>
              <w:jc w:val="right"/>
              <w:spacing w:after="0"/>
              <w:rPr>
                <w:sz w:val="20"/>
                <w:szCs w:val="20"/>
                <w:color w:val="auto"/>
              </w:rPr>
            </w:pPr>
            <w:r>
              <w:rPr>
                <w:rFonts w:ascii="Arial" w:cs="Arial" w:eastAsia="Arial" w:hAnsi="Arial"/>
                <w:sz w:val="13"/>
                <w:szCs w:val="13"/>
                <w:color w:val="auto"/>
              </w:rPr>
              <w:t>196</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(238)</w:t>
            </w:r>
          </w:p>
        </w:tc>
      </w:tr>
      <w:tr>
        <w:trPr>
          <w:trHeight w:val="134"/>
        </w:trPr>
        <w:tc>
          <w:tcPr>
            <w:tcW w:w="23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71,629</w:t>
            </w:r>
          </w:p>
        </w:tc>
        <w:tc>
          <w:tcPr>
            <w:tcW w:w="24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58,837</w:t>
            </w:r>
          </w:p>
        </w:tc>
      </w:tr>
      <w:tr>
        <w:trPr>
          <w:trHeight w:val="410"/>
        </w:trPr>
        <w:tc>
          <w:tcPr>
            <w:tcW w:w="2320" w:type="dxa"/>
            <w:vAlign w:val="bottom"/>
          </w:tcPr>
          <w:p>
            <w:pPr>
              <w:jc w:val="right"/>
              <w:spacing w:after="0"/>
              <w:rPr>
                <w:sz w:val="20"/>
                <w:szCs w:val="20"/>
                <w:color w:val="auto"/>
              </w:rPr>
            </w:pPr>
            <w:r>
              <w:rPr>
                <w:rFonts w:ascii="Arial" w:cs="Arial" w:eastAsia="Arial" w:hAnsi="Arial"/>
                <w:sz w:val="13"/>
                <w:szCs w:val="13"/>
                <w:color w:val="auto"/>
              </w:rPr>
              <w:t>1,664</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1,822</w:t>
            </w:r>
          </w:p>
        </w:tc>
      </w:tr>
      <w:tr>
        <w:trPr>
          <w:trHeight w:val="150"/>
        </w:trPr>
        <w:tc>
          <w:tcPr>
            <w:tcW w:w="2320" w:type="dxa"/>
            <w:vAlign w:val="bottom"/>
          </w:tcPr>
          <w:p>
            <w:pPr>
              <w:jc w:val="right"/>
              <w:spacing w:after="0"/>
              <w:rPr>
                <w:sz w:val="20"/>
                <w:szCs w:val="20"/>
                <w:color w:val="auto"/>
              </w:rPr>
            </w:pPr>
            <w:r>
              <w:rPr>
                <w:rFonts w:ascii="Arial" w:cs="Arial" w:eastAsia="Arial" w:hAnsi="Arial"/>
                <w:sz w:val="13"/>
                <w:szCs w:val="13"/>
                <w:color w:val="auto"/>
              </w:rPr>
              <w:t>(20,166)</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(18,377)</w:t>
            </w:r>
          </w:p>
        </w:tc>
      </w:tr>
      <w:tr>
        <w:trPr>
          <w:trHeight w:val="158"/>
        </w:trPr>
        <w:tc>
          <w:tcPr>
            <w:tcW w:w="2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1,414</w:t>
            </w:r>
          </w:p>
        </w:tc>
        <w:tc>
          <w:tcPr>
            <w:tcW w:w="240" w:type="dxa"/>
            <w:vAlign w:val="bottom"/>
          </w:tcPr>
          <w:p>
            <w:pPr>
              <w:spacing w:after="0"/>
              <w:rPr>
                <w:sz w:val="13"/>
                <w:szCs w:val="13"/>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3,283</w:t>
            </w:r>
          </w:p>
        </w:tc>
      </w:tr>
      <w:tr>
        <w:trPr>
          <w:trHeight w:val="276"/>
        </w:trPr>
        <w:tc>
          <w:tcPr>
            <w:tcW w:w="2320" w:type="dxa"/>
            <w:vAlign w:val="bottom"/>
          </w:tcPr>
          <w:p>
            <w:pPr>
              <w:jc w:val="right"/>
              <w:spacing w:after="0"/>
              <w:rPr>
                <w:sz w:val="20"/>
                <w:szCs w:val="20"/>
                <w:color w:val="auto"/>
              </w:rPr>
            </w:pPr>
            <w:r>
              <w:rPr>
                <w:rFonts w:ascii="Arial" w:cs="Arial" w:eastAsia="Arial" w:hAnsi="Arial"/>
                <w:sz w:val="13"/>
                <w:szCs w:val="13"/>
                <w:color w:val="auto"/>
              </w:rPr>
              <w:t>(49)</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(156)</w:t>
            </w:r>
          </w:p>
        </w:tc>
      </w:tr>
      <w:tr>
        <w:trPr>
          <w:trHeight w:val="126"/>
        </w:trPr>
        <w:tc>
          <w:tcPr>
            <w:tcW w:w="2320" w:type="dxa"/>
            <w:vAlign w:val="bottom"/>
          </w:tcPr>
          <w:p>
            <w:pPr>
              <w:spacing w:after="0"/>
              <w:rPr>
                <w:sz w:val="10"/>
                <w:szCs w:val="10"/>
                <w:color w:val="auto"/>
              </w:rPr>
            </w:pPr>
          </w:p>
        </w:tc>
        <w:tc>
          <w:tcPr>
            <w:tcW w:w="2520" w:type="dxa"/>
            <w:vAlign w:val="bottom"/>
            <w:gridSpan w:val="2"/>
          </w:tcPr>
          <w:p>
            <w:pPr>
              <w:spacing w:after="0"/>
              <w:rPr>
                <w:sz w:val="10"/>
                <w:szCs w:val="10"/>
                <w:color w:val="auto"/>
              </w:rPr>
            </w:pPr>
          </w:p>
        </w:tc>
      </w:tr>
      <w:tr>
        <w:trPr>
          <w:trHeight w:val="134"/>
        </w:trPr>
        <w:tc>
          <w:tcPr>
            <w:tcW w:w="23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$1,365</w:t>
            </w:r>
          </w:p>
        </w:tc>
        <w:tc>
          <w:tcPr>
            <w:tcW w:w="240" w:type="dxa"/>
            <w:vAlign w:val="bottom"/>
          </w:tcPr>
          <w:p>
            <w:pPr>
              <w:spacing w:after="0"/>
              <w:rPr>
                <w:sz w:val="11"/>
                <w:szCs w:val="11"/>
                <w:color w:val="auto"/>
              </w:rPr>
            </w:pPr>
          </w:p>
        </w:tc>
        <w:tc>
          <w:tcPr>
            <w:tcW w:w="22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$3,127</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543"/>
        </w:trPr>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c>
          <w:tcPr>
            <w:tcW w:w="240" w:type="dxa"/>
            <w:vAlign w:val="bottom"/>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$0.07</w:t>
            </w:r>
          </w:p>
        </w:tc>
      </w:tr>
      <w:tr>
        <w:trPr>
          <w:trHeight w:val="20"/>
        </w:trPr>
        <w:tc>
          <w:tcPr>
            <w:tcW w:w="23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117"/>
        </w:trPr>
        <w:tc>
          <w:tcPr>
            <w:tcW w:w="23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$0.02</w:t>
            </w:r>
          </w:p>
        </w:tc>
        <w:tc>
          <w:tcPr>
            <w:tcW w:w="240" w:type="dxa"/>
            <w:vAlign w:val="bottom"/>
          </w:tcPr>
          <w:p>
            <w:pPr>
              <w:spacing w:after="0"/>
              <w:rPr>
                <w:sz w:val="10"/>
                <w:szCs w:val="10"/>
                <w:color w:val="auto"/>
              </w:rPr>
            </w:pPr>
          </w:p>
        </w:tc>
        <w:tc>
          <w:tcPr>
            <w:tcW w:w="22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$0.07</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393"/>
        </w:trPr>
        <w:tc>
          <w:tcPr>
            <w:tcW w:w="2320" w:type="dxa"/>
            <w:vAlign w:val="bottom"/>
          </w:tcPr>
          <w:p>
            <w:pPr>
              <w:jc w:val="right"/>
              <w:spacing w:after="0"/>
              <w:rPr>
                <w:sz w:val="20"/>
                <w:szCs w:val="20"/>
                <w:color w:val="auto"/>
              </w:rPr>
            </w:pPr>
            <w:r>
              <w:rPr>
                <w:rFonts w:ascii="Arial" w:cs="Arial" w:eastAsia="Arial" w:hAnsi="Arial"/>
                <w:sz w:val="13"/>
                <w:szCs w:val="13"/>
                <w:color w:val="auto"/>
              </w:rPr>
              <w:t>46,260,517</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43,224,145</w:t>
            </w:r>
          </w:p>
        </w:tc>
      </w:tr>
      <w:tr>
        <w:trPr>
          <w:trHeight w:val="166"/>
        </w:trPr>
        <w:tc>
          <w:tcPr>
            <w:tcW w:w="2320" w:type="dxa"/>
            <w:vAlign w:val="bottom"/>
          </w:tcPr>
          <w:p>
            <w:pPr>
              <w:jc w:val="right"/>
              <w:spacing w:after="0"/>
              <w:rPr>
                <w:sz w:val="20"/>
                <w:szCs w:val="20"/>
                <w:color w:val="auto"/>
              </w:rPr>
            </w:pPr>
            <w:r>
              <w:rPr>
                <w:rFonts w:ascii="Arial" w:cs="Arial" w:eastAsia="Arial" w:hAnsi="Arial"/>
                <w:sz w:val="13"/>
                <w:szCs w:val="13"/>
                <w:color w:val="auto"/>
              </w:rPr>
              <w:t>46,453,599</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43,372,207</w:t>
            </w:r>
          </w:p>
        </w:tc>
      </w:tr>
      <w:tr>
        <w:trPr>
          <w:trHeight w:val="267"/>
        </w:trPr>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240" w:type="dxa"/>
            <w:vAlign w:val="bottom"/>
          </w:tcPr>
          <w:p>
            <w:pPr>
              <w:spacing w:after="0"/>
              <w:rPr>
                <w:sz w:val="23"/>
                <w:szCs w:val="23"/>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$0.07</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r>
        <w:trPr>
          <w:trHeight w:val="418"/>
        </w:trPr>
        <w:tc>
          <w:tcPr>
            <w:tcW w:w="2320" w:type="dxa"/>
            <w:vAlign w:val="bottom"/>
          </w:tcPr>
          <w:p>
            <w:pPr>
              <w:jc w:val="right"/>
              <w:spacing w:after="0"/>
              <w:rPr>
                <w:sz w:val="20"/>
                <w:szCs w:val="20"/>
                <w:color w:val="auto"/>
              </w:rPr>
            </w:pPr>
            <w:r>
              <w:rPr>
                <w:rFonts w:ascii="Arial" w:cs="Arial" w:eastAsia="Arial" w:hAnsi="Arial"/>
                <w:sz w:val="13"/>
                <w:szCs w:val="13"/>
                <w:color w:val="auto"/>
              </w:rPr>
              <w:t>47,996,434</w:t>
            </w:r>
          </w:p>
        </w:tc>
        <w:tc>
          <w:tcPr>
            <w:tcW w:w="2520" w:type="dxa"/>
            <w:vAlign w:val="bottom"/>
            <w:gridSpan w:val="2"/>
          </w:tcPr>
          <w:p>
            <w:pPr>
              <w:jc w:val="right"/>
              <w:spacing w:after="0"/>
              <w:rPr>
                <w:sz w:val="20"/>
                <w:szCs w:val="20"/>
                <w:color w:val="auto"/>
              </w:rPr>
            </w:pPr>
            <w:r>
              <w:rPr>
                <w:rFonts w:ascii="Arial" w:cs="Arial" w:eastAsia="Arial" w:hAnsi="Arial"/>
                <w:sz w:val="13"/>
                <w:szCs w:val="13"/>
                <w:color w:val="auto"/>
              </w:rPr>
              <w:t>45,420,667</w:t>
            </w:r>
          </w:p>
        </w:tc>
      </w:tr>
    </w:tbl>
    <w:p>
      <w:pPr>
        <w:spacing w:after="0" w:line="200" w:lineRule="exact"/>
        <w:rPr>
          <w:sz w:val="20"/>
          <w:szCs w:val="20"/>
          <w:color w:val="auto"/>
        </w:rPr>
      </w:pPr>
    </w:p>
    <w:p>
      <w:pPr>
        <w:sectPr>
          <w:pgSz w:w="11900" w:h="16838" w:orient="portrait"/>
          <w:cols w:equalWidth="0" w:num="2">
            <w:col w:w="5340" w:space="720"/>
            <w:col w:w="5160"/>
          </w:cols>
          <w:pgMar w:left="360" w:top="836" w:right="319" w:bottom="1440" w:gutter="0" w:footer="0" w:header="0"/>
          <w:type w:val="continuous"/>
        </w:sectPr>
      </w:pPr>
    </w:p>
    <w:p>
      <w:pPr>
        <w:spacing w:after="0" w:line="147" w:lineRule="exact"/>
        <w:rPr>
          <w:sz w:val="20"/>
          <w:szCs w:val="20"/>
          <w:color w:val="auto"/>
        </w:rPr>
      </w:pPr>
    </w:p>
    <w:p>
      <w:pPr>
        <w:ind w:left="111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412750</wp:posOffset>
            </wp:positionV>
            <wp:extent cx="717486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60" w:top="836" w:right="319" w:bottom="1440" w:gutter="0" w:footer="0" w:header="0"/>
          <w:type w:val="continuous"/>
        </w:sectPr>
      </w:pPr>
    </w:p>
    <w:bookmarkStart w:id="22" w:name="page23"/>
    <w:bookmarkEnd w:id="22"/>
    <w:p>
      <w:pPr>
        <w:ind w:left="8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Net Operating Income</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8220"/>
        <w:spacing w:after="0"/>
        <w:rPr>
          <w:sz w:val="20"/>
          <w:szCs w:val="20"/>
          <w:color w:val="auto"/>
        </w:rPr>
      </w:pPr>
      <w:r>
        <w:rPr>
          <w:rFonts w:ascii="Arial" w:cs="Arial" w:eastAsia="Arial" w:hAnsi="Arial"/>
          <w:sz w:val="13"/>
          <w:szCs w:val="13"/>
          <w:b w:val="1"/>
          <w:bCs w:val="1"/>
          <w:color w:val="auto"/>
        </w:rPr>
        <w:t>Three Months Ended</w:t>
      </w: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560" w:type="dxa"/>
            <w:vAlign w:val="bottom"/>
            <w:tcBorders>
              <w:top w:val="single" w:sz="8" w:color="2B4B86"/>
              <w:bottom w:val="single" w:sz="8" w:color="2B4B86"/>
            </w:tcBorders>
          </w:tcPr>
          <w:p>
            <w:pPr>
              <w:ind w:left="600"/>
              <w:spacing w:after="0"/>
              <w:rPr>
                <w:sz w:val="20"/>
                <w:szCs w:val="20"/>
                <w:color w:val="auto"/>
              </w:rPr>
            </w:pPr>
            <w:r>
              <w:rPr>
                <w:rFonts w:ascii="Arial" w:cs="Arial" w:eastAsia="Arial" w:hAnsi="Arial"/>
                <w:sz w:val="13"/>
                <w:szCs w:val="13"/>
                <w:b w:val="1"/>
                <w:bCs w:val="1"/>
                <w:color w:val="auto"/>
              </w:rPr>
              <w:t>March 31, 2026</w:t>
            </w:r>
          </w:p>
        </w:tc>
        <w:tc>
          <w:tcPr>
            <w:tcW w:w="520" w:type="dxa"/>
            <w:vAlign w:val="bottom"/>
            <w:tcBorders>
              <w:top w:val="single" w:sz="8" w:color="2B4B86"/>
              <w:bottom w:val="single" w:sz="8" w:color="2B4B86"/>
            </w:tcBorders>
          </w:tcPr>
          <w:p>
            <w:pPr>
              <w:spacing w:after="0"/>
              <w:rPr>
                <w:sz w:val="15"/>
                <w:szCs w:val="15"/>
                <w:color w:val="auto"/>
              </w:rPr>
            </w:pPr>
          </w:p>
        </w:tc>
        <w:tc>
          <w:tcPr>
            <w:tcW w:w="220" w:type="dxa"/>
            <w:vAlign w:val="bottom"/>
            <w:tcBorders>
              <w:top w:val="single" w:sz="8" w:color="2B4B86"/>
            </w:tcBorders>
          </w:tcPr>
          <w:p>
            <w:pPr>
              <w:spacing w:after="0"/>
              <w:rPr>
                <w:sz w:val="15"/>
                <w:szCs w:val="15"/>
                <w:color w:val="auto"/>
              </w:rPr>
            </w:pPr>
          </w:p>
        </w:tc>
        <w:tc>
          <w:tcPr>
            <w:tcW w:w="2080" w:type="dxa"/>
            <w:vAlign w:val="bottom"/>
            <w:tcBorders>
              <w:top w:val="single" w:sz="8" w:color="2B4B86"/>
              <w:bottom w:val="single" w:sz="8" w:color="2B4B86"/>
            </w:tcBorders>
          </w:tcPr>
          <w:p>
            <w:pPr>
              <w:jc w:val="right"/>
              <w:ind w:right="537"/>
              <w:spacing w:after="0"/>
              <w:rPr>
                <w:sz w:val="20"/>
                <w:szCs w:val="20"/>
                <w:color w:val="auto"/>
              </w:rPr>
            </w:pPr>
            <w:r>
              <w:rPr>
                <w:rFonts w:ascii="Arial" w:cs="Arial" w:eastAsia="Arial" w:hAnsi="Arial"/>
                <w:sz w:val="13"/>
                <w:szCs w:val="13"/>
                <w:b w:val="1"/>
                <w:bCs w:val="1"/>
                <w:color w:val="auto"/>
              </w:rPr>
              <w:t>March 31, 2025</w:t>
            </w:r>
          </w:p>
        </w:tc>
      </w:tr>
      <w:tr>
        <w:trPr>
          <w:trHeight w:val="276"/>
        </w:trPr>
        <w:tc>
          <w:tcPr>
            <w:tcW w:w="8220" w:type="dxa"/>
            <w:vAlign w:val="bottom"/>
            <w:gridSpan w:val="2"/>
          </w:tcPr>
          <w:p>
            <w:pPr>
              <w:spacing w:after="0"/>
              <w:rPr>
                <w:sz w:val="20"/>
                <w:szCs w:val="20"/>
                <w:color w:val="auto"/>
              </w:rPr>
            </w:pPr>
            <w:r>
              <w:rPr>
                <w:rFonts w:ascii="Arial" w:cs="Arial" w:eastAsia="Arial" w:hAnsi="Arial"/>
                <w:sz w:val="13"/>
                <w:szCs w:val="13"/>
                <w:b w:val="1"/>
                <w:bCs w:val="1"/>
                <w:color w:val="auto"/>
              </w:rPr>
              <w:t>Net income</w:t>
            </w:r>
          </w:p>
        </w:tc>
        <w:tc>
          <w:tcPr>
            <w:tcW w:w="520" w:type="dxa"/>
            <w:vAlign w:val="bottom"/>
          </w:tcPr>
          <w:p>
            <w:pPr>
              <w:jc w:val="right"/>
              <w:spacing w:after="0"/>
              <w:rPr>
                <w:sz w:val="20"/>
                <w:szCs w:val="20"/>
                <w:color w:val="auto"/>
              </w:rPr>
            </w:pPr>
            <w:r>
              <w:rPr>
                <w:rFonts w:ascii="Arial" w:cs="Arial" w:eastAsia="Arial" w:hAnsi="Arial"/>
                <w:sz w:val="13"/>
                <w:szCs w:val="13"/>
                <w:color w:val="auto"/>
              </w:rPr>
              <w:t>$1,414</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$3,283</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Depreciation and amortization</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33,221</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26,797</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Acquisition costs</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649</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307</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Corporate general and administrative</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8,495</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6,215</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Provision for (recovery of) credit losses</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196</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(238)</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Interest expense</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20,166</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18,377</w:t>
            </w:r>
          </w:p>
        </w:tc>
      </w:tr>
      <w:tr>
        <w:trPr>
          <w:trHeight w:val="150"/>
        </w:trPr>
        <w:tc>
          <w:tcPr>
            <w:tcW w:w="666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15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2,442</w:t>
            </w:r>
          </w:p>
        </w:tc>
        <w:tc>
          <w:tcPr>
            <w:tcW w:w="220" w:type="dxa"/>
            <w:vAlign w:val="bottom"/>
          </w:tcPr>
          <w:p>
            <w:pPr>
              <w:spacing w:after="0"/>
              <w:rPr>
                <w:sz w:val="13"/>
                <w:szCs w:val="13"/>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2,380</w:t>
            </w:r>
          </w:p>
        </w:tc>
      </w:tr>
      <w:tr>
        <w:trPr>
          <w:trHeight w:val="134"/>
        </w:trPr>
        <w:tc>
          <w:tcPr>
            <w:tcW w:w="8220" w:type="dxa"/>
            <w:vAlign w:val="bottom"/>
            <w:gridSpan w:val="2"/>
          </w:tcPr>
          <w:p>
            <w:pPr>
              <w:ind w:left="120"/>
              <w:spacing w:after="0" w:line="134" w:lineRule="exact"/>
              <w:rPr>
                <w:sz w:val="20"/>
                <w:szCs w:val="20"/>
                <w:color w:val="auto"/>
              </w:rPr>
            </w:pPr>
            <w:r>
              <w:rPr>
                <w:rFonts w:ascii="Arial" w:cs="Arial" w:eastAsia="Arial" w:hAnsi="Arial"/>
                <w:sz w:val="13"/>
                <w:szCs w:val="13"/>
                <w:b w:val="1"/>
                <w:bCs w:val="1"/>
                <w:color w:val="auto"/>
              </w:rPr>
              <w:t>Net Operating Income</w:t>
            </w:r>
          </w:p>
        </w:tc>
        <w:tc>
          <w:tcPr>
            <w:tcW w:w="520" w:type="dxa"/>
            <w:vAlign w:val="bottom"/>
          </w:tcPr>
          <w:p>
            <w:pPr>
              <w:jc w:val="right"/>
              <w:spacing w:after="0" w:line="134" w:lineRule="exact"/>
              <w:rPr>
                <w:sz w:val="20"/>
                <w:szCs w:val="20"/>
                <w:color w:val="auto"/>
              </w:rPr>
            </w:pPr>
            <w:r>
              <w:rPr>
                <w:rFonts w:ascii="Arial" w:cs="Arial" w:eastAsia="Arial" w:hAnsi="Arial"/>
                <w:sz w:val="13"/>
                <w:szCs w:val="13"/>
                <w:color w:val="auto"/>
              </w:rPr>
              <w:t>66,583</w:t>
            </w:r>
          </w:p>
        </w:tc>
        <w:tc>
          <w:tcPr>
            <w:tcW w:w="220" w:type="dxa"/>
            <w:vAlign w:val="bottom"/>
          </w:tcPr>
          <w:p>
            <w:pPr>
              <w:spacing w:after="0"/>
              <w:rPr>
                <w:sz w:val="11"/>
                <w:szCs w:val="11"/>
                <w:color w:val="auto"/>
              </w:rPr>
            </w:pPr>
          </w:p>
        </w:tc>
        <w:tc>
          <w:tcPr>
            <w:tcW w:w="2080" w:type="dxa"/>
            <w:vAlign w:val="bottom"/>
          </w:tcPr>
          <w:p>
            <w:pPr>
              <w:jc w:val="right"/>
              <w:spacing w:after="0" w:line="134" w:lineRule="exact"/>
              <w:rPr>
                <w:sz w:val="20"/>
                <w:szCs w:val="20"/>
                <w:color w:val="auto"/>
              </w:rPr>
            </w:pPr>
            <w:r>
              <w:rPr>
                <w:rFonts w:ascii="Arial" w:cs="Arial" w:eastAsia="Arial" w:hAnsi="Arial"/>
                <w:sz w:val="13"/>
                <w:szCs w:val="13"/>
                <w:color w:val="auto"/>
              </w:rPr>
              <w:t>57,121</w:t>
            </w:r>
          </w:p>
        </w:tc>
      </w:tr>
      <w:tr>
        <w:trPr>
          <w:trHeight w:val="126"/>
        </w:trPr>
        <w:tc>
          <w:tcPr>
            <w:tcW w:w="6660" w:type="dxa"/>
            <w:vAlign w:val="bottom"/>
          </w:tcPr>
          <w:p>
            <w:pPr>
              <w:spacing w:after="0" w:line="126" w:lineRule="exact"/>
              <w:rPr>
                <w:sz w:val="20"/>
                <w:szCs w:val="20"/>
                <w:color w:val="auto"/>
              </w:rPr>
            </w:pPr>
            <w:r>
              <w:rPr>
                <w:rFonts w:ascii="Arial" w:cs="Arial" w:eastAsia="Arial" w:hAnsi="Arial"/>
                <w:sz w:val="13"/>
                <w:szCs w:val="13"/>
                <w:b w:val="1"/>
                <w:bCs w:val="1"/>
                <w:color w:val="auto"/>
              </w:rPr>
              <w:t>Adjustments to Net Operating Income:</w:t>
            </w:r>
          </w:p>
        </w:tc>
        <w:tc>
          <w:tcPr>
            <w:tcW w:w="15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80" w:type="dxa"/>
            <w:vAlign w:val="bottom"/>
            <w:tcBorders>
              <w:top w:val="single" w:sz="8" w:color="auto"/>
            </w:tcBorders>
          </w:tcPr>
          <w:p>
            <w:pPr>
              <w:spacing w:after="0"/>
              <w:rPr>
                <w:sz w:val="10"/>
                <w:szCs w:val="10"/>
                <w:color w:val="auto"/>
              </w:rPr>
            </w:pP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(1,953)</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268</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Amortization of above-/below-market leases</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(435)</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(518)</w:t>
            </w:r>
          </w:p>
        </w:tc>
      </w:tr>
      <w:tr>
        <w:trPr>
          <w:trHeight w:val="142"/>
        </w:trPr>
        <w:tc>
          <w:tcPr>
            <w:tcW w:w="822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Amortization of deferred revenue</w:t>
            </w: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(3,704)</w:t>
            </w:r>
          </w:p>
        </w:tc>
        <w:tc>
          <w:tcPr>
            <w:tcW w:w="2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(1,762)</w:t>
            </w:r>
          </w:p>
        </w:tc>
      </w:tr>
      <w:tr>
        <w:trPr>
          <w:trHeight w:val="150"/>
        </w:trPr>
        <w:tc>
          <w:tcPr>
            <w:tcW w:w="8220" w:type="dxa"/>
            <w:vAlign w:val="bottom"/>
            <w:gridSpan w:val="2"/>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520" w:type="dxa"/>
            <w:vAlign w:val="bottom"/>
          </w:tcPr>
          <w:p>
            <w:pPr>
              <w:jc w:val="right"/>
              <w:spacing w:after="0"/>
              <w:rPr>
                <w:sz w:val="20"/>
                <w:szCs w:val="20"/>
                <w:color w:val="auto"/>
              </w:rPr>
            </w:pPr>
            <w:r>
              <w:rPr>
                <w:rFonts w:ascii="Arial" w:cs="Arial" w:eastAsia="Arial" w:hAnsi="Arial"/>
                <w:sz w:val="13"/>
                <w:szCs w:val="13"/>
                <w:color w:val="auto"/>
              </w:rPr>
              <w:t>24</w:t>
            </w:r>
          </w:p>
        </w:tc>
        <w:tc>
          <w:tcPr>
            <w:tcW w:w="230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34"/>
        </w:trPr>
        <w:tc>
          <w:tcPr>
            <w:tcW w:w="6660" w:type="dxa"/>
            <w:vAlign w:val="bottom"/>
          </w:tcPr>
          <w:p>
            <w:pPr>
              <w:spacing w:after="0" w:line="134" w:lineRule="exact"/>
              <w:rPr>
                <w:sz w:val="20"/>
                <w:szCs w:val="20"/>
                <w:color w:val="auto"/>
              </w:rPr>
            </w:pPr>
            <w:r>
              <w:rPr>
                <w:rFonts w:ascii="Arial" w:cs="Arial" w:eastAsia="Arial" w:hAnsi="Arial"/>
                <w:sz w:val="13"/>
                <w:szCs w:val="13"/>
                <w:b w:val="1"/>
                <w:bCs w:val="1"/>
                <w:color w:val="auto"/>
              </w:rPr>
              <w:t>Cash Net Operating Income</w:t>
            </w:r>
          </w:p>
        </w:tc>
        <w:tc>
          <w:tcPr>
            <w:tcW w:w="156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$60,515</w:t>
            </w:r>
          </w:p>
        </w:tc>
        <w:tc>
          <w:tcPr>
            <w:tcW w:w="220" w:type="dxa"/>
            <w:vAlign w:val="bottom"/>
          </w:tcPr>
          <w:p>
            <w:pPr>
              <w:spacing w:after="0"/>
              <w:rPr>
                <w:sz w:val="11"/>
                <w:szCs w:val="11"/>
                <w:color w:val="auto"/>
              </w:rPr>
            </w:pPr>
          </w:p>
        </w:tc>
        <w:tc>
          <w:tcPr>
            <w:tcW w:w="20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$55,134</w:t>
            </w:r>
          </w:p>
        </w:tc>
      </w:tr>
      <w:tr>
        <w:trPr>
          <w:trHeight w:val="20"/>
        </w:trPr>
        <w:tc>
          <w:tcPr>
            <w:tcW w:w="66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23" w:name="page24"/>
    <w:bookmarkEnd w:id="23"/>
    <w:p>
      <w:pPr>
        <w:ind w:left="8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EBITDA</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Net income</w:t>
      </w:r>
    </w:p>
    <w:p>
      <w:pPr>
        <w:ind w:left="65"/>
        <w:spacing w:after="0" w:line="234" w:lineRule="auto"/>
        <w:rPr>
          <w:sz w:val="20"/>
          <w:szCs w:val="20"/>
          <w:color w:val="auto"/>
        </w:rPr>
      </w:pPr>
      <w:r>
        <w:rPr>
          <w:rFonts w:ascii="Arial" w:cs="Arial" w:eastAsia="Arial" w:hAnsi="Arial"/>
          <w:sz w:val="13"/>
          <w:szCs w:val="13"/>
          <w:color w:val="auto"/>
        </w:rPr>
        <w:t>Depreciation and amortization</w:t>
      </w:r>
    </w:p>
    <w:p>
      <w:pPr>
        <w:ind w:left="65"/>
        <w:spacing w:after="0" w:line="228" w:lineRule="auto"/>
        <w:rPr>
          <w:sz w:val="20"/>
          <w:szCs w:val="20"/>
          <w:color w:val="auto"/>
        </w:rPr>
      </w:pPr>
      <w:r>
        <w:rPr>
          <w:rFonts w:ascii="Arial" w:cs="Arial" w:eastAsia="Arial" w:hAnsi="Arial"/>
          <w:sz w:val="13"/>
          <w:szCs w:val="13"/>
          <w:color w:val="auto"/>
        </w:rPr>
        <w:t>Interest expense</w:t>
      </w:r>
    </w:p>
    <w:p>
      <w:pPr>
        <w:ind w:left="65"/>
        <w:spacing w:after="0"/>
        <w:rPr>
          <w:sz w:val="20"/>
          <w:szCs w:val="20"/>
          <w:color w:val="auto"/>
        </w:rPr>
      </w:pPr>
      <w:r>
        <w:rPr>
          <w:rFonts w:ascii="Arial" w:cs="Arial" w:eastAsia="Arial" w:hAnsi="Arial"/>
          <w:sz w:val="13"/>
          <w:szCs w:val="13"/>
          <w:color w:val="auto"/>
        </w:rPr>
        <w:t>Tax expense</w:t>
      </w:r>
    </w:p>
    <w:p>
      <w:pPr>
        <w:spacing w:after="0" w:line="4" w:lineRule="exact"/>
        <w:rPr>
          <w:sz w:val="20"/>
          <w:szCs w:val="20"/>
          <w:color w:val="auto"/>
        </w:rPr>
      </w:pPr>
    </w:p>
    <w:p>
      <w:pPr>
        <w:ind w:left="5" w:right="2620" w:firstLine="60"/>
        <w:spacing w:after="0" w:line="301" w:lineRule="auto"/>
        <w:rPr>
          <w:sz w:val="20"/>
          <w:szCs w:val="20"/>
          <w:color w:val="auto"/>
        </w:rPr>
      </w:pPr>
      <w:r>
        <w:rPr>
          <w:rFonts w:ascii="Arial" w:cs="Arial" w:eastAsia="Arial" w:hAnsi="Arial"/>
          <w:sz w:val="13"/>
          <w:szCs w:val="13"/>
          <w:color w:val="auto"/>
        </w:rPr>
        <w:t xml:space="preserve">Unconsolidated real estate venture allocated share of above adjustments </w:t>
      </w:r>
      <w:r>
        <w:rPr>
          <w:rFonts w:ascii="Arial" w:cs="Arial" w:eastAsia="Arial" w:hAnsi="Arial"/>
          <w:sz w:val="13"/>
          <w:szCs w:val="13"/>
          <w:b w:val="1"/>
          <w:bCs w:val="1"/>
          <w:color w:val="auto"/>
        </w:rPr>
        <w:t>EBITDA</w:t>
      </w:r>
    </w:p>
    <w:p>
      <w:pPr>
        <w:spacing w:after="0" w:line="69" w:lineRule="exact"/>
        <w:rPr>
          <w:sz w:val="20"/>
          <w:szCs w:val="20"/>
          <w:color w:val="auto"/>
        </w:rPr>
      </w:pPr>
    </w:p>
    <w:p>
      <w:pPr>
        <w:ind w:left="65"/>
        <w:spacing w:after="0"/>
        <w:rPr>
          <w:sz w:val="20"/>
          <w:szCs w:val="20"/>
          <w:color w:val="auto"/>
        </w:rPr>
      </w:pPr>
      <w:r>
        <w:rPr>
          <w:rFonts w:ascii="Arial" w:cs="Arial" w:eastAsia="Arial" w:hAnsi="Arial"/>
          <w:sz w:val="13"/>
          <w:szCs w:val="13"/>
          <w:color w:val="auto"/>
        </w:rPr>
        <w:t>Pro forma adjustments</w:t>
      </w:r>
      <w:r>
        <w:rPr>
          <w:rFonts w:ascii="Arial" w:cs="Arial" w:eastAsia="Arial" w:hAnsi="Arial"/>
          <w:sz w:val="16"/>
          <w:szCs w:val="16"/>
          <w:color w:val="auto"/>
          <w:vertAlign w:val="superscript"/>
        </w:rPr>
        <w:t>(1)</w:t>
      </w:r>
    </w:p>
    <w:p>
      <w:pPr>
        <w:spacing w:after="0" w:line="23" w:lineRule="exact"/>
        <w:rPr>
          <w:sz w:val="20"/>
          <w:szCs w:val="20"/>
          <w:color w:val="auto"/>
        </w:rPr>
      </w:pPr>
    </w:p>
    <w:p>
      <w:pPr>
        <w:ind w:left="5"/>
        <w:spacing w:after="0"/>
        <w:rPr>
          <w:sz w:val="20"/>
          <w:szCs w:val="20"/>
          <w:color w:val="auto"/>
        </w:rPr>
      </w:pPr>
      <w:r>
        <w:rPr>
          <w:rFonts w:ascii="Arial" w:cs="Arial" w:eastAsia="Arial" w:hAnsi="Arial"/>
          <w:sz w:val="13"/>
          <w:szCs w:val="13"/>
          <w:b w:val="1"/>
          <w:bCs w:val="1"/>
          <w:color w:val="auto"/>
        </w:rPr>
        <w:t>Pro forma EBITDA</w:t>
      </w:r>
    </w:p>
    <w:p>
      <w:pPr>
        <w:spacing w:after="0" w:line="45" w:lineRule="exact"/>
        <w:rPr>
          <w:sz w:val="20"/>
          <w:szCs w:val="20"/>
          <w:color w:val="auto"/>
        </w:rPr>
      </w:pPr>
    </w:p>
    <w:p>
      <w:pPr>
        <w:ind w:left="125" w:hanging="125"/>
        <w:spacing w:after="0"/>
        <w:tabs>
          <w:tab w:leader="none" w:pos="125" w:val="left"/>
        </w:tabs>
        <w:numPr>
          <w:ilvl w:val="0"/>
          <w:numId w:val="6"/>
        </w:numPr>
        <w:rPr>
          <w:rFonts w:ascii="Arial" w:cs="Arial" w:eastAsia="Arial" w:hAnsi="Arial"/>
          <w:sz w:val="15"/>
          <w:szCs w:val="15"/>
          <w:color w:val="53565A"/>
          <w:vertAlign w:val="superscript"/>
        </w:rPr>
      </w:pPr>
      <w:r>
        <w:rPr>
          <w:rFonts w:ascii="Arial" w:cs="Arial" w:eastAsia="Arial" w:hAnsi="Arial"/>
          <w:sz w:val="11"/>
          <w:szCs w:val="11"/>
          <w:color w:val="53565A"/>
        </w:rPr>
        <w:t>Pro forma assuming a full quarter of operations from the three operating properties acquired in the first quarter of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Three Months Ended</w:t>
      </w:r>
    </w:p>
    <w:tbl>
      <w:tblPr>
        <w:tblLayout w:type="fixed"/>
        <w:tblInd w:w="0" w:type="dxa"/>
        <w:tblCellMar>
          <w:top w:w="0" w:type="dxa"/>
          <w:left w:w="0" w:type="dxa"/>
          <w:bottom w:w="0" w:type="dxa"/>
          <w:right w:w="0" w:type="dxa"/>
        </w:tblCellMar>
      </w:tblPr>
      <w:tr>
        <w:trPr>
          <w:trHeight w:val="173"/>
        </w:trPr>
        <w:tc>
          <w:tcPr>
            <w:tcW w:w="2140" w:type="dxa"/>
            <w:vAlign w:val="bottom"/>
            <w:tcBorders>
              <w:top w:val="single" w:sz="8" w:color="2B4B86"/>
              <w:bottom w:val="single" w:sz="8" w:color="2B4B86"/>
            </w:tcBorders>
          </w:tcPr>
          <w:p>
            <w:pPr>
              <w:jc w:val="right"/>
              <w:ind w:right="557"/>
              <w:spacing w:after="0"/>
              <w:rPr>
                <w:sz w:val="20"/>
                <w:szCs w:val="20"/>
                <w:color w:val="auto"/>
              </w:rPr>
            </w:pPr>
            <w:r>
              <w:rPr>
                <w:rFonts w:ascii="Arial" w:cs="Arial" w:eastAsia="Arial" w:hAnsi="Arial"/>
                <w:sz w:val="13"/>
                <w:szCs w:val="13"/>
                <w:b w:val="1"/>
                <w:bCs w:val="1"/>
                <w:color w:val="auto"/>
              </w:rPr>
              <w:t>March 31, 2026</w:t>
            </w:r>
          </w:p>
        </w:tc>
        <w:tc>
          <w:tcPr>
            <w:tcW w:w="220" w:type="dxa"/>
            <w:vAlign w:val="bottom"/>
            <w:tcBorders>
              <w:top w:val="single" w:sz="8" w:color="2B4B86"/>
            </w:tcBorders>
          </w:tcPr>
          <w:p>
            <w:pPr>
              <w:spacing w:after="0"/>
              <w:rPr>
                <w:sz w:val="15"/>
                <w:szCs w:val="15"/>
                <w:color w:val="auto"/>
              </w:rPr>
            </w:pPr>
          </w:p>
        </w:tc>
        <w:tc>
          <w:tcPr>
            <w:tcW w:w="1880" w:type="dxa"/>
            <w:vAlign w:val="bottom"/>
            <w:tcBorders>
              <w:top w:val="single" w:sz="8" w:color="2B4B86"/>
              <w:bottom w:val="single" w:sz="8" w:color="2B4B86"/>
            </w:tcBorders>
          </w:tcPr>
          <w:p>
            <w:pPr>
              <w:jc w:val="right"/>
              <w:ind w:right="417"/>
              <w:spacing w:after="0"/>
              <w:rPr>
                <w:sz w:val="20"/>
                <w:szCs w:val="20"/>
                <w:color w:val="auto"/>
              </w:rPr>
            </w:pPr>
            <w:r>
              <w:rPr>
                <w:rFonts w:ascii="Arial" w:cs="Arial" w:eastAsia="Arial" w:hAnsi="Arial"/>
                <w:sz w:val="13"/>
                <w:szCs w:val="13"/>
                <w:b w:val="1"/>
                <w:bCs w:val="1"/>
                <w:color w:val="auto"/>
              </w:rPr>
              <w:t>March 31, 2025</w:t>
            </w:r>
          </w:p>
        </w:tc>
      </w:tr>
      <w:tr>
        <w:trPr>
          <w:trHeight w:val="276"/>
        </w:trPr>
        <w:tc>
          <w:tcPr>
            <w:tcW w:w="2140" w:type="dxa"/>
            <w:vAlign w:val="bottom"/>
          </w:tcPr>
          <w:p>
            <w:pPr>
              <w:jc w:val="right"/>
              <w:spacing w:after="0"/>
              <w:rPr>
                <w:sz w:val="20"/>
                <w:szCs w:val="20"/>
                <w:color w:val="auto"/>
              </w:rPr>
            </w:pPr>
            <w:r>
              <w:rPr>
                <w:rFonts w:ascii="Arial" w:cs="Arial" w:eastAsia="Arial" w:hAnsi="Arial"/>
                <w:sz w:val="13"/>
                <w:szCs w:val="13"/>
                <w:color w:val="auto"/>
              </w:rPr>
              <w:t>$1,414</w:t>
            </w:r>
          </w:p>
        </w:tc>
        <w:tc>
          <w:tcPr>
            <w:tcW w:w="2100" w:type="dxa"/>
            <w:vAlign w:val="bottom"/>
            <w:gridSpan w:val="2"/>
          </w:tcPr>
          <w:p>
            <w:pPr>
              <w:jc w:val="right"/>
              <w:spacing w:after="0"/>
              <w:rPr>
                <w:sz w:val="20"/>
                <w:szCs w:val="20"/>
                <w:color w:val="auto"/>
              </w:rPr>
            </w:pPr>
            <w:r>
              <w:rPr>
                <w:rFonts w:ascii="Arial" w:cs="Arial" w:eastAsia="Arial" w:hAnsi="Arial"/>
                <w:sz w:val="13"/>
                <w:szCs w:val="13"/>
                <w:color w:val="auto"/>
              </w:rPr>
              <w:t>$3,283</w:t>
            </w:r>
          </w:p>
        </w:tc>
      </w:tr>
      <w:tr>
        <w:trPr>
          <w:trHeight w:val="142"/>
        </w:trPr>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33,221</w:t>
            </w:r>
          </w:p>
        </w:tc>
        <w:tc>
          <w:tcPr>
            <w:tcW w:w="21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26,797</w:t>
            </w:r>
          </w:p>
        </w:tc>
      </w:tr>
      <w:tr>
        <w:trPr>
          <w:trHeight w:val="142"/>
        </w:trPr>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20,166</w:t>
            </w:r>
          </w:p>
        </w:tc>
        <w:tc>
          <w:tcPr>
            <w:tcW w:w="21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18,377</w:t>
            </w:r>
          </w:p>
        </w:tc>
      </w:tr>
      <w:tr>
        <w:trPr>
          <w:trHeight w:val="142"/>
        </w:trPr>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111</w:t>
            </w:r>
          </w:p>
        </w:tc>
        <w:tc>
          <w:tcPr>
            <w:tcW w:w="21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163</w:t>
            </w:r>
          </w:p>
        </w:tc>
      </w:tr>
      <w:tr>
        <w:trPr>
          <w:trHeight w:val="150"/>
        </w:trPr>
        <w:tc>
          <w:tcPr>
            <w:tcW w:w="2140" w:type="dxa"/>
            <w:vAlign w:val="bottom"/>
          </w:tcPr>
          <w:p>
            <w:pPr>
              <w:jc w:val="right"/>
              <w:spacing w:after="0"/>
              <w:rPr>
                <w:sz w:val="20"/>
                <w:szCs w:val="20"/>
                <w:color w:val="auto"/>
              </w:rPr>
            </w:pPr>
            <w:r>
              <w:rPr>
                <w:rFonts w:ascii="Arial" w:cs="Arial" w:eastAsia="Arial" w:hAnsi="Arial"/>
                <w:sz w:val="13"/>
                <w:szCs w:val="13"/>
                <w:color w:val="auto"/>
              </w:rPr>
              <w:t>2,340</w:t>
            </w:r>
          </w:p>
        </w:tc>
        <w:tc>
          <w:tcPr>
            <w:tcW w:w="2100" w:type="dxa"/>
            <w:vAlign w:val="bottom"/>
            <w:gridSpan w:val="2"/>
          </w:tcPr>
          <w:p>
            <w:pPr>
              <w:jc w:val="right"/>
              <w:spacing w:after="0"/>
              <w:rPr>
                <w:sz w:val="20"/>
                <w:szCs w:val="20"/>
                <w:color w:val="auto"/>
              </w:rPr>
            </w:pPr>
            <w:r>
              <w:rPr>
                <w:rFonts w:ascii="Arial" w:cs="Arial" w:eastAsia="Arial" w:hAnsi="Arial"/>
                <w:sz w:val="13"/>
                <w:szCs w:val="13"/>
                <w:color w:val="auto"/>
              </w:rPr>
              <w:t>2,341</w:t>
            </w:r>
          </w:p>
        </w:tc>
      </w:tr>
      <w:tr>
        <w:trPr>
          <w:trHeight w:val="134"/>
        </w:trPr>
        <w:tc>
          <w:tcPr>
            <w:tcW w:w="21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$57,252</w:t>
            </w:r>
          </w:p>
        </w:tc>
        <w:tc>
          <w:tcPr>
            <w:tcW w:w="220" w:type="dxa"/>
            <w:vAlign w:val="bottom"/>
          </w:tcPr>
          <w:p>
            <w:pPr>
              <w:spacing w:after="0"/>
              <w:rPr>
                <w:sz w:val="11"/>
                <w:szCs w:val="11"/>
                <w:color w:val="auto"/>
              </w:rPr>
            </w:pPr>
          </w:p>
        </w:tc>
        <w:tc>
          <w:tcPr>
            <w:tcW w:w="18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$50,961</w:t>
            </w: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59"/>
        </w:trPr>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22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34"/>
        </w:trPr>
        <w:tc>
          <w:tcPr>
            <w:tcW w:w="2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$57,440</w:t>
            </w:r>
          </w:p>
        </w:tc>
        <w:tc>
          <w:tcPr>
            <w:tcW w:w="220" w:type="dxa"/>
            <w:vAlign w:val="bottom"/>
          </w:tcPr>
          <w:p>
            <w:pPr>
              <w:spacing w:after="0"/>
              <w:rPr>
                <w:sz w:val="11"/>
                <w:szCs w:val="11"/>
                <w:color w:val="auto"/>
              </w:rPr>
            </w:pPr>
          </w:p>
        </w:tc>
        <w:tc>
          <w:tcPr>
            <w:tcW w:w="1880" w:type="dxa"/>
            <w:vAlign w:val="bottom"/>
          </w:tcPr>
          <w:p>
            <w:pPr>
              <w:spacing w:after="0"/>
              <w:rPr>
                <w:sz w:val="11"/>
                <w:szCs w:val="11"/>
                <w:color w:val="auto"/>
              </w:rPr>
            </w:pPr>
          </w:p>
        </w:tc>
      </w:tr>
      <w:tr>
        <w:trPr>
          <w:trHeight w:val="20"/>
        </w:trPr>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429" w:lineRule="exact"/>
        <w:rPr>
          <w:sz w:val="20"/>
          <w:szCs w:val="20"/>
          <w:color w:val="auto"/>
        </w:rPr>
      </w:pPr>
    </w:p>
    <w:p>
      <w:pPr>
        <w:sectPr>
          <w:pgSz w:w="11900" w:h="16838" w:orient="portrait"/>
          <w:cols w:equalWidth="0" w:num="2">
            <w:col w:w="6745" w:space="40"/>
            <w:col w:w="4480"/>
          </w:cols>
          <w:pgMar w:left="315" w:top="836" w:right="319" w:bottom="1440" w:gutter="0" w:footer="0" w:header="0"/>
          <w:type w:val="continuous"/>
        </w:sectPr>
      </w:pPr>
    </w:p>
    <w:p>
      <w:pPr>
        <w:spacing w:after="0" w:line="147" w:lineRule="exact"/>
        <w:rPr>
          <w:sz w:val="20"/>
          <w:szCs w:val="20"/>
          <w:color w:val="auto"/>
        </w:rPr>
      </w:pPr>
    </w:p>
    <w:p>
      <w:pPr>
        <w:ind w:left="11085"/>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FFO and CAD</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80" w:type="dxa"/>
            <w:vAlign w:val="bottom"/>
          </w:tcPr>
          <w:p>
            <w:pPr>
              <w:spacing w:after="0"/>
              <w:rPr>
                <w:sz w:val="14"/>
                <w:szCs w:val="14"/>
                <w:color w:val="auto"/>
              </w:rPr>
            </w:pPr>
          </w:p>
        </w:tc>
        <w:tc>
          <w:tcPr>
            <w:tcW w:w="2800" w:type="dxa"/>
            <w:vAlign w:val="bottom"/>
            <w:tcBorders>
              <w:bottom w:val="single" w:sz="8" w:color="2B4B86"/>
            </w:tcBorders>
            <w:gridSpan w:val="3"/>
          </w:tcPr>
          <w:p>
            <w:pPr>
              <w:ind w:left="1500"/>
              <w:spacing w:after="0"/>
              <w:rPr>
                <w:sz w:val="20"/>
                <w:szCs w:val="20"/>
                <w:color w:val="auto"/>
              </w:rPr>
            </w:pPr>
            <w:r>
              <w:rPr>
                <w:rFonts w:ascii="Arial" w:cs="Arial" w:eastAsia="Arial" w:hAnsi="Arial"/>
                <w:sz w:val="13"/>
                <w:szCs w:val="13"/>
                <w:b w:val="1"/>
                <w:bCs w:val="1"/>
                <w:color w:val="auto"/>
                <w:w w:val="99"/>
              </w:rPr>
              <w:t>Three Months Ended</w:t>
            </w:r>
          </w:p>
        </w:tc>
        <w:tc>
          <w:tcPr>
            <w:tcW w:w="1440" w:type="dxa"/>
            <w:vAlign w:val="bottom"/>
            <w:tcBorders>
              <w:bottom w:val="single" w:sz="8" w:color="2B4B86"/>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780" w:type="dxa"/>
            <w:vAlign w:val="bottom"/>
          </w:tcPr>
          <w:p>
            <w:pPr>
              <w:spacing w:after="0"/>
              <w:rPr>
                <w:sz w:val="13"/>
                <w:szCs w:val="13"/>
                <w:color w:val="auto"/>
              </w:rPr>
            </w:pPr>
          </w:p>
        </w:tc>
        <w:tc>
          <w:tcPr>
            <w:tcW w:w="2800" w:type="dxa"/>
            <w:vAlign w:val="bottom"/>
            <w:gridSpan w:val="3"/>
          </w:tcPr>
          <w:p>
            <w:pPr>
              <w:ind w:left="620"/>
              <w:spacing w:after="0" w:line="142" w:lineRule="exact"/>
              <w:rPr>
                <w:sz w:val="20"/>
                <w:szCs w:val="20"/>
                <w:color w:val="auto"/>
              </w:rPr>
            </w:pPr>
            <w:r>
              <w:rPr>
                <w:rFonts w:ascii="Arial" w:cs="Arial" w:eastAsia="Arial" w:hAnsi="Arial"/>
                <w:sz w:val="13"/>
                <w:szCs w:val="13"/>
                <w:b w:val="1"/>
                <w:bCs w:val="1"/>
                <w:color w:val="auto"/>
              </w:rPr>
              <w:t>March 31, 2026</w:t>
            </w:r>
          </w:p>
        </w:tc>
        <w:tc>
          <w:tcPr>
            <w:tcW w:w="1440" w:type="dxa"/>
            <w:vAlign w:val="bottom"/>
          </w:tcPr>
          <w:p>
            <w:pPr>
              <w:jc w:val="right"/>
              <w:ind w:right="417"/>
              <w:spacing w:after="0" w:line="142" w:lineRule="exact"/>
              <w:rPr>
                <w:sz w:val="20"/>
                <w:szCs w:val="20"/>
                <w:color w:val="auto"/>
              </w:rPr>
            </w:pPr>
            <w:r>
              <w:rPr>
                <w:rFonts w:ascii="Arial" w:cs="Arial" w:eastAsia="Arial" w:hAnsi="Arial"/>
                <w:sz w:val="13"/>
                <w:szCs w:val="13"/>
                <w:b w:val="1"/>
                <w:bCs w:val="1"/>
                <w:color w:val="auto"/>
              </w:rPr>
              <w:t>March 31, 2025</w:t>
            </w:r>
          </w:p>
        </w:tc>
        <w:tc>
          <w:tcPr>
            <w:tcW w:w="0" w:type="dxa"/>
            <w:vAlign w:val="bottom"/>
          </w:tcPr>
          <w:p>
            <w:pPr>
              <w:spacing w:after="0"/>
              <w:rPr>
                <w:sz w:val="1"/>
                <w:szCs w:val="1"/>
                <w:color w:val="auto"/>
              </w:rPr>
            </w:pPr>
          </w:p>
        </w:tc>
      </w:tr>
      <w:tr>
        <w:trPr>
          <w:trHeight w:val="276"/>
        </w:trPr>
        <w:tc>
          <w:tcPr>
            <w:tcW w:w="6780" w:type="dxa"/>
            <w:vAlign w:val="bottom"/>
          </w:tcPr>
          <w:p>
            <w:pPr>
              <w:spacing w:after="0"/>
              <w:rPr>
                <w:sz w:val="20"/>
                <w:szCs w:val="20"/>
                <w:color w:val="auto"/>
              </w:rPr>
            </w:pPr>
            <w:r>
              <w:rPr>
                <w:rFonts w:ascii="Arial" w:cs="Arial" w:eastAsia="Arial" w:hAnsi="Arial"/>
                <w:sz w:val="13"/>
                <w:szCs w:val="13"/>
                <w:b w:val="1"/>
                <w:bCs w:val="1"/>
                <w:color w:val="auto"/>
              </w:rPr>
              <w:t>Net income</w:t>
            </w:r>
          </w:p>
        </w:tc>
        <w:tc>
          <w:tcPr>
            <w:tcW w:w="2140" w:type="dxa"/>
            <w:vAlign w:val="bottom"/>
            <w:tcBorders>
              <w:top w:val="single" w:sz="8" w:color="2B4B86"/>
            </w:tcBorders>
          </w:tcPr>
          <w:p>
            <w:pPr>
              <w:jc w:val="right"/>
              <w:spacing w:after="0"/>
              <w:rPr>
                <w:sz w:val="20"/>
                <w:szCs w:val="20"/>
                <w:color w:val="auto"/>
              </w:rPr>
            </w:pPr>
            <w:r>
              <w:rPr>
                <w:rFonts w:ascii="Arial" w:cs="Arial" w:eastAsia="Arial" w:hAnsi="Arial"/>
                <w:sz w:val="13"/>
                <w:szCs w:val="13"/>
                <w:color w:val="auto"/>
              </w:rPr>
              <w:t>$1,414</w:t>
            </w:r>
          </w:p>
        </w:tc>
        <w:tc>
          <w:tcPr>
            <w:tcW w:w="220" w:type="dxa"/>
            <w:vAlign w:val="bottom"/>
          </w:tcPr>
          <w:p>
            <w:pPr>
              <w:spacing w:after="0"/>
              <w:rPr>
                <w:sz w:val="24"/>
                <w:szCs w:val="24"/>
                <w:color w:val="auto"/>
              </w:rPr>
            </w:pPr>
          </w:p>
        </w:tc>
        <w:tc>
          <w:tcPr>
            <w:tcW w:w="440" w:type="dxa"/>
            <w:vAlign w:val="bottom"/>
            <w:tcBorders>
              <w:top w:val="single" w:sz="8" w:color="2B4B86"/>
            </w:tcBorders>
          </w:tcPr>
          <w:p>
            <w:pPr>
              <w:spacing w:after="0"/>
              <w:rPr>
                <w:sz w:val="24"/>
                <w:szCs w:val="24"/>
                <w:color w:val="auto"/>
              </w:rPr>
            </w:pPr>
          </w:p>
        </w:tc>
        <w:tc>
          <w:tcPr>
            <w:tcW w:w="1440" w:type="dxa"/>
            <w:vAlign w:val="bottom"/>
            <w:tcBorders>
              <w:top w:val="single" w:sz="8" w:color="2B4B86"/>
            </w:tcBorders>
          </w:tcPr>
          <w:p>
            <w:pPr>
              <w:jc w:val="right"/>
              <w:spacing w:after="0"/>
              <w:rPr>
                <w:sz w:val="20"/>
                <w:szCs w:val="20"/>
                <w:color w:val="auto"/>
              </w:rPr>
            </w:pPr>
            <w:r>
              <w:rPr>
                <w:rFonts w:ascii="Arial" w:cs="Arial" w:eastAsia="Arial" w:hAnsi="Arial"/>
                <w:sz w:val="13"/>
                <w:szCs w:val="13"/>
                <w:color w:val="auto"/>
              </w:rPr>
              <w:t>$3,283</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Depreciation of real estate assets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32,955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26,546</w:t>
            </w:r>
          </w:p>
        </w:tc>
        <w:tc>
          <w:tcPr>
            <w:tcW w:w="0" w:type="dxa"/>
            <w:vAlign w:val="bottom"/>
          </w:tcPr>
          <w:p>
            <w:pPr>
              <w:spacing w:after="0"/>
              <w:rPr>
                <w:sz w:val="1"/>
                <w:szCs w:val="1"/>
                <w:color w:val="auto"/>
              </w:rPr>
            </w:pPr>
          </w:p>
        </w:tc>
      </w:tr>
      <w:tr>
        <w:trPr>
          <w:trHeight w:val="150"/>
        </w:trPr>
        <w:tc>
          <w:tcPr>
            <w:tcW w:w="678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2,281</w:t>
            </w:r>
          </w:p>
        </w:tc>
        <w:tc>
          <w:tcPr>
            <w:tcW w:w="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2,279</w:t>
            </w:r>
          </w:p>
        </w:tc>
        <w:tc>
          <w:tcPr>
            <w:tcW w:w="0" w:type="dxa"/>
            <w:vAlign w:val="bottom"/>
          </w:tcPr>
          <w:p>
            <w:pPr>
              <w:spacing w:after="0"/>
              <w:rPr>
                <w:sz w:val="1"/>
                <w:szCs w:val="1"/>
                <w:color w:val="auto"/>
              </w:rPr>
            </w:pPr>
          </w:p>
        </w:tc>
      </w:tr>
      <w:tr>
        <w:trPr>
          <w:trHeight w:val="134"/>
        </w:trPr>
        <w:tc>
          <w:tcPr>
            <w:tcW w:w="6780" w:type="dxa"/>
            <w:vAlign w:val="bottom"/>
          </w:tcPr>
          <w:p>
            <w:pPr>
              <w:spacing w:after="0" w:line="134" w:lineRule="exact"/>
              <w:rPr>
                <w:sz w:val="20"/>
                <w:szCs w:val="20"/>
                <w:color w:val="auto"/>
              </w:rPr>
            </w:pPr>
            <w:r>
              <w:rPr>
                <w:rFonts w:ascii="Arial" w:cs="Arial" w:eastAsia="Arial" w:hAnsi="Arial"/>
                <w:sz w:val="13"/>
                <w:szCs w:val="13"/>
                <w:b w:val="1"/>
                <w:bCs w:val="1"/>
                <w:color w:val="auto"/>
              </w:rPr>
              <w:t>FFO</w:t>
            </w:r>
          </w:p>
        </w:tc>
        <w:tc>
          <w:tcPr>
            <w:tcW w:w="2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$36,650</w:t>
            </w:r>
          </w:p>
        </w:tc>
        <w:tc>
          <w:tcPr>
            <w:tcW w:w="2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$32,108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3"/>
                <w:szCs w:val="13"/>
                <w:b w:val="1"/>
                <w:bCs w:val="1"/>
                <w:color w:val="auto"/>
              </w:rPr>
              <w:t>Adjustments to FFO:</w:t>
            </w: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678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Loss on extinguishment of debt and modification costs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Provision for (recovery of) credit losses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196</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(238)</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Depreciation of non-real estate assets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267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50"/>
        </w:trPr>
        <w:tc>
          <w:tcPr>
            <w:tcW w:w="678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34"/>
        </w:trPr>
        <w:tc>
          <w:tcPr>
            <w:tcW w:w="6780" w:type="dxa"/>
            <w:vAlign w:val="bottom"/>
          </w:tcPr>
          <w:p>
            <w:pPr>
              <w:spacing w:after="0" w:line="134" w:lineRule="exact"/>
              <w:rPr>
                <w:sz w:val="20"/>
                <w:szCs w:val="20"/>
                <w:color w:val="auto"/>
              </w:rPr>
            </w:pPr>
            <w:r>
              <w:rPr>
                <w:rFonts w:ascii="Arial" w:cs="Arial" w:eastAsia="Arial" w:hAnsi="Arial"/>
                <w:sz w:val="13"/>
                <w:szCs w:val="13"/>
                <w:b w:val="1"/>
                <w:bCs w:val="1"/>
                <w:color w:val="auto"/>
              </w:rPr>
              <w:t>Core FFO</w:t>
            </w:r>
          </w:p>
        </w:tc>
        <w:tc>
          <w:tcPr>
            <w:tcW w:w="2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$37,145</w:t>
            </w:r>
          </w:p>
        </w:tc>
        <w:tc>
          <w:tcPr>
            <w:tcW w:w="2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$33,061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780" w:type="dxa"/>
            <w:vAlign w:val="bottom"/>
          </w:tcPr>
          <w:p>
            <w:pPr>
              <w:spacing w:after="0"/>
              <w:rPr>
                <w:sz w:val="20"/>
                <w:szCs w:val="20"/>
                <w:color w:val="auto"/>
              </w:rPr>
            </w:pPr>
            <w:r>
              <w:rPr>
                <w:rFonts w:ascii="Arial" w:cs="Arial" w:eastAsia="Arial" w:hAnsi="Arial"/>
                <w:sz w:val="13"/>
                <w:szCs w:val="13"/>
                <w:color w:val="auto"/>
              </w:rPr>
              <w:t>FFO, per share - fully diluted basis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$0.76</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$0.71</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6780" w:type="dxa"/>
            <w:vAlign w:val="bottom"/>
          </w:tcPr>
          <w:p>
            <w:pPr>
              <w:spacing w:after="0" w:line="118" w:lineRule="exact"/>
              <w:rPr>
                <w:sz w:val="20"/>
                <w:szCs w:val="20"/>
                <w:color w:val="auto"/>
              </w:rPr>
            </w:pPr>
            <w:r>
              <w:rPr>
                <w:rFonts w:ascii="Arial" w:cs="Arial" w:eastAsia="Arial" w:hAnsi="Arial"/>
                <w:sz w:val="13"/>
                <w:szCs w:val="13"/>
                <w:color w:val="auto"/>
              </w:rPr>
              <w:t>Core FFO, per share - fully diluted basis</w:t>
            </w:r>
          </w:p>
        </w:tc>
        <w:tc>
          <w:tcPr>
            <w:tcW w:w="2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$0.77</w:t>
            </w:r>
          </w:p>
        </w:tc>
        <w:tc>
          <w:tcPr>
            <w:tcW w:w="2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$0.73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780" w:type="dxa"/>
            <w:vAlign w:val="bottom"/>
          </w:tcPr>
          <w:p>
            <w:pPr>
              <w:spacing w:after="0"/>
              <w:rPr>
                <w:sz w:val="20"/>
                <w:szCs w:val="20"/>
                <w:color w:val="auto"/>
              </w:rPr>
            </w:pPr>
            <w:r>
              <w:rPr>
                <w:rFonts w:ascii="Arial" w:cs="Arial" w:eastAsia="Arial" w:hAnsi="Arial"/>
                <w:sz w:val="13"/>
                <w:szCs w:val="13"/>
                <w:b w:val="1"/>
                <w:bCs w:val="1"/>
                <w:color w:val="auto"/>
              </w:rPr>
              <w:t>Core FFO</w:t>
            </w:r>
          </w:p>
        </w:tc>
        <w:tc>
          <w:tcPr>
            <w:tcW w:w="2140" w:type="dxa"/>
            <w:vAlign w:val="bottom"/>
          </w:tcPr>
          <w:p>
            <w:pPr>
              <w:jc w:val="right"/>
              <w:spacing w:after="0"/>
              <w:rPr>
                <w:sz w:val="20"/>
                <w:szCs w:val="20"/>
                <w:color w:val="auto"/>
              </w:rPr>
            </w:pPr>
            <w:r>
              <w:rPr>
                <w:rFonts w:ascii="Arial" w:cs="Arial" w:eastAsia="Arial" w:hAnsi="Arial"/>
                <w:sz w:val="13"/>
                <w:szCs w:val="13"/>
                <w:color w:val="auto"/>
              </w:rPr>
              <w:t>$37,145</w:t>
            </w: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$33,061</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Straight-line rent and other non-cash adjustments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(2,007)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Amortization of above-/below-market leases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(435)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Amortization of deferred revenue</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(3,704)</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(1,762)</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Non-cash interest expense</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939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Non-cash compensation</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2,097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1,421</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Natural disaster event expense, net of recovery</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(15)</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Principal amortization</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(1,190)</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(1,127)</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Maintenance capital expenditures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(657)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(285)</w:t>
            </w:r>
          </w:p>
        </w:tc>
        <w:tc>
          <w:tcPr>
            <w:tcW w:w="0" w:type="dxa"/>
            <w:vAlign w:val="bottom"/>
          </w:tcPr>
          <w:p>
            <w:pPr>
              <w:spacing w:after="0"/>
              <w:rPr>
                <w:sz w:val="1"/>
                <w:szCs w:val="1"/>
                <w:color w:val="auto"/>
              </w:rPr>
            </w:pPr>
          </w:p>
        </w:tc>
      </w:tr>
      <w:tr>
        <w:trPr>
          <w:trHeight w:val="142"/>
        </w:trPr>
        <w:tc>
          <w:tcPr>
            <w:tcW w:w="6780" w:type="dxa"/>
            <w:vAlign w:val="bottom"/>
          </w:tcPr>
          <w:p>
            <w:pPr>
              <w:ind w:left="60"/>
              <w:spacing w:after="0" w:line="142" w:lineRule="exact"/>
              <w:rPr>
                <w:sz w:val="20"/>
                <w:szCs w:val="20"/>
                <w:color w:val="auto"/>
              </w:rPr>
            </w:pPr>
            <w:r>
              <w:rPr>
                <w:rFonts w:ascii="Arial" w:cs="Arial" w:eastAsia="Arial" w:hAnsi="Arial"/>
                <w:sz w:val="13"/>
                <w:szCs w:val="13"/>
                <w:color w:val="auto"/>
              </w:rPr>
              <w:t>Contractual tenant improvements</w:t>
            </w:r>
          </w:p>
        </w:tc>
        <w:tc>
          <w:tcPr>
            <w:tcW w:w="2140" w:type="dxa"/>
            <w:vAlign w:val="bottom"/>
          </w:tcPr>
          <w:p>
            <w:pPr>
              <w:jc w:val="right"/>
              <w:spacing w:after="0" w:line="142" w:lineRule="exact"/>
              <w:rPr>
                <w:sz w:val="20"/>
                <w:szCs w:val="20"/>
                <w:color w:val="auto"/>
              </w:rPr>
            </w:pPr>
            <w:r>
              <w:rPr>
                <w:rFonts w:ascii="Arial" w:cs="Arial" w:eastAsia="Arial" w:hAnsi="Arial"/>
                <w:sz w:val="13"/>
                <w:szCs w:val="13"/>
                <w:color w:val="auto"/>
              </w:rPr>
              <w:t>(49)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jc w:val="right"/>
              <w:spacing w:after="0" w:line="142" w:lineRule="exact"/>
              <w:rPr>
                <w:sz w:val="20"/>
                <w:szCs w:val="20"/>
                <w:color w:val="auto"/>
              </w:rPr>
            </w:pPr>
            <w:r>
              <w:rPr>
                <w:rFonts w:ascii="Arial" w:cs="Arial" w:eastAsia="Arial" w:hAnsi="Arial"/>
                <w:sz w:val="13"/>
                <w:szCs w:val="13"/>
                <w:color w:val="auto"/>
              </w:rPr>
              <w:t>(612)</w:t>
            </w:r>
          </w:p>
        </w:tc>
        <w:tc>
          <w:tcPr>
            <w:tcW w:w="0" w:type="dxa"/>
            <w:vAlign w:val="bottom"/>
          </w:tcPr>
          <w:p>
            <w:pPr>
              <w:spacing w:after="0"/>
              <w:rPr>
                <w:sz w:val="1"/>
                <w:szCs w:val="1"/>
                <w:color w:val="auto"/>
              </w:rPr>
            </w:pPr>
          </w:p>
        </w:tc>
      </w:tr>
      <w:tr>
        <w:trPr>
          <w:trHeight w:val="150"/>
        </w:trPr>
        <w:tc>
          <w:tcPr>
            <w:tcW w:w="6780" w:type="dxa"/>
            <w:vAlign w:val="bottom"/>
          </w:tcPr>
          <w:p>
            <w:pPr>
              <w:ind w:left="60"/>
              <w:spacing w:after="0"/>
              <w:rPr>
                <w:sz w:val="20"/>
                <w:szCs w:val="20"/>
                <w:color w:val="auto"/>
              </w:rPr>
            </w:pPr>
            <w:r>
              <w:rPr>
                <w:rFonts w:ascii="Arial" w:cs="Arial" w:eastAsia="Arial" w:hAnsi="Arial"/>
                <w:sz w:val="13"/>
                <w:szCs w:val="13"/>
                <w:color w:val="auto"/>
              </w:rPr>
              <w:t>Unconsolidated real estate venture allocated share of above adjustments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4"/>
        </w:trPr>
        <w:tc>
          <w:tcPr>
            <w:tcW w:w="6780" w:type="dxa"/>
            <w:vAlign w:val="bottom"/>
          </w:tcPr>
          <w:p>
            <w:pPr>
              <w:spacing w:after="0" w:line="134" w:lineRule="exact"/>
              <w:rPr>
                <w:sz w:val="20"/>
                <w:szCs w:val="20"/>
                <w:color w:val="auto"/>
              </w:rPr>
            </w:pPr>
            <w:r>
              <w:rPr>
                <w:rFonts w:ascii="Arial" w:cs="Arial" w:eastAsia="Arial" w:hAnsi="Arial"/>
                <w:sz w:val="13"/>
                <w:szCs w:val="13"/>
                <w:b w:val="1"/>
                <w:bCs w:val="1"/>
                <w:color w:val="auto"/>
              </w:rPr>
              <w:t>Cash Available for Distribution (CAD)</w:t>
            </w:r>
          </w:p>
        </w:tc>
        <w:tc>
          <w:tcPr>
            <w:tcW w:w="21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$32,153</w:t>
            </w:r>
          </w:p>
        </w:tc>
        <w:tc>
          <w:tcPr>
            <w:tcW w:w="2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3"/>
                <w:szCs w:val="13"/>
                <w:color w:val="auto"/>
              </w:rPr>
              <w:t>$31,145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6780" w:type="dxa"/>
            <w:vAlign w:val="bottom"/>
          </w:tcPr>
          <w:p>
            <w:pPr>
              <w:spacing w:after="0"/>
              <w:rPr>
                <w:sz w:val="20"/>
                <w:szCs w:val="20"/>
                <w:color w:val="auto"/>
              </w:rPr>
            </w:pPr>
            <w:r>
              <w:rPr>
                <w:rFonts w:ascii="Arial" w:cs="Arial" w:eastAsia="Arial" w:hAnsi="Arial"/>
                <w:sz w:val="13"/>
                <w:szCs w:val="13"/>
                <w:color w:val="auto"/>
              </w:rPr>
              <w:t>Weighted average common shares outstanding - fully diluted basis</w:t>
            </w:r>
          </w:p>
        </w:tc>
        <w:tc>
          <w:tcPr>
            <w:tcW w:w="2140" w:type="dxa"/>
            <w:vAlign w:val="bottom"/>
          </w:tcPr>
          <w:p>
            <w:pPr>
              <w:jc w:val="right"/>
              <w:spacing w:after="0"/>
              <w:rPr>
                <w:sz w:val="20"/>
                <w:szCs w:val="20"/>
                <w:color w:val="auto"/>
              </w:rPr>
            </w:pPr>
            <w:r>
              <w:rPr>
                <w:rFonts w:ascii="Arial" w:cs="Arial" w:eastAsia="Arial" w:hAnsi="Arial"/>
                <w:sz w:val="13"/>
                <w:szCs w:val="13"/>
                <w:color w:val="auto"/>
              </w:rPr>
              <w:t>47,996,434</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45,420,667</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25" w:name="page26"/>
    <w:bookmarkEnd w:id="25"/>
    <w:p>
      <w:pPr>
        <w:ind w:left="8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Unconsolidated Real Estate Venture</w:t>
      </w:r>
    </w:p>
    <w:p>
      <w:pPr>
        <w:spacing w:after="0" w:line="31" w:lineRule="exact"/>
        <w:rPr>
          <w:sz w:val="20"/>
          <w:szCs w:val="20"/>
          <w:color w:val="auto"/>
        </w:rPr>
      </w:pPr>
    </w:p>
    <w:p>
      <w:pPr>
        <w:ind w:left="8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364" w:lineRule="exact"/>
        <w:rPr>
          <w:sz w:val="20"/>
          <w:szCs w:val="20"/>
          <w:color w:val="auto"/>
        </w:rPr>
      </w:pPr>
    </w:p>
    <w:tbl>
      <w:tblPr>
        <w:tblLayout w:type="fixed"/>
        <w:tblInd w:w="5" w:type="dxa"/>
        <w:tblCellMar>
          <w:top w:w="0" w:type="dxa"/>
          <w:left w:w="0" w:type="dxa"/>
          <w:bottom w:w="0" w:type="dxa"/>
          <w:right w:w="0" w:type="dxa"/>
        </w:tblCellMar>
      </w:tblPr>
      <w:tr>
        <w:trPr>
          <w:trHeight w:val="228"/>
        </w:trPr>
        <w:tc>
          <w:tcPr>
            <w:tcW w:w="6000" w:type="dxa"/>
            <w:vAlign w:val="bottom"/>
            <w:gridSpan w:val="2"/>
          </w:tcPr>
          <w:p>
            <w:pPr>
              <w:spacing w:after="0"/>
              <w:rPr>
                <w:sz w:val="20"/>
                <w:szCs w:val="20"/>
                <w:color w:val="auto"/>
              </w:rPr>
            </w:pPr>
            <w:r>
              <w:rPr>
                <w:rFonts w:ascii="Arial" w:cs="Arial" w:eastAsia="Arial" w:hAnsi="Arial"/>
                <w:sz w:val="13"/>
                <w:szCs w:val="13"/>
                <w:b w:val="1"/>
                <w:bCs w:val="1"/>
                <w:color w:val="auto"/>
              </w:rPr>
              <w:t>Balance Sheet Information</w:t>
            </w:r>
          </w:p>
        </w:tc>
        <w:tc>
          <w:tcPr>
            <w:tcW w:w="1980" w:type="dxa"/>
            <w:vAlign w:val="bottom"/>
            <w:tcBorders>
              <w:bottom w:val="single" w:sz="8" w:color="2B4B86"/>
            </w:tcBorders>
          </w:tcPr>
          <w:p>
            <w:pPr>
              <w:ind w:left="900"/>
              <w:spacing w:after="0"/>
              <w:rPr>
                <w:sz w:val="20"/>
                <w:szCs w:val="20"/>
                <w:color w:val="auto"/>
              </w:rPr>
            </w:pPr>
            <w:r>
              <w:rPr>
                <w:rFonts w:ascii="Arial" w:cs="Arial" w:eastAsia="Arial" w:hAnsi="Arial"/>
                <w:sz w:val="13"/>
                <w:szCs w:val="13"/>
                <w:b w:val="1"/>
                <w:bCs w:val="1"/>
                <w:color w:val="auto"/>
              </w:rPr>
              <w:t>Balance Sheet</w:t>
            </w:r>
          </w:p>
        </w:tc>
        <w:tc>
          <w:tcPr>
            <w:tcW w:w="720" w:type="dxa"/>
            <w:vAlign w:val="bottom"/>
            <w:tcBorders>
              <w:bottom w:val="single" w:sz="8" w:color="2B4B86"/>
            </w:tcBorders>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Borders>
              <w:bottom w:val="single" w:sz="8" w:color="2B4B86"/>
            </w:tcBorders>
          </w:tcPr>
          <w:p>
            <w:pPr>
              <w:jc w:val="right"/>
              <w:ind w:right="537"/>
              <w:spacing w:after="0"/>
              <w:rPr>
                <w:sz w:val="20"/>
                <w:szCs w:val="20"/>
                <w:color w:val="auto"/>
              </w:rPr>
            </w:pPr>
            <w:r>
              <w:rPr>
                <w:rFonts w:ascii="Arial" w:cs="Arial" w:eastAsia="Arial" w:hAnsi="Arial"/>
                <w:sz w:val="13"/>
                <w:szCs w:val="13"/>
                <w:b w:val="1"/>
                <w:bCs w:val="1"/>
                <w:color w:val="auto"/>
              </w:rPr>
              <w:t>Easterly's Share</w:t>
            </w:r>
            <w:r>
              <w:rPr>
                <w:rFonts w:ascii="Arial" w:cs="Arial" w:eastAsia="Arial" w:hAnsi="Arial"/>
                <w:sz w:val="16"/>
                <w:szCs w:val="16"/>
                <w:b w:val="1"/>
                <w:bCs w:val="1"/>
                <w:color w:val="auto"/>
                <w:vertAlign w:val="superscript"/>
              </w:rPr>
              <w:t>(2)</w:t>
            </w:r>
          </w:p>
        </w:tc>
      </w:tr>
      <w:tr>
        <w:trPr>
          <w:trHeight w:val="149"/>
        </w:trPr>
        <w:tc>
          <w:tcPr>
            <w:tcW w:w="1580" w:type="dxa"/>
            <w:vAlign w:val="bottom"/>
            <w:tcBorders>
              <w:top w:val="single" w:sz="8" w:color="auto"/>
            </w:tcBorders>
          </w:tcPr>
          <w:p>
            <w:pPr>
              <w:spacing w:after="0"/>
              <w:rPr>
                <w:sz w:val="12"/>
                <w:szCs w:val="12"/>
                <w:color w:val="auto"/>
              </w:rPr>
            </w:pPr>
          </w:p>
        </w:tc>
        <w:tc>
          <w:tcPr>
            <w:tcW w:w="4420" w:type="dxa"/>
            <w:vAlign w:val="bottom"/>
          </w:tcPr>
          <w:p>
            <w:pPr>
              <w:spacing w:after="0"/>
              <w:rPr>
                <w:sz w:val="12"/>
                <w:szCs w:val="12"/>
                <w:color w:val="auto"/>
              </w:rPr>
            </w:pPr>
          </w:p>
        </w:tc>
        <w:tc>
          <w:tcPr>
            <w:tcW w:w="1980" w:type="dxa"/>
            <w:vAlign w:val="bottom"/>
            <w:tcBorders>
              <w:top w:val="single" w:sz="8" w:color="2B4B86"/>
              <w:bottom w:val="single" w:sz="8" w:color="2B4B86"/>
            </w:tcBorders>
          </w:tcPr>
          <w:p>
            <w:pPr>
              <w:ind w:left="900"/>
              <w:spacing w:after="0" w:line="134" w:lineRule="exact"/>
              <w:rPr>
                <w:sz w:val="20"/>
                <w:szCs w:val="20"/>
                <w:color w:val="auto"/>
              </w:rPr>
            </w:pPr>
            <w:r>
              <w:rPr>
                <w:rFonts w:ascii="Arial" w:cs="Arial" w:eastAsia="Arial" w:hAnsi="Arial"/>
                <w:sz w:val="13"/>
                <w:szCs w:val="13"/>
                <w:b w:val="1"/>
                <w:bCs w:val="1"/>
                <w:color w:val="auto"/>
              </w:rPr>
              <w:t>March 31, 2026</w:t>
            </w:r>
          </w:p>
        </w:tc>
        <w:tc>
          <w:tcPr>
            <w:tcW w:w="720" w:type="dxa"/>
            <w:vAlign w:val="bottom"/>
            <w:tcBorders>
              <w:top w:val="single" w:sz="8" w:color="2B4B86"/>
              <w:bottom w:val="single" w:sz="8" w:color="2B4B86"/>
            </w:tcBorders>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tcBorders>
              <w:top w:val="single" w:sz="8" w:color="2B4B86"/>
              <w:bottom w:val="single" w:sz="8" w:color="2B4B86"/>
            </w:tcBorders>
          </w:tcPr>
          <w:p>
            <w:pPr>
              <w:jc w:val="right"/>
              <w:ind w:right="617"/>
              <w:spacing w:after="0" w:line="134" w:lineRule="exact"/>
              <w:rPr>
                <w:sz w:val="20"/>
                <w:szCs w:val="20"/>
                <w:color w:val="auto"/>
              </w:rPr>
            </w:pPr>
            <w:r>
              <w:rPr>
                <w:rFonts w:ascii="Arial" w:cs="Arial" w:eastAsia="Arial" w:hAnsi="Arial"/>
                <w:sz w:val="13"/>
                <w:szCs w:val="13"/>
                <w:b w:val="1"/>
                <w:bCs w:val="1"/>
                <w:color w:val="auto"/>
              </w:rPr>
              <w:t>March 31, 2026</w:t>
            </w:r>
          </w:p>
        </w:tc>
      </w:tr>
      <w:tr>
        <w:trPr>
          <w:trHeight w:val="276"/>
        </w:trPr>
        <w:tc>
          <w:tcPr>
            <w:tcW w:w="6000" w:type="dxa"/>
            <w:vAlign w:val="bottom"/>
            <w:gridSpan w:val="2"/>
          </w:tcPr>
          <w:p>
            <w:pPr>
              <w:spacing w:after="0"/>
              <w:rPr>
                <w:sz w:val="20"/>
                <w:szCs w:val="20"/>
                <w:color w:val="auto"/>
              </w:rPr>
            </w:pPr>
            <w:r>
              <w:rPr>
                <w:rFonts w:ascii="Arial" w:cs="Arial" w:eastAsia="Arial" w:hAnsi="Arial"/>
                <w:sz w:val="13"/>
                <w:szCs w:val="13"/>
                <w:color w:val="auto"/>
              </w:rPr>
              <w:t>Real estate properties - net</w:t>
            </w:r>
          </w:p>
        </w:tc>
        <w:tc>
          <w:tcPr>
            <w:tcW w:w="19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$486,725</w:t>
            </w:r>
          </w:p>
        </w:tc>
        <w:tc>
          <w:tcPr>
            <w:tcW w:w="2560" w:type="dxa"/>
            <w:vAlign w:val="bottom"/>
            <w:gridSpan w:val="2"/>
          </w:tcPr>
          <w:p>
            <w:pPr>
              <w:jc w:val="right"/>
              <w:spacing w:after="0"/>
              <w:rPr>
                <w:sz w:val="20"/>
                <w:szCs w:val="20"/>
                <w:color w:val="auto"/>
              </w:rPr>
            </w:pPr>
            <w:r>
              <w:rPr>
                <w:rFonts w:ascii="Arial" w:cs="Arial" w:eastAsia="Arial" w:hAnsi="Arial"/>
                <w:sz w:val="13"/>
                <w:szCs w:val="13"/>
                <w:color w:val="auto"/>
              </w:rPr>
              <w:t>$257,964</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3"/>
                <w:szCs w:val="13"/>
                <w:color w:val="auto"/>
              </w:rPr>
              <w:t>Total assets</w:t>
            </w:r>
          </w:p>
        </w:tc>
        <w:tc>
          <w:tcPr>
            <w:tcW w:w="19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584,537</w:t>
            </w:r>
          </w:p>
        </w:tc>
        <w:tc>
          <w:tcPr>
            <w:tcW w:w="2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309,804</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3"/>
                <w:szCs w:val="13"/>
                <w:color w:val="auto"/>
              </w:rPr>
              <w:t>Total liabilities</w:t>
            </w:r>
          </w:p>
        </w:tc>
        <w:tc>
          <w:tcPr>
            <w:tcW w:w="19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11,402</w:t>
            </w:r>
          </w:p>
        </w:tc>
        <w:tc>
          <w:tcPr>
            <w:tcW w:w="2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6,043</w:t>
            </w:r>
          </w:p>
        </w:tc>
      </w:tr>
      <w:tr>
        <w:trPr>
          <w:trHeight w:val="142"/>
        </w:trPr>
        <w:tc>
          <w:tcPr>
            <w:tcW w:w="6000" w:type="dxa"/>
            <w:vAlign w:val="bottom"/>
            <w:gridSpan w:val="2"/>
          </w:tcPr>
          <w:p>
            <w:pPr>
              <w:spacing w:after="0" w:line="142" w:lineRule="exact"/>
              <w:rPr>
                <w:sz w:val="20"/>
                <w:szCs w:val="20"/>
                <w:color w:val="auto"/>
              </w:rPr>
            </w:pPr>
            <w:r>
              <w:rPr>
                <w:rFonts w:ascii="Arial" w:cs="Arial" w:eastAsia="Arial" w:hAnsi="Arial"/>
                <w:sz w:val="13"/>
                <w:szCs w:val="13"/>
                <w:color w:val="auto"/>
              </w:rPr>
              <w:t>Total preferred stockholders' equity</w:t>
            </w:r>
          </w:p>
        </w:tc>
        <w:tc>
          <w:tcPr>
            <w:tcW w:w="19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125</w:t>
            </w:r>
          </w:p>
        </w:tc>
        <w:tc>
          <w:tcPr>
            <w:tcW w:w="25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66</w:t>
            </w:r>
          </w:p>
        </w:tc>
      </w:tr>
      <w:tr>
        <w:trPr>
          <w:trHeight w:val="136"/>
        </w:trPr>
        <w:tc>
          <w:tcPr>
            <w:tcW w:w="6000" w:type="dxa"/>
            <w:vAlign w:val="bottom"/>
            <w:gridSpan w:val="2"/>
          </w:tcPr>
          <w:p>
            <w:pPr>
              <w:spacing w:after="0" w:line="136" w:lineRule="exact"/>
              <w:rPr>
                <w:sz w:val="20"/>
                <w:szCs w:val="20"/>
                <w:color w:val="auto"/>
              </w:rPr>
            </w:pPr>
            <w:r>
              <w:rPr>
                <w:rFonts w:ascii="Arial" w:cs="Arial" w:eastAsia="Arial" w:hAnsi="Arial"/>
                <w:sz w:val="13"/>
                <w:szCs w:val="13"/>
                <w:color w:val="auto"/>
              </w:rPr>
              <w:t>Total common stockholders' equity</w:t>
            </w:r>
          </w:p>
        </w:tc>
        <w:tc>
          <w:tcPr>
            <w:tcW w:w="1980" w:type="dxa"/>
            <w:vAlign w:val="bottom"/>
          </w:tcPr>
          <w:p>
            <w:pPr>
              <w:spacing w:after="0"/>
              <w:rPr>
                <w:sz w:val="11"/>
                <w:szCs w:val="11"/>
                <w:color w:val="auto"/>
              </w:rPr>
            </w:pPr>
          </w:p>
        </w:tc>
        <w:tc>
          <w:tcPr>
            <w:tcW w:w="720" w:type="dxa"/>
            <w:vAlign w:val="bottom"/>
          </w:tcPr>
          <w:p>
            <w:pPr>
              <w:jc w:val="right"/>
              <w:spacing w:after="0" w:line="136" w:lineRule="exact"/>
              <w:rPr>
                <w:sz w:val="20"/>
                <w:szCs w:val="20"/>
                <w:color w:val="auto"/>
              </w:rPr>
            </w:pPr>
            <w:r>
              <w:rPr>
                <w:rFonts w:ascii="Arial" w:cs="Arial" w:eastAsia="Arial" w:hAnsi="Arial"/>
                <w:sz w:val="13"/>
                <w:szCs w:val="13"/>
                <w:color w:val="auto"/>
              </w:rPr>
              <w:t>573,010</w:t>
            </w:r>
          </w:p>
        </w:tc>
        <w:tc>
          <w:tcPr>
            <w:tcW w:w="2560" w:type="dxa"/>
            <w:vAlign w:val="bottom"/>
            <w:gridSpan w:val="2"/>
          </w:tcPr>
          <w:p>
            <w:pPr>
              <w:jc w:val="right"/>
              <w:spacing w:after="0" w:line="136" w:lineRule="exact"/>
              <w:rPr>
                <w:sz w:val="20"/>
                <w:szCs w:val="20"/>
                <w:color w:val="auto"/>
              </w:rPr>
            </w:pPr>
            <w:r>
              <w:rPr>
                <w:rFonts w:ascii="Arial" w:cs="Arial" w:eastAsia="Arial" w:hAnsi="Arial"/>
                <w:sz w:val="13"/>
                <w:szCs w:val="13"/>
                <w:color w:val="auto"/>
              </w:rPr>
              <w:t>303,695</w:t>
            </w:r>
          </w:p>
        </w:tc>
      </w:tr>
      <w:tr>
        <w:trPr>
          <w:trHeight w:val="155"/>
        </w:trPr>
        <w:tc>
          <w:tcPr>
            <w:tcW w:w="6000" w:type="dxa"/>
            <w:vAlign w:val="bottom"/>
            <w:gridSpan w:val="2"/>
          </w:tcPr>
          <w:p>
            <w:pPr>
              <w:spacing w:after="0" w:line="155" w:lineRule="exact"/>
              <w:rPr>
                <w:sz w:val="20"/>
                <w:szCs w:val="20"/>
                <w:color w:val="auto"/>
              </w:rPr>
            </w:pPr>
            <w:r>
              <w:rPr>
                <w:rFonts w:ascii="Arial" w:cs="Arial" w:eastAsia="Arial" w:hAnsi="Arial"/>
                <w:sz w:val="13"/>
                <w:szCs w:val="13"/>
                <w:color w:val="auto"/>
              </w:rPr>
              <w:t>Basis difference</w:t>
            </w:r>
            <w:r>
              <w:rPr>
                <w:rFonts w:ascii="Arial" w:cs="Arial" w:eastAsia="Arial" w:hAnsi="Arial"/>
                <w:sz w:val="16"/>
                <w:szCs w:val="16"/>
                <w:color w:val="auto"/>
                <w:vertAlign w:val="superscript"/>
              </w:rPr>
              <w:t>(1)</w:t>
            </w:r>
          </w:p>
        </w:tc>
        <w:tc>
          <w:tcPr>
            <w:tcW w:w="19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375</w:t>
            </w:r>
          </w:p>
        </w:tc>
      </w:tr>
      <w:tr>
        <w:trPr>
          <w:trHeight w:val="134"/>
        </w:trPr>
        <w:tc>
          <w:tcPr>
            <w:tcW w:w="6000" w:type="dxa"/>
            <w:vAlign w:val="bottom"/>
            <w:gridSpan w:val="2"/>
          </w:tcPr>
          <w:p>
            <w:pPr>
              <w:spacing w:after="0" w:line="134" w:lineRule="exact"/>
              <w:rPr>
                <w:sz w:val="20"/>
                <w:szCs w:val="20"/>
                <w:color w:val="auto"/>
              </w:rPr>
            </w:pPr>
            <w:r>
              <w:rPr>
                <w:rFonts w:ascii="Arial" w:cs="Arial" w:eastAsia="Arial" w:hAnsi="Arial"/>
                <w:sz w:val="13"/>
                <w:szCs w:val="13"/>
                <w:color w:val="auto"/>
              </w:rPr>
              <w:t>Total equity</w:t>
            </w:r>
          </w:p>
        </w:tc>
        <w:tc>
          <w:tcPr>
            <w:tcW w:w="19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$573,135</w:t>
            </w:r>
          </w:p>
        </w:tc>
        <w:tc>
          <w:tcPr>
            <w:tcW w:w="256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$304,070</w:t>
            </w:r>
          </w:p>
        </w:tc>
      </w:tr>
    </w:tbl>
    <w:p>
      <w:pPr>
        <w:spacing w:after="0" w:line="57" w:lineRule="exact"/>
        <w:rPr>
          <w:sz w:val="20"/>
          <w:szCs w:val="20"/>
          <w:color w:val="auto"/>
        </w:rPr>
      </w:pPr>
    </w:p>
    <w:p>
      <w:pPr>
        <w:ind w:left="125" w:hanging="125"/>
        <w:spacing w:after="0"/>
        <w:tabs>
          <w:tab w:leader="none" w:pos="125" w:val="left"/>
        </w:tabs>
        <w:numPr>
          <w:ilvl w:val="0"/>
          <w:numId w:val="7"/>
        </w:numPr>
        <w:rPr>
          <w:rFonts w:ascii="Arial" w:cs="Arial" w:eastAsia="Arial" w:hAnsi="Arial"/>
          <w:sz w:val="15"/>
          <w:szCs w:val="15"/>
          <w:color w:val="53565A"/>
          <w:vertAlign w:val="superscript"/>
        </w:rPr>
      </w:pPr>
      <w:r>
        <w:rPr>
          <w:rFonts w:ascii="Arial" w:cs="Arial" w:eastAsia="Arial" w:hAnsi="Arial"/>
          <w:sz w:val="11"/>
          <w:szCs w:val="11"/>
          <w:color w:val="53565A"/>
        </w:rPr>
        <w:t>This amount represents the aggregate difference between the Company’s historical cost basis and basis reflected at the joint venture level.</w:t>
      </w:r>
    </w:p>
    <w:p>
      <w:pPr>
        <w:spacing w:after="0" w:line="52" w:lineRule="exact"/>
        <w:rPr>
          <w:rFonts w:ascii="Arial" w:cs="Arial" w:eastAsia="Arial" w:hAnsi="Arial"/>
          <w:sz w:val="15"/>
          <w:szCs w:val="15"/>
          <w:color w:val="53565A"/>
          <w:vertAlign w:val="superscript"/>
        </w:rPr>
      </w:pPr>
    </w:p>
    <w:p>
      <w:pPr>
        <w:ind w:left="125" w:hanging="125"/>
        <w:spacing w:after="0"/>
        <w:tabs>
          <w:tab w:leader="none" w:pos="125" w:val="left"/>
        </w:tabs>
        <w:numPr>
          <w:ilvl w:val="0"/>
          <w:numId w:val="7"/>
        </w:numPr>
        <w:rPr>
          <w:rFonts w:ascii="Arial" w:cs="Arial" w:eastAsia="Arial" w:hAnsi="Arial"/>
          <w:sz w:val="15"/>
          <w:szCs w:val="15"/>
          <w:color w:val="53565A"/>
          <w:vertAlign w:val="superscript"/>
        </w:rPr>
      </w:pPr>
      <w:r>
        <w:rPr>
          <w:rFonts w:ascii="Arial" w:cs="Arial" w:eastAsia="Arial" w:hAnsi="Arial"/>
          <w:sz w:val="11"/>
          <w:szCs w:val="11"/>
          <w:color w:val="53565A"/>
        </w:rPr>
        <w:t>The Company owns 53.0% of the properties through the unconsolidated joint venture.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bookmarkStart w:id="26" w:name="page27"/>
    <w:bookmarkEnd w:id="26"/>
    <w:p>
      <w:pPr>
        <w:ind w:left="8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Unconsolidated Real Estate Venture (Cont.)</w:t>
      </w:r>
    </w:p>
    <w:p>
      <w:pPr>
        <w:spacing w:after="0" w:line="31" w:lineRule="exact"/>
        <w:rPr>
          <w:sz w:val="20"/>
          <w:szCs w:val="20"/>
          <w:color w:val="auto"/>
        </w:rPr>
      </w:pPr>
    </w:p>
    <w:p>
      <w:pPr>
        <w:ind w:left="8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p>
      <w:pPr>
        <w:spacing w:after="0" w:line="285" w:lineRule="exact"/>
        <w:rPr>
          <w:sz w:val="20"/>
          <w:szCs w:val="20"/>
          <w:color w:val="auto"/>
        </w:rPr>
      </w:pPr>
    </w:p>
    <w:p>
      <w:pPr>
        <w:ind w:left="65"/>
        <w:spacing w:after="0"/>
        <w:rPr>
          <w:sz w:val="20"/>
          <w:szCs w:val="20"/>
          <w:color w:val="auto"/>
        </w:rPr>
      </w:pPr>
      <w:r>
        <w:rPr>
          <w:rFonts w:ascii="Arial" w:cs="Arial" w:eastAsia="Arial" w:hAnsi="Arial"/>
          <w:sz w:val="13"/>
          <w:szCs w:val="13"/>
          <w:b w:val="1"/>
          <w:bCs w:val="1"/>
          <w:u w:val="single" w:color="auto"/>
          <w:color w:val="auto"/>
        </w:rPr>
        <w:t>Income Statement Information</w:t>
      </w:r>
    </w:p>
    <w:p>
      <w:pPr>
        <w:spacing w:after="0" w:line="170"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Revenues</w:t>
      </w:r>
    </w:p>
    <w:p>
      <w:pPr>
        <w:spacing w:after="0" w:line="4" w:lineRule="exact"/>
        <w:rPr>
          <w:sz w:val="20"/>
          <w:szCs w:val="20"/>
          <w:color w:val="auto"/>
        </w:rPr>
      </w:pPr>
    </w:p>
    <w:p>
      <w:pPr>
        <w:ind w:left="105"/>
        <w:spacing w:after="0"/>
        <w:rPr>
          <w:sz w:val="20"/>
          <w:szCs w:val="20"/>
          <w:color w:val="auto"/>
        </w:rPr>
      </w:pPr>
      <w:r>
        <w:rPr>
          <w:rFonts w:ascii="Arial" w:cs="Arial" w:eastAsia="Arial" w:hAnsi="Arial"/>
          <w:sz w:val="13"/>
          <w:szCs w:val="13"/>
          <w:color w:val="auto"/>
        </w:rPr>
        <w:t>Rental income</w:t>
      </w:r>
    </w:p>
    <w:p>
      <w:pPr>
        <w:spacing w:after="0" w:line="4" w:lineRule="exact"/>
        <w:rPr>
          <w:sz w:val="20"/>
          <w:szCs w:val="20"/>
          <w:color w:val="auto"/>
        </w:rPr>
      </w:pPr>
    </w:p>
    <w:p>
      <w:pPr>
        <w:ind w:left="105"/>
        <w:spacing w:after="0"/>
        <w:rPr>
          <w:sz w:val="20"/>
          <w:szCs w:val="20"/>
          <w:color w:val="auto"/>
        </w:rPr>
      </w:pPr>
      <w:r>
        <w:rPr>
          <w:rFonts w:ascii="Arial" w:cs="Arial" w:eastAsia="Arial" w:hAnsi="Arial"/>
          <w:sz w:val="13"/>
          <w:szCs w:val="13"/>
          <w:color w:val="auto"/>
        </w:rPr>
        <w:t>Other income</w:t>
      </w:r>
    </w:p>
    <w:p>
      <w:pPr>
        <w:ind w:left="165"/>
        <w:spacing w:after="0" w:line="234" w:lineRule="auto"/>
        <w:rPr>
          <w:sz w:val="20"/>
          <w:szCs w:val="20"/>
          <w:color w:val="auto"/>
        </w:rPr>
      </w:pPr>
      <w:r>
        <w:rPr>
          <w:rFonts w:ascii="Arial" w:cs="Arial" w:eastAsia="Arial" w:hAnsi="Arial"/>
          <w:sz w:val="13"/>
          <w:szCs w:val="13"/>
          <w:b w:val="1"/>
          <w:bCs w:val="1"/>
          <w:color w:val="auto"/>
        </w:rPr>
        <w:t>Total Revenues</w:t>
      </w:r>
    </w:p>
    <w:p>
      <w:pPr>
        <w:ind w:left="65"/>
        <w:spacing w:after="0" w:line="228" w:lineRule="auto"/>
        <w:rPr>
          <w:sz w:val="20"/>
          <w:szCs w:val="20"/>
          <w:color w:val="auto"/>
        </w:rPr>
      </w:pPr>
      <w:r>
        <w:rPr>
          <w:rFonts w:ascii="Arial" w:cs="Arial" w:eastAsia="Arial" w:hAnsi="Arial"/>
          <w:sz w:val="13"/>
          <w:szCs w:val="13"/>
          <w:b w:val="1"/>
          <w:bCs w:val="1"/>
          <w:color w:val="auto"/>
        </w:rPr>
        <w:t>Operating expenses</w:t>
      </w:r>
    </w:p>
    <w:p>
      <w:pPr>
        <w:ind w:left="105"/>
        <w:spacing w:after="0" w:line="228" w:lineRule="auto"/>
        <w:rPr>
          <w:sz w:val="20"/>
          <w:szCs w:val="20"/>
          <w:color w:val="auto"/>
        </w:rPr>
      </w:pPr>
      <w:r>
        <w:rPr>
          <w:rFonts w:ascii="Arial" w:cs="Arial" w:eastAsia="Arial" w:hAnsi="Arial"/>
          <w:sz w:val="13"/>
          <w:szCs w:val="13"/>
          <w:color w:val="auto"/>
        </w:rPr>
        <w:t>Property operating</w:t>
      </w:r>
    </w:p>
    <w:p>
      <w:pPr>
        <w:ind w:left="105"/>
        <w:spacing w:after="0" w:line="228" w:lineRule="auto"/>
        <w:rPr>
          <w:sz w:val="20"/>
          <w:szCs w:val="20"/>
          <w:color w:val="auto"/>
        </w:rPr>
      </w:pPr>
      <w:r>
        <w:rPr>
          <w:rFonts w:ascii="Arial" w:cs="Arial" w:eastAsia="Arial" w:hAnsi="Arial"/>
          <w:sz w:val="13"/>
          <w:szCs w:val="13"/>
          <w:color w:val="auto"/>
        </w:rPr>
        <w:t>Real estate taxes</w:t>
      </w:r>
    </w:p>
    <w:p>
      <w:pPr>
        <w:ind w:left="105"/>
        <w:spacing w:after="0" w:line="228" w:lineRule="auto"/>
        <w:rPr>
          <w:sz w:val="20"/>
          <w:szCs w:val="20"/>
          <w:color w:val="auto"/>
        </w:rPr>
      </w:pPr>
      <w:r>
        <w:rPr>
          <w:rFonts w:ascii="Arial" w:cs="Arial" w:eastAsia="Arial" w:hAnsi="Arial"/>
          <w:sz w:val="13"/>
          <w:szCs w:val="13"/>
          <w:color w:val="auto"/>
        </w:rPr>
        <w:t>Depreciation and amortization</w:t>
      </w:r>
    </w:p>
    <w:p>
      <w:pPr>
        <w:ind w:left="105"/>
        <w:spacing w:after="0"/>
        <w:rPr>
          <w:sz w:val="20"/>
          <w:szCs w:val="20"/>
          <w:color w:val="auto"/>
        </w:rPr>
      </w:pPr>
      <w:r>
        <w:rPr>
          <w:rFonts w:ascii="Arial" w:cs="Arial" w:eastAsia="Arial" w:hAnsi="Arial"/>
          <w:sz w:val="13"/>
          <w:szCs w:val="13"/>
          <w:color w:val="auto"/>
        </w:rPr>
        <w:t>Asset management fees</w:t>
      </w:r>
    </w:p>
    <w:p>
      <w:pPr>
        <w:ind w:left="105"/>
        <w:spacing w:after="0" w:line="234" w:lineRule="auto"/>
        <w:rPr>
          <w:sz w:val="20"/>
          <w:szCs w:val="20"/>
          <w:color w:val="auto"/>
        </w:rPr>
      </w:pPr>
      <w:r>
        <w:rPr>
          <w:rFonts w:ascii="Arial" w:cs="Arial" w:eastAsia="Arial" w:hAnsi="Arial"/>
          <w:sz w:val="13"/>
          <w:szCs w:val="13"/>
          <w:color w:val="auto"/>
        </w:rPr>
        <w:t>Corporate general and administrative</w:t>
      </w:r>
    </w:p>
    <w:p>
      <w:pPr>
        <w:ind w:left="165"/>
        <w:spacing w:after="0" w:line="228" w:lineRule="auto"/>
        <w:rPr>
          <w:sz w:val="20"/>
          <w:szCs w:val="20"/>
          <w:color w:val="auto"/>
        </w:rPr>
      </w:pPr>
      <w:r>
        <w:rPr>
          <w:rFonts w:ascii="Arial" w:cs="Arial" w:eastAsia="Arial" w:hAnsi="Arial"/>
          <w:sz w:val="13"/>
          <w:szCs w:val="13"/>
          <w:b w:val="1"/>
          <w:bCs w:val="1"/>
          <w:color w:val="auto"/>
        </w:rPr>
        <w:t>Total expenses</w:t>
      </w:r>
    </w:p>
    <w:p>
      <w:pPr>
        <w:ind w:left="65"/>
        <w:spacing w:after="0" w:line="228" w:lineRule="auto"/>
        <w:rPr>
          <w:sz w:val="20"/>
          <w:szCs w:val="20"/>
          <w:color w:val="auto"/>
        </w:rPr>
      </w:pPr>
      <w:r>
        <w:rPr>
          <w:rFonts w:ascii="Arial" w:cs="Arial" w:eastAsia="Arial" w:hAnsi="Arial"/>
          <w:sz w:val="13"/>
          <w:szCs w:val="13"/>
          <w:b w:val="1"/>
          <w:bCs w:val="1"/>
          <w:color w:val="auto"/>
        </w:rPr>
        <w:t>Other expenses</w:t>
      </w:r>
    </w:p>
    <w:p>
      <w:pPr>
        <w:ind w:left="105"/>
        <w:spacing w:after="0"/>
        <w:rPr>
          <w:sz w:val="20"/>
          <w:szCs w:val="20"/>
          <w:color w:val="auto"/>
        </w:rPr>
      </w:pPr>
      <w:r>
        <w:rPr>
          <w:rFonts w:ascii="Arial" w:cs="Arial" w:eastAsia="Arial" w:hAnsi="Arial"/>
          <w:sz w:val="13"/>
          <w:szCs w:val="13"/>
          <w:color w:val="auto"/>
        </w:rPr>
        <w:t>Interest expense</w:t>
      </w:r>
    </w:p>
    <w:p>
      <w:pPr>
        <w:spacing w:after="0" w:line="28"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Net income</w:t>
      </w:r>
    </w:p>
    <w:p>
      <w:pPr>
        <w:spacing w:after="0" w:line="134" w:lineRule="exact"/>
        <w:rPr>
          <w:sz w:val="20"/>
          <w:szCs w:val="20"/>
          <w:color w:val="auto"/>
        </w:rPr>
      </w:pPr>
    </w:p>
    <w:p>
      <w:pPr>
        <w:ind w:left="105"/>
        <w:spacing w:after="0"/>
        <w:rPr>
          <w:sz w:val="20"/>
          <w:szCs w:val="20"/>
          <w:color w:val="auto"/>
        </w:rPr>
      </w:pPr>
      <w:r>
        <w:rPr>
          <w:rFonts w:ascii="Arial" w:cs="Arial" w:eastAsia="Arial" w:hAnsi="Arial"/>
          <w:sz w:val="13"/>
          <w:szCs w:val="13"/>
          <w:color w:val="auto"/>
        </w:rPr>
        <w:t>Depreciation and amortization</w:t>
      </w:r>
    </w:p>
    <w:p>
      <w:pPr>
        <w:ind w:left="105"/>
        <w:spacing w:after="0" w:line="234" w:lineRule="auto"/>
        <w:rPr>
          <w:sz w:val="20"/>
          <w:szCs w:val="20"/>
          <w:color w:val="auto"/>
        </w:rPr>
      </w:pPr>
      <w:r>
        <w:rPr>
          <w:rFonts w:ascii="Arial" w:cs="Arial" w:eastAsia="Arial" w:hAnsi="Arial"/>
          <w:sz w:val="13"/>
          <w:szCs w:val="13"/>
          <w:color w:val="auto"/>
        </w:rPr>
        <w:t>Interest expense</w:t>
      </w:r>
    </w:p>
    <w:p>
      <w:pPr>
        <w:spacing w:after="0" w:line="1" w:lineRule="exact"/>
        <w:rPr>
          <w:sz w:val="20"/>
          <w:szCs w:val="20"/>
          <w:color w:val="auto"/>
        </w:rPr>
      </w:pPr>
    </w:p>
    <w:p>
      <w:pPr>
        <w:ind w:left="105"/>
        <w:spacing w:after="0"/>
        <w:rPr>
          <w:sz w:val="20"/>
          <w:szCs w:val="20"/>
          <w:color w:val="auto"/>
        </w:rPr>
      </w:pPr>
      <w:r>
        <w:rPr>
          <w:rFonts w:ascii="Arial" w:cs="Arial" w:eastAsia="Arial" w:hAnsi="Arial"/>
          <w:sz w:val="13"/>
          <w:szCs w:val="13"/>
          <w:color w:val="auto"/>
        </w:rPr>
        <w:t>Tax expense</w:t>
      </w:r>
    </w:p>
    <w:p>
      <w:pPr>
        <w:spacing w:after="0" w:line="28"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EBITDA</w:t>
      </w:r>
    </w:p>
    <w:p>
      <w:pPr>
        <w:spacing w:after="0" w:line="134"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Net income</w:t>
      </w:r>
    </w:p>
    <w:p>
      <w:pPr>
        <w:spacing w:after="0" w:line="4" w:lineRule="exact"/>
        <w:rPr>
          <w:sz w:val="20"/>
          <w:szCs w:val="20"/>
          <w:color w:val="auto"/>
        </w:rPr>
      </w:pPr>
    </w:p>
    <w:p>
      <w:pPr>
        <w:ind w:left="105"/>
        <w:spacing w:after="0"/>
        <w:rPr>
          <w:sz w:val="20"/>
          <w:szCs w:val="20"/>
          <w:color w:val="auto"/>
        </w:rPr>
      </w:pPr>
      <w:r>
        <w:rPr>
          <w:rFonts w:ascii="Arial" w:cs="Arial" w:eastAsia="Arial" w:hAnsi="Arial"/>
          <w:sz w:val="13"/>
          <w:szCs w:val="13"/>
          <w:color w:val="auto"/>
        </w:rPr>
        <w:t>Depreciation of real estate assets</w:t>
      </w:r>
    </w:p>
    <w:p>
      <w:pPr>
        <w:spacing w:after="0" w:line="28"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FFO</w:t>
      </w:r>
    </w:p>
    <w:p>
      <w:pPr>
        <w:spacing w:after="0" w:line="4"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Adjustments to FFO:</w:t>
      </w:r>
    </w:p>
    <w:p>
      <w:pPr>
        <w:spacing w:after="0" w:line="4" w:lineRule="exact"/>
        <w:rPr>
          <w:sz w:val="20"/>
          <w:szCs w:val="20"/>
          <w:color w:val="auto"/>
        </w:rPr>
      </w:pPr>
    </w:p>
    <w:p>
      <w:pPr>
        <w:ind w:left="105"/>
        <w:spacing w:after="0"/>
        <w:rPr>
          <w:sz w:val="20"/>
          <w:szCs w:val="20"/>
          <w:color w:val="auto"/>
        </w:rPr>
      </w:pPr>
      <w:r>
        <w:rPr>
          <w:rFonts w:ascii="Arial" w:cs="Arial" w:eastAsia="Arial" w:hAnsi="Arial"/>
          <w:sz w:val="13"/>
          <w:szCs w:val="13"/>
          <w:color w:val="auto"/>
        </w:rPr>
        <w:t>Depreciation of non-real estate assets</w:t>
      </w:r>
    </w:p>
    <w:p>
      <w:pPr>
        <w:spacing w:after="0" w:line="16"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Core FFO</w:t>
      </w:r>
    </w:p>
    <w:p>
      <w:pPr>
        <w:ind w:left="65"/>
        <w:spacing w:after="0" w:line="234" w:lineRule="auto"/>
        <w:rPr>
          <w:sz w:val="20"/>
          <w:szCs w:val="20"/>
          <w:color w:val="auto"/>
        </w:rPr>
      </w:pPr>
      <w:r>
        <w:rPr>
          <w:rFonts w:ascii="Arial" w:cs="Arial" w:eastAsia="Arial" w:hAnsi="Arial"/>
          <w:sz w:val="13"/>
          <w:szCs w:val="13"/>
          <w:b w:val="1"/>
          <w:bCs w:val="1"/>
          <w:color w:val="auto"/>
        </w:rPr>
        <w:t>Adjustments to Core FFO:</w:t>
      </w:r>
    </w:p>
    <w:p>
      <w:pPr>
        <w:ind w:left="105"/>
        <w:spacing w:after="0" w:line="228" w:lineRule="auto"/>
        <w:rPr>
          <w:sz w:val="20"/>
          <w:szCs w:val="20"/>
          <w:color w:val="auto"/>
        </w:rPr>
      </w:pPr>
      <w:r>
        <w:rPr>
          <w:rFonts w:ascii="Arial" w:cs="Arial" w:eastAsia="Arial" w:hAnsi="Arial"/>
          <w:sz w:val="13"/>
          <w:szCs w:val="13"/>
          <w:color w:val="auto"/>
        </w:rPr>
        <w:t>Straight-line rent and other non-cash adjustments</w:t>
      </w:r>
    </w:p>
    <w:p>
      <w:pPr>
        <w:ind w:left="105"/>
        <w:spacing w:after="0" w:line="228" w:lineRule="auto"/>
        <w:rPr>
          <w:sz w:val="20"/>
          <w:szCs w:val="20"/>
          <w:color w:val="auto"/>
        </w:rPr>
      </w:pPr>
      <w:r>
        <w:rPr>
          <w:rFonts w:ascii="Arial" w:cs="Arial" w:eastAsia="Arial" w:hAnsi="Arial"/>
          <w:sz w:val="13"/>
          <w:szCs w:val="13"/>
          <w:color w:val="auto"/>
        </w:rPr>
        <w:t>Non-cash interest expense</w:t>
      </w:r>
    </w:p>
    <w:p>
      <w:pPr>
        <w:ind w:left="105"/>
        <w:spacing w:after="0"/>
        <w:rPr>
          <w:sz w:val="20"/>
          <w:szCs w:val="20"/>
          <w:color w:val="auto"/>
        </w:rPr>
      </w:pPr>
      <w:r>
        <w:rPr>
          <w:rFonts w:ascii="Arial" w:cs="Arial" w:eastAsia="Arial" w:hAnsi="Arial"/>
          <w:sz w:val="13"/>
          <w:szCs w:val="13"/>
          <w:color w:val="auto"/>
        </w:rPr>
        <w:t>Maintenance capital expenditures</w:t>
      </w:r>
    </w:p>
    <w:p>
      <w:pPr>
        <w:spacing w:after="0" w:line="28" w:lineRule="exact"/>
        <w:rPr>
          <w:sz w:val="20"/>
          <w:szCs w:val="20"/>
          <w:color w:val="auto"/>
        </w:rPr>
      </w:pPr>
    </w:p>
    <w:p>
      <w:pPr>
        <w:ind w:left="65"/>
        <w:spacing w:after="0"/>
        <w:rPr>
          <w:sz w:val="20"/>
          <w:szCs w:val="20"/>
          <w:color w:val="auto"/>
        </w:rPr>
      </w:pPr>
      <w:r>
        <w:rPr>
          <w:rFonts w:ascii="Arial" w:cs="Arial" w:eastAsia="Arial" w:hAnsi="Arial"/>
          <w:sz w:val="13"/>
          <w:szCs w:val="13"/>
          <w:b w:val="1"/>
          <w:bCs w:val="1"/>
          <w:color w:val="auto"/>
        </w:rPr>
        <w:t>Cash Available for Distribution (CAD)</w:t>
      </w:r>
    </w:p>
    <w:p>
      <w:pPr>
        <w:spacing w:after="0" w:line="57" w:lineRule="exact"/>
        <w:rPr>
          <w:sz w:val="20"/>
          <w:szCs w:val="20"/>
          <w:color w:val="auto"/>
        </w:rPr>
      </w:pPr>
    </w:p>
    <w:p>
      <w:pPr>
        <w:ind w:left="125" w:hanging="125"/>
        <w:spacing w:after="0"/>
        <w:tabs>
          <w:tab w:leader="none" w:pos="125" w:val="left"/>
        </w:tabs>
        <w:numPr>
          <w:ilvl w:val="0"/>
          <w:numId w:val="8"/>
        </w:numPr>
        <w:rPr>
          <w:rFonts w:ascii="Arial" w:cs="Arial" w:eastAsia="Arial" w:hAnsi="Arial"/>
          <w:sz w:val="15"/>
          <w:szCs w:val="15"/>
          <w:color w:val="53565A"/>
          <w:vertAlign w:val="superscript"/>
        </w:rPr>
      </w:pPr>
      <w:r>
        <w:rPr>
          <w:rFonts w:ascii="Arial" w:cs="Arial" w:eastAsia="Arial" w:hAnsi="Arial"/>
          <w:sz w:val="11"/>
          <w:szCs w:val="11"/>
          <w:color w:val="53565A"/>
        </w:rPr>
        <w:t>The Company owns 53.0% of the properties through the unconsolidated joint venture.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2720" w:type="dxa"/>
            <w:vAlign w:val="bottom"/>
            <w:tcBorders>
              <w:bottom w:val="single" w:sz="8" w:color="2B4B86"/>
            </w:tcBorders>
          </w:tcPr>
          <w:p>
            <w:pPr>
              <w:jc w:val="right"/>
              <w:ind w:right="677"/>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7"/>
                <w:szCs w:val="17"/>
                <w:color w:val="auto"/>
              </w:rPr>
            </w:pPr>
          </w:p>
        </w:tc>
        <w:tc>
          <w:tcPr>
            <w:tcW w:w="2720" w:type="dxa"/>
            <w:vAlign w:val="bottom"/>
            <w:tcBorders>
              <w:bottom w:val="single" w:sz="8" w:color="2B4B86"/>
            </w:tcBorders>
          </w:tcPr>
          <w:p>
            <w:pPr>
              <w:jc w:val="right"/>
              <w:ind w:right="757"/>
              <w:spacing w:after="0"/>
              <w:rPr>
                <w:sz w:val="20"/>
                <w:szCs w:val="20"/>
                <w:color w:val="auto"/>
              </w:rPr>
            </w:pPr>
            <w:r>
              <w:rPr>
                <w:rFonts w:ascii="Arial" w:cs="Arial" w:eastAsia="Arial" w:hAnsi="Arial"/>
                <w:sz w:val="13"/>
                <w:szCs w:val="13"/>
                <w:b w:val="1"/>
                <w:bCs w:val="1"/>
                <w:color w:val="auto"/>
              </w:rPr>
              <w:t>Easterly's Share</w:t>
            </w:r>
            <w:r>
              <w:rPr>
                <w:rFonts w:ascii="Arial" w:cs="Arial" w:eastAsia="Arial" w:hAnsi="Arial"/>
                <w:sz w:val="16"/>
                <w:szCs w:val="16"/>
                <w:b w:val="1"/>
                <w:bCs w:val="1"/>
                <w:color w:val="auto"/>
                <w:vertAlign w:val="superscript"/>
              </w:rPr>
              <w:t>(1)</w:t>
            </w:r>
          </w:p>
        </w:tc>
      </w:tr>
      <w:tr>
        <w:trPr>
          <w:trHeight w:val="157"/>
        </w:trPr>
        <w:tc>
          <w:tcPr>
            <w:tcW w:w="2720" w:type="dxa"/>
            <w:vAlign w:val="bottom"/>
            <w:tcBorders>
              <w:bottom w:val="single" w:sz="8" w:color="2B4B86"/>
            </w:tcBorders>
          </w:tcPr>
          <w:p>
            <w:pPr>
              <w:jc w:val="right"/>
              <w:ind w:right="857"/>
              <w:spacing w:after="0" w:line="142" w:lineRule="exact"/>
              <w:rPr>
                <w:sz w:val="20"/>
                <w:szCs w:val="20"/>
                <w:color w:val="auto"/>
              </w:rPr>
            </w:pPr>
            <w:r>
              <w:rPr>
                <w:rFonts w:ascii="Arial" w:cs="Arial" w:eastAsia="Arial" w:hAnsi="Arial"/>
                <w:sz w:val="13"/>
                <w:szCs w:val="13"/>
                <w:b w:val="1"/>
                <w:bCs w:val="1"/>
                <w:color w:val="auto"/>
              </w:rPr>
              <w:t>March 31, 2026</w:t>
            </w:r>
          </w:p>
        </w:tc>
        <w:tc>
          <w:tcPr>
            <w:tcW w:w="260" w:type="dxa"/>
            <w:vAlign w:val="bottom"/>
          </w:tcPr>
          <w:p>
            <w:pPr>
              <w:spacing w:after="0"/>
              <w:rPr>
                <w:sz w:val="13"/>
                <w:szCs w:val="13"/>
                <w:color w:val="auto"/>
              </w:rPr>
            </w:pPr>
          </w:p>
        </w:tc>
        <w:tc>
          <w:tcPr>
            <w:tcW w:w="2720" w:type="dxa"/>
            <w:vAlign w:val="bottom"/>
            <w:tcBorders>
              <w:bottom w:val="single" w:sz="8" w:color="2B4B86"/>
            </w:tcBorders>
          </w:tcPr>
          <w:p>
            <w:pPr>
              <w:jc w:val="right"/>
              <w:ind w:right="857"/>
              <w:spacing w:after="0" w:line="142" w:lineRule="exact"/>
              <w:rPr>
                <w:sz w:val="20"/>
                <w:szCs w:val="20"/>
                <w:color w:val="auto"/>
              </w:rPr>
            </w:pPr>
            <w:r>
              <w:rPr>
                <w:rFonts w:ascii="Arial" w:cs="Arial" w:eastAsia="Arial" w:hAnsi="Arial"/>
                <w:sz w:val="13"/>
                <w:szCs w:val="13"/>
                <w:b w:val="1"/>
                <w:bCs w:val="1"/>
                <w:color w:val="auto"/>
              </w:rPr>
              <w:t>March 31, 2026</w:t>
            </w:r>
          </w:p>
        </w:tc>
      </w:tr>
      <w:tr>
        <w:trPr>
          <w:trHeight w:val="276"/>
        </w:trPr>
        <w:tc>
          <w:tcPr>
            <w:tcW w:w="2720" w:type="dxa"/>
            <w:vAlign w:val="bottom"/>
          </w:tcPr>
          <w:p>
            <w:pPr>
              <w:jc w:val="right"/>
              <w:spacing w:after="0"/>
              <w:rPr>
                <w:sz w:val="20"/>
                <w:szCs w:val="20"/>
                <w:color w:val="auto"/>
              </w:rPr>
            </w:pPr>
            <w:r>
              <w:rPr>
                <w:rFonts w:ascii="Arial" w:cs="Arial" w:eastAsia="Arial" w:hAnsi="Arial"/>
                <w:sz w:val="13"/>
                <w:szCs w:val="13"/>
                <w:color w:val="auto"/>
              </w:rPr>
              <w:t>$12,667</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$6,714</w:t>
            </w:r>
          </w:p>
        </w:tc>
      </w:tr>
      <w:tr>
        <w:trPr>
          <w:trHeight w:val="150"/>
        </w:trPr>
        <w:tc>
          <w:tcPr>
            <w:tcW w:w="2720" w:type="dxa"/>
            <w:vAlign w:val="bottom"/>
          </w:tcPr>
          <w:p>
            <w:pPr>
              <w:jc w:val="right"/>
              <w:spacing w:after="0"/>
              <w:rPr>
                <w:sz w:val="20"/>
                <w:szCs w:val="20"/>
                <w:color w:val="auto"/>
              </w:rPr>
            </w:pPr>
            <w:r>
              <w:rPr>
                <w:rFonts w:ascii="Arial" w:cs="Arial" w:eastAsia="Arial" w:hAnsi="Arial"/>
                <w:sz w:val="13"/>
                <w:szCs w:val="13"/>
                <w:color w:val="auto"/>
              </w:rPr>
              <w:t>41</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34"/>
        </w:trPr>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12,708</w:t>
            </w:r>
          </w:p>
        </w:tc>
        <w:tc>
          <w:tcPr>
            <w:tcW w:w="260" w:type="dxa"/>
            <w:vAlign w:val="bottom"/>
          </w:tcPr>
          <w:p>
            <w:pPr>
              <w:spacing w:after="0"/>
              <w:rPr>
                <w:sz w:val="11"/>
                <w:szCs w:val="11"/>
                <w:color w:val="auto"/>
              </w:rPr>
            </w:pPr>
          </w:p>
        </w:tc>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6,736</w:t>
            </w:r>
          </w:p>
        </w:tc>
      </w:tr>
      <w:tr>
        <w:trPr>
          <w:trHeight w:val="268"/>
        </w:trPr>
        <w:tc>
          <w:tcPr>
            <w:tcW w:w="2720" w:type="dxa"/>
            <w:vAlign w:val="bottom"/>
          </w:tcPr>
          <w:p>
            <w:pPr>
              <w:jc w:val="right"/>
              <w:spacing w:after="0"/>
              <w:rPr>
                <w:sz w:val="20"/>
                <w:szCs w:val="20"/>
                <w:color w:val="auto"/>
              </w:rPr>
            </w:pPr>
            <w:r>
              <w:rPr>
                <w:rFonts w:ascii="Arial" w:cs="Arial" w:eastAsia="Arial" w:hAnsi="Arial"/>
                <w:sz w:val="13"/>
                <w:szCs w:val="13"/>
                <w:color w:val="auto"/>
              </w:rPr>
              <w:t>2,707</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1,435</w:t>
            </w:r>
          </w:p>
        </w:tc>
      </w:tr>
      <w:tr>
        <w:trPr>
          <w:trHeight w:val="142"/>
        </w:trPr>
        <w:tc>
          <w:tcPr>
            <w:tcW w:w="2720" w:type="dxa"/>
            <w:vAlign w:val="bottom"/>
          </w:tcPr>
          <w:p>
            <w:pPr>
              <w:jc w:val="right"/>
              <w:spacing w:after="0" w:line="142" w:lineRule="exact"/>
              <w:rPr>
                <w:sz w:val="20"/>
                <w:szCs w:val="20"/>
                <w:color w:val="auto"/>
              </w:rPr>
            </w:pPr>
            <w:r>
              <w:rPr>
                <w:rFonts w:ascii="Arial" w:cs="Arial" w:eastAsia="Arial" w:hAnsi="Arial"/>
                <w:sz w:val="13"/>
                <w:szCs w:val="13"/>
                <w:color w:val="auto"/>
              </w:rPr>
              <w:t>1,689</w:t>
            </w:r>
          </w:p>
        </w:tc>
        <w:tc>
          <w:tcPr>
            <w:tcW w:w="2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895</w:t>
            </w:r>
          </w:p>
        </w:tc>
      </w:tr>
      <w:tr>
        <w:trPr>
          <w:trHeight w:val="142"/>
        </w:trPr>
        <w:tc>
          <w:tcPr>
            <w:tcW w:w="2720" w:type="dxa"/>
            <w:vAlign w:val="bottom"/>
          </w:tcPr>
          <w:p>
            <w:pPr>
              <w:jc w:val="right"/>
              <w:spacing w:after="0" w:line="142" w:lineRule="exact"/>
              <w:rPr>
                <w:sz w:val="20"/>
                <w:szCs w:val="20"/>
                <w:color w:val="auto"/>
              </w:rPr>
            </w:pPr>
            <w:r>
              <w:rPr>
                <w:rFonts w:ascii="Arial" w:cs="Arial" w:eastAsia="Arial" w:hAnsi="Arial"/>
                <w:sz w:val="13"/>
                <w:szCs w:val="13"/>
                <w:color w:val="auto"/>
              </w:rPr>
              <w:t>4,336</w:t>
            </w:r>
          </w:p>
        </w:tc>
        <w:tc>
          <w:tcPr>
            <w:tcW w:w="2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2,298</w:t>
            </w:r>
          </w:p>
        </w:tc>
      </w:tr>
      <w:tr>
        <w:trPr>
          <w:trHeight w:val="142"/>
        </w:trPr>
        <w:tc>
          <w:tcPr>
            <w:tcW w:w="2720" w:type="dxa"/>
            <w:vAlign w:val="bottom"/>
          </w:tcPr>
          <w:p>
            <w:pPr>
              <w:jc w:val="right"/>
              <w:spacing w:after="0" w:line="142" w:lineRule="exact"/>
              <w:rPr>
                <w:sz w:val="20"/>
                <w:szCs w:val="20"/>
                <w:color w:val="auto"/>
              </w:rPr>
            </w:pPr>
            <w:r>
              <w:rPr>
                <w:rFonts w:ascii="Arial" w:cs="Arial" w:eastAsia="Arial" w:hAnsi="Arial"/>
                <w:sz w:val="13"/>
                <w:szCs w:val="13"/>
                <w:color w:val="auto"/>
              </w:rPr>
              <w:t>566</w:t>
            </w:r>
          </w:p>
        </w:tc>
        <w:tc>
          <w:tcPr>
            <w:tcW w:w="2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300</w:t>
            </w:r>
          </w:p>
        </w:tc>
      </w:tr>
      <w:tr>
        <w:trPr>
          <w:trHeight w:val="150"/>
        </w:trPr>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2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122</w:t>
            </w:r>
          </w:p>
        </w:tc>
      </w:tr>
      <w:tr>
        <w:trPr>
          <w:trHeight w:val="158"/>
        </w:trPr>
        <w:tc>
          <w:tcPr>
            <w:tcW w:w="2720" w:type="dxa"/>
            <w:vAlign w:val="bottom"/>
          </w:tcPr>
          <w:p>
            <w:pPr>
              <w:jc w:val="right"/>
              <w:spacing w:after="0"/>
              <w:rPr>
                <w:sz w:val="20"/>
                <w:szCs w:val="20"/>
                <w:color w:val="auto"/>
              </w:rPr>
            </w:pPr>
            <w:r>
              <w:rPr>
                <w:rFonts w:ascii="Arial" w:cs="Arial" w:eastAsia="Arial" w:hAnsi="Arial"/>
                <w:sz w:val="13"/>
                <w:szCs w:val="13"/>
                <w:color w:val="auto"/>
              </w:rPr>
              <w:t>9,529</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5,050</w:t>
            </w:r>
          </w:p>
        </w:tc>
      </w:tr>
      <w:tr>
        <w:trPr>
          <w:trHeight w:val="260"/>
        </w:trPr>
        <w:tc>
          <w:tcPr>
            <w:tcW w:w="2720" w:type="dxa"/>
            <w:vAlign w:val="bottom"/>
          </w:tcPr>
          <w:p>
            <w:pPr>
              <w:jc w:val="right"/>
              <w:spacing w:after="0"/>
              <w:rPr>
                <w:sz w:val="20"/>
                <w:szCs w:val="20"/>
                <w:color w:val="auto"/>
              </w:rPr>
            </w:pPr>
            <w:r>
              <w:rPr>
                <w:rFonts w:ascii="Arial" w:cs="Arial" w:eastAsia="Arial" w:hAnsi="Arial"/>
                <w:sz w:val="13"/>
                <w:szCs w:val="13"/>
                <w:color w:val="auto"/>
              </w:rPr>
              <w:t>(41)</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34"/>
        </w:trPr>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$3,138</w:t>
            </w:r>
          </w:p>
        </w:tc>
        <w:tc>
          <w:tcPr>
            <w:tcW w:w="260" w:type="dxa"/>
            <w:vAlign w:val="bottom"/>
          </w:tcPr>
          <w:p>
            <w:pPr>
              <w:spacing w:after="0"/>
              <w:rPr>
                <w:sz w:val="11"/>
                <w:szCs w:val="11"/>
                <w:color w:val="auto"/>
              </w:rPr>
            </w:pPr>
          </w:p>
        </w:tc>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$1,664</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51"/>
        </w:trPr>
        <w:tc>
          <w:tcPr>
            <w:tcW w:w="2720" w:type="dxa"/>
            <w:vAlign w:val="bottom"/>
          </w:tcPr>
          <w:p>
            <w:pPr>
              <w:jc w:val="right"/>
              <w:spacing w:after="0"/>
              <w:rPr>
                <w:sz w:val="20"/>
                <w:szCs w:val="20"/>
                <w:color w:val="auto"/>
              </w:rPr>
            </w:pPr>
            <w:r>
              <w:rPr>
                <w:rFonts w:ascii="Arial" w:cs="Arial" w:eastAsia="Arial" w:hAnsi="Arial"/>
                <w:sz w:val="13"/>
                <w:szCs w:val="13"/>
                <w:color w:val="auto"/>
              </w:rPr>
              <w:t>4,336</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2,298</w:t>
            </w:r>
          </w:p>
        </w:tc>
      </w:tr>
      <w:tr>
        <w:trPr>
          <w:trHeight w:val="142"/>
        </w:trPr>
        <w:tc>
          <w:tcPr>
            <w:tcW w:w="2720" w:type="dxa"/>
            <w:vAlign w:val="bottom"/>
          </w:tcPr>
          <w:p>
            <w:pPr>
              <w:jc w:val="right"/>
              <w:spacing w:after="0" w:line="142" w:lineRule="exact"/>
              <w:rPr>
                <w:sz w:val="20"/>
                <w:szCs w:val="20"/>
                <w:color w:val="auto"/>
              </w:rPr>
            </w:pPr>
            <w:r>
              <w:rPr>
                <w:rFonts w:ascii="Arial" w:cs="Arial" w:eastAsia="Arial" w:hAnsi="Arial"/>
                <w:sz w:val="13"/>
                <w:szCs w:val="13"/>
                <w:color w:val="auto"/>
              </w:rPr>
              <w:t>41</w:t>
            </w:r>
          </w:p>
        </w:tc>
        <w:tc>
          <w:tcPr>
            <w:tcW w:w="2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w:t>
            </w:r>
          </w:p>
        </w:tc>
      </w:tr>
      <w:tr>
        <w:trPr>
          <w:trHeight w:val="150"/>
        </w:trPr>
        <w:tc>
          <w:tcPr>
            <w:tcW w:w="2720" w:type="dxa"/>
            <w:vAlign w:val="bottom"/>
          </w:tcPr>
          <w:p>
            <w:pPr>
              <w:jc w:val="right"/>
              <w:spacing w:after="0"/>
              <w:rPr>
                <w:sz w:val="20"/>
                <w:szCs w:val="20"/>
                <w:color w:val="auto"/>
              </w:rPr>
            </w:pPr>
            <w:r>
              <w:rPr>
                <w:rFonts w:ascii="Arial" w:cs="Arial" w:eastAsia="Arial" w:hAnsi="Arial"/>
                <w:sz w:val="13"/>
                <w:szCs w:val="13"/>
                <w:color w:val="auto"/>
              </w:rPr>
              <w:t>38</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34"/>
        </w:trPr>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$7,553</w:t>
            </w:r>
          </w:p>
        </w:tc>
        <w:tc>
          <w:tcPr>
            <w:tcW w:w="260" w:type="dxa"/>
            <w:vAlign w:val="bottom"/>
          </w:tcPr>
          <w:p>
            <w:pPr>
              <w:spacing w:after="0"/>
              <w:rPr>
                <w:sz w:val="11"/>
                <w:szCs w:val="11"/>
                <w:color w:val="auto"/>
              </w:rPr>
            </w:pPr>
          </w:p>
        </w:tc>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$4,004</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51"/>
        </w:trPr>
        <w:tc>
          <w:tcPr>
            <w:tcW w:w="2720" w:type="dxa"/>
            <w:vAlign w:val="bottom"/>
          </w:tcPr>
          <w:p>
            <w:pPr>
              <w:jc w:val="right"/>
              <w:spacing w:after="0"/>
              <w:rPr>
                <w:sz w:val="20"/>
                <w:szCs w:val="20"/>
                <w:color w:val="auto"/>
              </w:rPr>
            </w:pPr>
            <w:r>
              <w:rPr>
                <w:rFonts w:ascii="Arial" w:cs="Arial" w:eastAsia="Arial" w:hAnsi="Arial"/>
                <w:sz w:val="13"/>
                <w:szCs w:val="13"/>
                <w:color w:val="auto"/>
              </w:rPr>
              <w:t>$3,138</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$1,664</w:t>
            </w:r>
          </w:p>
        </w:tc>
      </w:tr>
      <w:tr>
        <w:trPr>
          <w:trHeight w:val="150"/>
        </w:trPr>
        <w:tc>
          <w:tcPr>
            <w:tcW w:w="2720" w:type="dxa"/>
            <w:vAlign w:val="bottom"/>
          </w:tcPr>
          <w:p>
            <w:pPr>
              <w:jc w:val="right"/>
              <w:spacing w:after="0"/>
              <w:rPr>
                <w:sz w:val="20"/>
                <w:szCs w:val="20"/>
                <w:color w:val="auto"/>
              </w:rPr>
            </w:pPr>
            <w:r>
              <w:rPr>
                <w:rFonts w:ascii="Arial" w:cs="Arial" w:eastAsia="Arial" w:hAnsi="Arial"/>
                <w:sz w:val="13"/>
                <w:szCs w:val="13"/>
                <w:color w:val="auto"/>
              </w:rPr>
              <w:t>4,305</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2,281</w:t>
            </w:r>
          </w:p>
        </w:tc>
      </w:tr>
      <w:tr>
        <w:trPr>
          <w:trHeight w:val="134"/>
        </w:trPr>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$7,443</w:t>
            </w:r>
          </w:p>
        </w:tc>
        <w:tc>
          <w:tcPr>
            <w:tcW w:w="260" w:type="dxa"/>
            <w:vAlign w:val="bottom"/>
          </w:tcPr>
          <w:p>
            <w:pPr>
              <w:spacing w:after="0"/>
              <w:rPr>
                <w:sz w:val="11"/>
                <w:szCs w:val="11"/>
                <w:color w:val="auto"/>
              </w:rPr>
            </w:pPr>
          </w:p>
        </w:tc>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$3,945</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59"/>
        </w:trPr>
        <w:tc>
          <w:tcPr>
            <w:tcW w:w="2720" w:type="dxa"/>
            <w:vAlign w:val="bottom"/>
          </w:tcPr>
          <w:p>
            <w:pPr>
              <w:jc w:val="right"/>
              <w:spacing w:after="0"/>
              <w:rPr>
                <w:sz w:val="20"/>
                <w:szCs w:val="20"/>
                <w:color w:val="auto"/>
              </w:rPr>
            </w:pPr>
            <w:r>
              <w:rPr>
                <w:rFonts w:ascii="Arial" w:cs="Arial" w:eastAsia="Arial" w:hAnsi="Arial"/>
                <w:sz w:val="13"/>
                <w:szCs w:val="13"/>
                <w:color w:val="auto"/>
              </w:rPr>
              <w:t>31</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17</w:t>
            </w:r>
          </w:p>
        </w:tc>
      </w:tr>
      <w:tr>
        <w:trPr>
          <w:trHeight w:val="134"/>
        </w:trPr>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$7,474</w:t>
            </w:r>
          </w:p>
        </w:tc>
        <w:tc>
          <w:tcPr>
            <w:tcW w:w="260" w:type="dxa"/>
            <w:vAlign w:val="bottom"/>
          </w:tcPr>
          <w:p>
            <w:pPr>
              <w:spacing w:after="0"/>
              <w:rPr>
                <w:sz w:val="11"/>
                <w:szCs w:val="11"/>
                <w:color w:val="auto"/>
              </w:rPr>
            </w:pPr>
          </w:p>
        </w:tc>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$3,962</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r>
        <w:trPr>
          <w:trHeight w:val="251"/>
        </w:trPr>
        <w:tc>
          <w:tcPr>
            <w:tcW w:w="2720" w:type="dxa"/>
            <w:vAlign w:val="bottom"/>
          </w:tcPr>
          <w:p>
            <w:pPr>
              <w:jc w:val="right"/>
              <w:spacing w:after="0"/>
              <w:rPr>
                <w:sz w:val="20"/>
                <w:szCs w:val="20"/>
                <w:color w:val="auto"/>
              </w:rPr>
            </w:pPr>
            <w:r>
              <w:rPr>
                <w:rFonts w:ascii="Arial" w:cs="Arial" w:eastAsia="Arial" w:hAnsi="Arial"/>
                <w:sz w:val="13"/>
                <w:szCs w:val="13"/>
                <w:color w:val="auto"/>
              </w:rPr>
              <w:t>46</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42"/>
        </w:trPr>
        <w:tc>
          <w:tcPr>
            <w:tcW w:w="2720" w:type="dxa"/>
            <w:vAlign w:val="bottom"/>
          </w:tcPr>
          <w:p>
            <w:pPr>
              <w:jc w:val="right"/>
              <w:spacing w:after="0" w:line="142" w:lineRule="exact"/>
              <w:rPr>
                <w:sz w:val="20"/>
                <w:szCs w:val="20"/>
                <w:color w:val="auto"/>
              </w:rPr>
            </w:pPr>
            <w:r>
              <w:rPr>
                <w:rFonts w:ascii="Arial" w:cs="Arial" w:eastAsia="Arial" w:hAnsi="Arial"/>
                <w:sz w:val="13"/>
                <w:szCs w:val="13"/>
                <w:color w:val="auto"/>
              </w:rPr>
              <w:t>41</w:t>
            </w:r>
          </w:p>
        </w:tc>
        <w:tc>
          <w:tcPr>
            <w:tcW w:w="2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w:t>
            </w:r>
          </w:p>
        </w:tc>
      </w:tr>
      <w:tr>
        <w:trPr>
          <w:trHeight w:val="150"/>
        </w:trPr>
        <w:tc>
          <w:tcPr>
            <w:tcW w:w="2720" w:type="dxa"/>
            <w:vAlign w:val="bottom"/>
          </w:tcPr>
          <w:p>
            <w:pPr>
              <w:jc w:val="right"/>
              <w:spacing w:after="0"/>
              <w:rPr>
                <w:sz w:val="20"/>
                <w:szCs w:val="20"/>
                <w:color w:val="auto"/>
              </w:rPr>
            </w:pPr>
            <w:r>
              <w:rPr>
                <w:rFonts w:ascii="Arial" w:cs="Arial" w:eastAsia="Arial" w:hAnsi="Arial"/>
                <w:sz w:val="13"/>
                <w:szCs w:val="13"/>
                <w:color w:val="auto"/>
              </w:rPr>
              <w:t>(33)</w:t>
            </w:r>
          </w:p>
        </w:tc>
        <w:tc>
          <w:tcPr>
            <w:tcW w:w="2980" w:type="dxa"/>
            <w:vAlign w:val="bottom"/>
            <w:gridSpan w:val="2"/>
          </w:tcPr>
          <w:p>
            <w:pPr>
              <w:jc w:val="right"/>
              <w:spacing w:after="0"/>
              <w:rPr>
                <w:sz w:val="20"/>
                <w:szCs w:val="20"/>
                <w:color w:val="auto"/>
              </w:rPr>
            </w:pPr>
            <w:r>
              <w:rPr>
                <w:rFonts w:ascii="Arial" w:cs="Arial" w:eastAsia="Arial" w:hAnsi="Arial"/>
                <w:sz w:val="13"/>
                <w:szCs w:val="13"/>
                <w:color w:val="auto"/>
              </w:rPr>
              <w:t>(17)</w:t>
            </w:r>
          </w:p>
        </w:tc>
      </w:tr>
      <w:tr>
        <w:trPr>
          <w:trHeight w:val="134"/>
        </w:trPr>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$7,528</w:t>
            </w:r>
          </w:p>
        </w:tc>
        <w:tc>
          <w:tcPr>
            <w:tcW w:w="260" w:type="dxa"/>
            <w:vAlign w:val="bottom"/>
          </w:tcPr>
          <w:p>
            <w:pPr>
              <w:spacing w:after="0"/>
              <w:rPr>
                <w:sz w:val="11"/>
                <w:szCs w:val="11"/>
                <w:color w:val="auto"/>
              </w:rPr>
            </w:pPr>
          </w:p>
        </w:tc>
        <w:tc>
          <w:tcPr>
            <w:tcW w:w="2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$3,991</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412750</wp:posOffset>
            </wp:positionV>
            <wp:extent cx="717486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2">
            <w:col w:w="4905" w:space="600"/>
            <w:col w:w="5760"/>
          </w:cols>
          <w:pgMar w:left="315" w:top="836" w:right="319" w:bottom="1440" w:gutter="0" w:footer="0" w:header="0"/>
          <w:type w:val="continuous"/>
        </w:sectPr>
      </w:pPr>
    </w:p>
    <w:bookmarkStart w:id="27" w:name="page28"/>
    <w:bookmarkEnd w:id="27"/>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Debt Schedules</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2"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34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3"/>
                <w:szCs w:val="13"/>
                <w:b w:val="1"/>
                <w:bCs w:val="1"/>
                <w:color w:val="auto"/>
                <w:w w:val="97"/>
              </w:rPr>
              <w:t>March 31, 2026</w:t>
            </w: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20" w:type="dxa"/>
            <w:vAlign w:val="bottom"/>
          </w:tcPr>
          <w:p>
            <w:pPr>
              <w:jc w:val="center"/>
              <w:ind w:left="177"/>
              <w:spacing w:after="0" w:line="126" w:lineRule="exact"/>
              <w:rPr>
                <w:sz w:val="20"/>
                <w:szCs w:val="20"/>
                <w:color w:val="auto"/>
              </w:rPr>
            </w:pPr>
            <w:r>
              <w:rPr>
                <w:rFonts w:ascii="Arial" w:cs="Arial" w:eastAsia="Arial" w:hAnsi="Arial"/>
                <w:sz w:val="13"/>
                <w:szCs w:val="13"/>
                <w:b w:val="1"/>
                <w:bCs w:val="1"/>
                <w:color w:val="auto"/>
                <w:w w:val="97"/>
              </w:rPr>
              <w:t>March 31, 2026</w:t>
            </w:r>
          </w:p>
        </w:tc>
        <w:tc>
          <w:tcPr>
            <w:tcW w:w="280" w:type="dxa"/>
            <w:vAlign w:val="bottom"/>
          </w:tcPr>
          <w:p>
            <w:pPr>
              <w:spacing w:after="0"/>
              <w:rPr>
                <w:sz w:val="10"/>
                <w:szCs w:val="10"/>
                <w:color w:val="auto"/>
              </w:rPr>
            </w:pPr>
          </w:p>
        </w:tc>
        <w:tc>
          <w:tcPr>
            <w:tcW w:w="1180" w:type="dxa"/>
            <w:vAlign w:val="bottom"/>
          </w:tcPr>
          <w:p>
            <w:pPr>
              <w:jc w:val="right"/>
              <w:ind w:right="157"/>
              <w:spacing w:after="0" w:line="126" w:lineRule="exact"/>
              <w:rPr>
                <w:sz w:val="20"/>
                <w:szCs w:val="20"/>
                <w:color w:val="auto"/>
              </w:rPr>
            </w:pPr>
            <w:r>
              <w:rPr>
                <w:rFonts w:ascii="Arial" w:cs="Arial" w:eastAsia="Arial" w:hAnsi="Arial"/>
                <w:sz w:val="13"/>
                <w:szCs w:val="13"/>
                <w:b w:val="1"/>
                <w:bCs w:val="1"/>
                <w:color w:val="auto"/>
              </w:rPr>
              <w:t>March 31, 2026</w:t>
            </w:r>
          </w:p>
        </w:tc>
        <w:tc>
          <w:tcPr>
            <w:tcW w:w="120" w:type="dxa"/>
            <w:vAlign w:val="bottom"/>
          </w:tcPr>
          <w:p>
            <w:pPr>
              <w:spacing w:after="0"/>
              <w:rPr>
                <w:sz w:val="10"/>
                <w:szCs w:val="10"/>
                <w:color w:val="auto"/>
              </w:rPr>
            </w:pPr>
          </w:p>
        </w:tc>
        <w:tc>
          <w:tcPr>
            <w:tcW w:w="17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4"/>
              </w:rPr>
              <w:t>Percent of</w:t>
            </w:r>
          </w:p>
        </w:tc>
        <w:tc>
          <w:tcPr>
            <w:tcW w:w="0" w:type="dxa"/>
            <w:vAlign w:val="bottom"/>
          </w:tcPr>
          <w:p>
            <w:pPr>
              <w:spacing w:after="0"/>
              <w:rPr>
                <w:sz w:val="1"/>
                <w:szCs w:val="1"/>
                <w:color w:val="auto"/>
              </w:rPr>
            </w:pPr>
          </w:p>
        </w:tc>
      </w:tr>
      <w:tr>
        <w:trPr>
          <w:trHeight w:val="181"/>
        </w:trPr>
        <w:tc>
          <w:tcPr>
            <w:tcW w:w="4800" w:type="dxa"/>
            <w:vAlign w:val="bottom"/>
            <w:tcBorders>
              <w:bottom w:val="single" w:sz="8" w:color="2B4B86"/>
            </w:tcBorders>
            <w:gridSpan w:val="2"/>
          </w:tcPr>
          <w:p>
            <w:pPr>
              <w:spacing w:after="0"/>
              <w:rPr>
                <w:sz w:val="20"/>
                <w:szCs w:val="20"/>
                <w:color w:val="auto"/>
              </w:rPr>
            </w:pPr>
            <w:r>
              <w:rPr>
                <w:rFonts w:ascii="Arial" w:cs="Arial" w:eastAsia="Arial" w:hAnsi="Arial"/>
                <w:sz w:val="13"/>
                <w:szCs w:val="13"/>
                <w:b w:val="1"/>
                <w:bCs w:val="1"/>
                <w:color w:val="auto"/>
              </w:rPr>
              <w:t>Debt Instrument</w:t>
            </w:r>
          </w:p>
        </w:tc>
        <w:tc>
          <w:tcPr>
            <w:tcW w:w="1760" w:type="dxa"/>
            <w:vAlign w:val="bottom"/>
            <w:tcBorders>
              <w:bottom w:val="single" w:sz="8" w:color="2B4B86"/>
            </w:tcBorders>
          </w:tcPr>
          <w:p>
            <w:pPr>
              <w:jc w:val="center"/>
              <w:ind w:right="17"/>
              <w:spacing w:after="0"/>
              <w:rPr>
                <w:sz w:val="20"/>
                <w:szCs w:val="20"/>
                <w:color w:val="auto"/>
              </w:rPr>
            </w:pPr>
            <w:r>
              <w:rPr>
                <w:rFonts w:ascii="Arial" w:cs="Arial" w:eastAsia="Arial" w:hAnsi="Arial"/>
                <w:sz w:val="13"/>
                <w:szCs w:val="13"/>
                <w:b w:val="1"/>
                <w:bCs w:val="1"/>
                <w:color w:val="auto"/>
                <w:w w:val="97"/>
              </w:rPr>
              <w:t>Maturity Date</w:t>
            </w:r>
          </w:p>
        </w:tc>
        <w:tc>
          <w:tcPr>
            <w:tcW w:w="1420" w:type="dxa"/>
            <w:vAlign w:val="bottom"/>
            <w:tcBorders>
              <w:bottom w:val="single" w:sz="8" w:color="2B4B86"/>
            </w:tcBorders>
          </w:tcPr>
          <w:p>
            <w:pPr>
              <w:jc w:val="center"/>
              <w:ind w:left="197"/>
              <w:spacing w:after="0"/>
              <w:rPr>
                <w:sz w:val="20"/>
                <w:szCs w:val="20"/>
                <w:color w:val="auto"/>
              </w:rPr>
            </w:pPr>
            <w:r>
              <w:rPr>
                <w:rFonts w:ascii="Arial" w:cs="Arial" w:eastAsia="Arial" w:hAnsi="Arial"/>
                <w:sz w:val="13"/>
                <w:szCs w:val="13"/>
                <w:b w:val="1"/>
                <w:bCs w:val="1"/>
                <w:color w:val="auto"/>
                <w:w w:val="96"/>
              </w:rPr>
              <w:t>Interest Rate</w:t>
            </w:r>
          </w:p>
        </w:tc>
        <w:tc>
          <w:tcPr>
            <w:tcW w:w="280" w:type="dxa"/>
            <w:vAlign w:val="bottom"/>
            <w:tcBorders>
              <w:bottom w:val="single" w:sz="8" w:color="2B4B86"/>
            </w:tcBorders>
          </w:tcPr>
          <w:p>
            <w:pPr>
              <w:spacing w:after="0"/>
              <w:rPr>
                <w:sz w:val="15"/>
                <w:szCs w:val="15"/>
                <w:color w:val="auto"/>
              </w:rPr>
            </w:pPr>
          </w:p>
        </w:tc>
        <w:tc>
          <w:tcPr>
            <w:tcW w:w="1180" w:type="dxa"/>
            <w:vAlign w:val="bottom"/>
            <w:tcBorders>
              <w:bottom w:val="single" w:sz="8" w:color="2B4B86"/>
            </w:tcBorders>
          </w:tcPr>
          <w:p>
            <w:pPr>
              <w:jc w:val="right"/>
              <w:ind w:right="317"/>
              <w:spacing w:after="0" w:line="165" w:lineRule="exact"/>
              <w:rPr>
                <w:sz w:val="20"/>
                <w:szCs w:val="20"/>
                <w:color w:val="auto"/>
              </w:rPr>
            </w:pPr>
            <w:r>
              <w:rPr>
                <w:rFonts w:ascii="Arial" w:cs="Arial" w:eastAsia="Arial" w:hAnsi="Arial"/>
                <w:sz w:val="13"/>
                <w:szCs w:val="13"/>
                <w:b w:val="1"/>
                <w:bCs w:val="1"/>
                <w:color w:val="auto"/>
              </w:rPr>
              <w:t>Balance</w:t>
            </w:r>
            <w:r>
              <w:rPr>
                <w:rFonts w:ascii="Arial" w:cs="Arial" w:eastAsia="Arial" w:hAnsi="Arial"/>
                <w:sz w:val="16"/>
                <w:szCs w:val="16"/>
                <w:b w:val="1"/>
                <w:bCs w:val="1"/>
                <w:color w:val="auto"/>
                <w:vertAlign w:val="superscript"/>
              </w:rPr>
              <w:t>(1)</w:t>
            </w:r>
          </w:p>
        </w:tc>
        <w:tc>
          <w:tcPr>
            <w:tcW w:w="120" w:type="dxa"/>
            <w:vAlign w:val="bottom"/>
          </w:tcPr>
          <w:p>
            <w:pPr>
              <w:spacing w:after="0"/>
              <w:rPr>
                <w:sz w:val="15"/>
                <w:szCs w:val="15"/>
                <w:color w:val="auto"/>
              </w:rPr>
            </w:pPr>
          </w:p>
        </w:tc>
        <w:tc>
          <w:tcPr>
            <w:tcW w:w="17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Total Indebtedness</w:t>
            </w:r>
          </w:p>
        </w:tc>
        <w:tc>
          <w:tcPr>
            <w:tcW w:w="0" w:type="dxa"/>
            <w:vAlign w:val="bottom"/>
          </w:tcPr>
          <w:p>
            <w:pPr>
              <w:spacing w:after="0"/>
              <w:rPr>
                <w:sz w:val="1"/>
                <w:szCs w:val="1"/>
                <w:color w:val="auto"/>
              </w:rPr>
            </w:pPr>
          </w:p>
        </w:tc>
      </w:tr>
      <w:tr>
        <w:trPr>
          <w:trHeight w:val="134"/>
        </w:trPr>
        <w:tc>
          <w:tcPr>
            <w:tcW w:w="48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Unsecured debt</w:t>
            </w:r>
          </w:p>
        </w:tc>
        <w:tc>
          <w:tcPr>
            <w:tcW w:w="1760" w:type="dxa"/>
            <w:vAlign w:val="bottom"/>
            <w:vMerge w:val="restart"/>
          </w:tcPr>
          <w:p>
            <w:pPr>
              <w:jc w:val="center"/>
              <w:ind w:right="17"/>
              <w:spacing w:after="0"/>
              <w:rPr>
                <w:sz w:val="20"/>
                <w:szCs w:val="20"/>
                <w:color w:val="auto"/>
              </w:rPr>
            </w:pPr>
            <w:r>
              <w:rPr>
                <w:rFonts w:ascii="Arial" w:cs="Arial" w:eastAsia="Arial" w:hAnsi="Arial"/>
                <w:sz w:val="13"/>
                <w:szCs w:val="13"/>
                <w:color w:val="auto"/>
                <w:w w:val="93"/>
              </w:rPr>
              <w:t>3-Jun-28</w:t>
            </w:r>
            <w:r>
              <w:rPr>
                <w:rFonts w:ascii="Arial" w:cs="Arial" w:eastAsia="Arial" w:hAnsi="Arial"/>
                <w:sz w:val="16"/>
                <w:szCs w:val="16"/>
                <w:color w:val="auto"/>
                <w:w w:val="93"/>
                <w:vertAlign w:val="superscript"/>
              </w:rPr>
              <w:t>(2)</w:t>
            </w:r>
          </w:p>
        </w:tc>
        <w:tc>
          <w:tcPr>
            <w:tcW w:w="1420" w:type="dxa"/>
            <w:vAlign w:val="bottom"/>
            <w:vMerge w:val="restart"/>
          </w:tcPr>
          <w:p>
            <w:pPr>
              <w:jc w:val="center"/>
              <w:ind w:left="177"/>
              <w:spacing w:after="0"/>
              <w:rPr>
                <w:sz w:val="20"/>
                <w:szCs w:val="20"/>
                <w:color w:val="auto"/>
              </w:rPr>
            </w:pPr>
            <w:r>
              <w:rPr>
                <w:rFonts w:ascii="Arial" w:cs="Arial" w:eastAsia="Arial" w:hAnsi="Arial"/>
                <w:sz w:val="13"/>
                <w:szCs w:val="13"/>
                <w:color w:val="auto"/>
                <w:w w:val="94"/>
              </w:rPr>
              <w:t>S + 145 bps</w:t>
            </w:r>
            <w:r>
              <w:rPr>
                <w:rFonts w:ascii="Arial" w:cs="Arial" w:eastAsia="Arial" w:hAnsi="Arial"/>
                <w:sz w:val="16"/>
                <w:szCs w:val="16"/>
                <w:color w:val="auto"/>
                <w:w w:val="94"/>
                <w:vertAlign w:val="superscript"/>
              </w:rPr>
              <w:t>(3)</w:t>
            </w: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40" w:type="dxa"/>
            <w:vAlign w:val="bottom"/>
          </w:tcPr>
          <w:p>
            <w:pPr>
              <w:ind w:left="40"/>
              <w:spacing w:after="0" w:line="126" w:lineRule="exact"/>
              <w:rPr>
                <w:sz w:val="20"/>
                <w:szCs w:val="20"/>
                <w:color w:val="auto"/>
              </w:rPr>
            </w:pPr>
            <w:r>
              <w:rPr>
                <w:rFonts w:ascii="Arial" w:cs="Arial" w:eastAsia="Arial" w:hAnsi="Arial"/>
                <w:sz w:val="13"/>
                <w:szCs w:val="13"/>
                <w:color w:val="auto"/>
                <w:w w:val="96"/>
              </w:rPr>
              <w:t>2024</w:t>
            </w:r>
          </w:p>
        </w:tc>
        <w:tc>
          <w:tcPr>
            <w:tcW w:w="4460" w:type="dxa"/>
            <w:vAlign w:val="bottom"/>
          </w:tcPr>
          <w:p>
            <w:pPr>
              <w:ind w:left="20"/>
              <w:spacing w:after="0" w:line="126" w:lineRule="exact"/>
              <w:rPr>
                <w:sz w:val="20"/>
                <w:szCs w:val="20"/>
                <w:color w:val="auto"/>
              </w:rPr>
            </w:pPr>
            <w:r>
              <w:rPr>
                <w:rFonts w:ascii="Arial" w:cs="Arial" w:eastAsia="Arial" w:hAnsi="Arial"/>
                <w:sz w:val="13"/>
                <w:szCs w:val="13"/>
                <w:color w:val="auto"/>
              </w:rPr>
              <w:t>Revolving Credit facility</w:t>
            </w:r>
          </w:p>
        </w:tc>
        <w:tc>
          <w:tcPr>
            <w:tcW w:w="176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3"/>
                <w:szCs w:val="13"/>
                <w:color w:val="auto"/>
              </w:rPr>
              <w:t>245,050</w:t>
            </w:r>
          </w:p>
        </w:tc>
        <w:tc>
          <w:tcPr>
            <w:tcW w:w="1820" w:type="dxa"/>
            <w:vAlign w:val="bottom"/>
            <w:gridSpan w:val="2"/>
          </w:tcPr>
          <w:p>
            <w:pPr>
              <w:jc w:val="center"/>
              <w:ind w:left="37"/>
              <w:spacing w:after="0" w:line="126" w:lineRule="exact"/>
              <w:rPr>
                <w:sz w:val="20"/>
                <w:szCs w:val="20"/>
                <w:color w:val="auto"/>
              </w:rPr>
            </w:pPr>
            <w:r>
              <w:rPr>
                <w:rFonts w:ascii="Arial" w:cs="Arial" w:eastAsia="Arial" w:hAnsi="Arial"/>
                <w:sz w:val="13"/>
                <w:szCs w:val="13"/>
                <w:color w:val="auto"/>
                <w:w w:val="97"/>
              </w:rPr>
              <w:t>14.2%</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2016</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4"/>
              </w:rPr>
              <w:t>28-Jan-28</w:t>
            </w:r>
            <w:r>
              <w:rPr>
                <w:rFonts w:ascii="Arial" w:cs="Arial" w:eastAsia="Arial" w:hAnsi="Arial"/>
                <w:sz w:val="16"/>
                <w:szCs w:val="16"/>
                <w:color w:val="auto"/>
                <w:w w:val="94"/>
                <w:vertAlign w:val="superscript"/>
              </w:rPr>
              <w:t>(4)</w:t>
            </w:r>
          </w:p>
        </w:tc>
        <w:tc>
          <w:tcPr>
            <w:tcW w:w="1420" w:type="dxa"/>
            <w:vAlign w:val="bottom"/>
          </w:tcPr>
          <w:p>
            <w:pPr>
              <w:jc w:val="center"/>
              <w:ind w:left="177"/>
              <w:spacing w:after="0" w:line="142" w:lineRule="exact"/>
              <w:rPr>
                <w:sz w:val="20"/>
                <w:szCs w:val="20"/>
                <w:color w:val="auto"/>
              </w:rPr>
            </w:pPr>
            <w:r>
              <w:rPr>
                <w:rFonts w:ascii="Arial" w:cs="Arial" w:eastAsia="Arial" w:hAnsi="Arial"/>
                <w:sz w:val="13"/>
                <w:szCs w:val="13"/>
                <w:color w:val="auto"/>
                <w:w w:val="92"/>
              </w:rPr>
              <w:t>5.31%</w:t>
            </w:r>
            <w:r>
              <w:rPr>
                <w:rFonts w:ascii="Arial" w:cs="Arial" w:eastAsia="Arial" w:hAnsi="Arial"/>
                <w:sz w:val="16"/>
                <w:szCs w:val="16"/>
                <w:color w:val="auto"/>
                <w:w w:val="92"/>
                <w:vertAlign w:val="superscript"/>
              </w:rPr>
              <w:t>(5)</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100,000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5.8%</w:t>
            </w:r>
          </w:p>
        </w:tc>
        <w:tc>
          <w:tcPr>
            <w:tcW w:w="0" w:type="dxa"/>
            <w:vAlign w:val="bottom"/>
          </w:tcPr>
          <w:p>
            <w:pPr>
              <w:spacing w:after="0"/>
              <w:rPr>
                <w:sz w:val="1"/>
                <w:szCs w:val="1"/>
                <w:color w:val="auto"/>
              </w:rPr>
            </w:pPr>
          </w:p>
        </w:tc>
      </w:tr>
      <w:tr>
        <w:trPr>
          <w:trHeight w:val="158"/>
        </w:trPr>
        <w:tc>
          <w:tcPr>
            <w:tcW w:w="340" w:type="dxa"/>
            <w:vAlign w:val="bottom"/>
          </w:tcPr>
          <w:p>
            <w:pPr>
              <w:ind w:left="40"/>
              <w:spacing w:after="0"/>
              <w:rPr>
                <w:sz w:val="20"/>
                <w:szCs w:val="20"/>
                <w:color w:val="auto"/>
              </w:rPr>
            </w:pPr>
            <w:r>
              <w:rPr>
                <w:rFonts w:ascii="Arial" w:cs="Arial" w:eastAsia="Arial" w:hAnsi="Arial"/>
                <w:sz w:val="13"/>
                <w:szCs w:val="13"/>
                <w:color w:val="auto"/>
                <w:w w:val="96"/>
              </w:rPr>
              <w:t>2018</w:t>
            </w:r>
          </w:p>
        </w:tc>
        <w:tc>
          <w:tcPr>
            <w:tcW w:w="4460" w:type="dxa"/>
            <w:vAlign w:val="bottom"/>
          </w:tcPr>
          <w:p>
            <w:pPr>
              <w:ind w:left="20"/>
              <w:spacing w:after="0"/>
              <w:rPr>
                <w:sz w:val="20"/>
                <w:szCs w:val="20"/>
                <w:color w:val="auto"/>
              </w:rPr>
            </w:pPr>
            <w:r>
              <w:rPr>
                <w:rFonts w:ascii="Arial" w:cs="Arial" w:eastAsia="Arial" w:hAnsi="Arial"/>
                <w:sz w:val="13"/>
                <w:szCs w:val="13"/>
                <w:color w:val="auto"/>
              </w:rPr>
              <w:t>Term Loan facility</w:t>
            </w:r>
          </w:p>
        </w:tc>
        <w:tc>
          <w:tcPr>
            <w:tcW w:w="1760" w:type="dxa"/>
            <w:vAlign w:val="bottom"/>
          </w:tcPr>
          <w:p>
            <w:pPr>
              <w:jc w:val="center"/>
              <w:ind w:right="17"/>
              <w:spacing w:after="0" w:line="158" w:lineRule="exact"/>
              <w:rPr>
                <w:sz w:val="20"/>
                <w:szCs w:val="20"/>
                <w:color w:val="auto"/>
              </w:rPr>
            </w:pPr>
            <w:r>
              <w:rPr>
                <w:rFonts w:ascii="Arial" w:cs="Arial" w:eastAsia="Arial" w:hAnsi="Arial"/>
                <w:sz w:val="13"/>
                <w:szCs w:val="13"/>
                <w:color w:val="auto"/>
                <w:w w:val="92"/>
              </w:rPr>
              <w:t>21-Aug-28</w:t>
            </w:r>
            <w:r>
              <w:rPr>
                <w:rFonts w:ascii="Arial" w:cs="Arial" w:eastAsia="Arial" w:hAnsi="Arial"/>
                <w:sz w:val="16"/>
                <w:szCs w:val="16"/>
                <w:color w:val="auto"/>
                <w:w w:val="92"/>
                <w:vertAlign w:val="superscript"/>
              </w:rPr>
              <w:t>(6)</w:t>
            </w:r>
          </w:p>
        </w:tc>
        <w:tc>
          <w:tcPr>
            <w:tcW w:w="1420" w:type="dxa"/>
            <w:vAlign w:val="bottom"/>
          </w:tcPr>
          <w:p>
            <w:pPr>
              <w:jc w:val="center"/>
              <w:ind w:left="177"/>
              <w:spacing w:after="0" w:line="158" w:lineRule="exact"/>
              <w:rPr>
                <w:sz w:val="20"/>
                <w:szCs w:val="20"/>
                <w:color w:val="auto"/>
              </w:rPr>
            </w:pPr>
            <w:r>
              <w:rPr>
                <w:rFonts w:ascii="Arial" w:cs="Arial" w:eastAsia="Arial" w:hAnsi="Arial"/>
                <w:sz w:val="13"/>
                <w:szCs w:val="13"/>
                <w:color w:val="auto"/>
                <w:w w:val="92"/>
              </w:rPr>
              <w:t>5.09%</w:t>
            </w:r>
            <w:r>
              <w:rPr>
                <w:rFonts w:ascii="Arial" w:cs="Arial" w:eastAsia="Arial" w:hAnsi="Arial"/>
                <w:sz w:val="16"/>
                <w:szCs w:val="16"/>
                <w:color w:val="auto"/>
                <w:w w:val="92"/>
                <w:vertAlign w:val="superscript"/>
              </w:rPr>
              <w:t>(7)</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200,000</w:t>
            </w:r>
          </w:p>
        </w:tc>
        <w:tc>
          <w:tcPr>
            <w:tcW w:w="1820" w:type="dxa"/>
            <w:vAlign w:val="bottom"/>
            <w:gridSpan w:val="2"/>
          </w:tcPr>
          <w:p>
            <w:pPr>
              <w:jc w:val="center"/>
              <w:ind w:left="37"/>
              <w:spacing w:after="0"/>
              <w:rPr>
                <w:sz w:val="20"/>
                <w:szCs w:val="20"/>
                <w:color w:val="auto"/>
              </w:rPr>
            </w:pPr>
            <w:r>
              <w:rPr>
                <w:rFonts w:ascii="Arial" w:cs="Arial" w:eastAsia="Arial" w:hAnsi="Arial"/>
                <w:sz w:val="13"/>
                <w:szCs w:val="13"/>
                <w:color w:val="auto"/>
                <w:w w:val="97"/>
              </w:rPr>
              <w:t>11.6%</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2017</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6"/>
              </w:rPr>
              <w:t>25-May-27</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4.05%</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95,000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5.5%</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2017</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6"/>
              </w:rPr>
              <w:t>25-May-29</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4.15%</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50,000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2.9%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2017</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C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6"/>
              </w:rPr>
              <w:t>25-May-32</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4.30%</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30,000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1.7%</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2019</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8"/>
              </w:rPr>
              <w:t>12-Sep-29</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3.73%</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85,000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4.9%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2019</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8"/>
              </w:rPr>
              <w:t>12-Sep-31</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3.83%</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100,000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5.8%</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2019</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C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8"/>
              </w:rPr>
              <w:t>12-Sep-34</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3.98%</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90,000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5.2%</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2021</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6"/>
              </w:rPr>
              <w:t>14-Oct-28</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2.62%</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50,000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2.9%</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2021</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6"/>
              </w:rPr>
              <w:t>14-Oct-30</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2.89%</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200,000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7"/>
              </w:rPr>
              <w:t>11.6%</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2024</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A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6"/>
              </w:rPr>
              <w:t>28-May-33</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6.56%</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150,000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8.7%</w:t>
            </w:r>
          </w:p>
        </w:tc>
        <w:tc>
          <w:tcPr>
            <w:tcW w:w="0" w:type="dxa"/>
            <w:vAlign w:val="bottom"/>
          </w:tcPr>
          <w:p>
            <w:pPr>
              <w:spacing w:after="0"/>
              <w:rPr>
                <w:sz w:val="1"/>
                <w:szCs w:val="1"/>
                <w:color w:val="auto"/>
              </w:rPr>
            </w:pPr>
          </w:p>
        </w:tc>
      </w:tr>
      <w:tr>
        <w:trPr>
          <w:trHeight w:val="142"/>
        </w:trPr>
        <w:tc>
          <w:tcPr>
            <w:tcW w:w="340" w:type="dxa"/>
            <w:vAlign w:val="bottom"/>
          </w:tcPr>
          <w:p>
            <w:pPr>
              <w:ind w:left="40"/>
              <w:spacing w:after="0" w:line="142" w:lineRule="exact"/>
              <w:rPr>
                <w:sz w:val="20"/>
                <w:szCs w:val="20"/>
                <w:color w:val="auto"/>
              </w:rPr>
            </w:pPr>
            <w:r>
              <w:rPr>
                <w:rFonts w:ascii="Arial" w:cs="Arial" w:eastAsia="Arial" w:hAnsi="Arial"/>
                <w:sz w:val="13"/>
                <w:szCs w:val="13"/>
                <w:color w:val="auto"/>
                <w:w w:val="96"/>
              </w:rPr>
              <w:t>2024</w:t>
            </w:r>
          </w:p>
        </w:tc>
        <w:tc>
          <w:tcPr>
            <w:tcW w:w="4460" w:type="dxa"/>
            <w:vAlign w:val="bottom"/>
          </w:tcPr>
          <w:p>
            <w:pPr>
              <w:ind w:left="20"/>
              <w:spacing w:after="0" w:line="142" w:lineRule="exact"/>
              <w:rPr>
                <w:sz w:val="20"/>
                <w:szCs w:val="20"/>
                <w:color w:val="auto"/>
              </w:rPr>
            </w:pPr>
            <w:r>
              <w:rPr>
                <w:rFonts w:ascii="Arial" w:cs="Arial" w:eastAsia="Arial" w:hAnsi="Arial"/>
                <w:sz w:val="13"/>
                <w:szCs w:val="13"/>
                <w:color w:val="auto"/>
              </w:rPr>
              <w:t>Series B Senior Notes</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8"/>
              </w:rPr>
              <w:t>13-Aug-33</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6.56%</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50,000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2.9%</w:t>
            </w:r>
          </w:p>
        </w:tc>
        <w:tc>
          <w:tcPr>
            <w:tcW w:w="0" w:type="dxa"/>
            <w:vAlign w:val="bottom"/>
          </w:tcPr>
          <w:p>
            <w:pPr>
              <w:spacing w:after="0"/>
              <w:rPr>
                <w:sz w:val="1"/>
                <w:szCs w:val="1"/>
                <w:color w:val="auto"/>
              </w:rPr>
            </w:pPr>
          </w:p>
        </w:tc>
      </w:tr>
      <w:tr>
        <w:trPr>
          <w:trHeight w:val="126"/>
        </w:trPr>
        <w:tc>
          <w:tcPr>
            <w:tcW w:w="340" w:type="dxa"/>
            <w:vAlign w:val="bottom"/>
          </w:tcPr>
          <w:p>
            <w:pPr>
              <w:ind w:left="40"/>
              <w:spacing w:after="0" w:line="126" w:lineRule="exact"/>
              <w:rPr>
                <w:sz w:val="20"/>
                <w:szCs w:val="20"/>
                <w:color w:val="auto"/>
              </w:rPr>
            </w:pPr>
            <w:r>
              <w:rPr>
                <w:rFonts w:ascii="Arial" w:cs="Arial" w:eastAsia="Arial" w:hAnsi="Arial"/>
                <w:sz w:val="13"/>
                <w:szCs w:val="13"/>
                <w:color w:val="auto"/>
                <w:w w:val="96"/>
              </w:rPr>
              <w:t>2025</w:t>
            </w:r>
          </w:p>
        </w:tc>
        <w:tc>
          <w:tcPr>
            <w:tcW w:w="4460" w:type="dxa"/>
            <w:vAlign w:val="bottom"/>
          </w:tcPr>
          <w:p>
            <w:pPr>
              <w:ind w:left="20"/>
              <w:spacing w:after="0" w:line="126" w:lineRule="exact"/>
              <w:rPr>
                <w:sz w:val="20"/>
                <w:szCs w:val="20"/>
                <w:color w:val="auto"/>
              </w:rPr>
            </w:pPr>
            <w:r>
              <w:rPr>
                <w:rFonts w:ascii="Arial" w:cs="Arial" w:eastAsia="Arial" w:hAnsi="Arial"/>
                <w:sz w:val="13"/>
                <w:szCs w:val="13"/>
                <w:color w:val="auto"/>
              </w:rPr>
              <w:t>Series A Senior Notes</w:t>
            </w:r>
          </w:p>
        </w:tc>
        <w:tc>
          <w:tcPr>
            <w:tcW w:w="1760" w:type="dxa"/>
            <w:vAlign w:val="bottom"/>
          </w:tcPr>
          <w:p>
            <w:pPr>
              <w:jc w:val="center"/>
              <w:spacing w:after="0" w:line="126" w:lineRule="exact"/>
              <w:rPr>
                <w:sz w:val="20"/>
                <w:szCs w:val="20"/>
                <w:color w:val="auto"/>
              </w:rPr>
            </w:pPr>
            <w:r>
              <w:rPr>
                <w:rFonts w:ascii="Arial" w:cs="Arial" w:eastAsia="Arial" w:hAnsi="Arial"/>
                <w:sz w:val="13"/>
                <w:szCs w:val="13"/>
                <w:color w:val="auto"/>
                <w:w w:val="96"/>
              </w:rPr>
              <w:t>20-Mar-30</w:t>
            </w:r>
          </w:p>
        </w:tc>
        <w:tc>
          <w:tcPr>
            <w:tcW w:w="1420" w:type="dxa"/>
            <w:vAlign w:val="bottom"/>
          </w:tcPr>
          <w:p>
            <w:pPr>
              <w:jc w:val="center"/>
              <w:ind w:left="197"/>
              <w:spacing w:after="0" w:line="126" w:lineRule="exact"/>
              <w:rPr>
                <w:sz w:val="20"/>
                <w:szCs w:val="20"/>
                <w:color w:val="auto"/>
              </w:rPr>
            </w:pPr>
            <w:r>
              <w:rPr>
                <w:rFonts w:ascii="Arial" w:cs="Arial" w:eastAsia="Arial" w:hAnsi="Arial"/>
                <w:sz w:val="13"/>
                <w:szCs w:val="13"/>
                <w:color w:val="auto"/>
                <w:w w:val="97"/>
              </w:rPr>
              <w:t>6.13%</w:t>
            </w:r>
          </w:p>
        </w:tc>
        <w:tc>
          <w:tcPr>
            <w:tcW w:w="280" w:type="dxa"/>
            <w:vAlign w:val="bottom"/>
          </w:tcPr>
          <w:p>
            <w:pPr>
              <w:spacing w:after="0"/>
              <w:rPr>
                <w:sz w:val="10"/>
                <w:szCs w:val="10"/>
                <w:color w:val="auto"/>
              </w:rPr>
            </w:pPr>
          </w:p>
        </w:tc>
        <w:tc>
          <w:tcPr>
            <w:tcW w:w="1180" w:type="dxa"/>
            <w:vAlign w:val="bottom"/>
          </w:tcPr>
          <w:p>
            <w:pPr>
              <w:jc w:val="right"/>
              <w:spacing w:after="0" w:line="126" w:lineRule="exact"/>
              <w:rPr>
                <w:sz w:val="20"/>
                <w:szCs w:val="20"/>
                <w:color w:val="auto"/>
              </w:rPr>
            </w:pPr>
            <w:r>
              <w:rPr>
                <w:rFonts w:ascii="Arial" w:cs="Arial" w:eastAsia="Arial" w:hAnsi="Arial"/>
                <w:sz w:val="13"/>
                <w:szCs w:val="13"/>
                <w:color w:val="auto"/>
              </w:rPr>
              <w:t>25,000</w:t>
            </w:r>
          </w:p>
        </w:tc>
        <w:tc>
          <w:tcPr>
            <w:tcW w:w="1820" w:type="dxa"/>
            <w:vAlign w:val="bottom"/>
            <w:gridSpan w:val="2"/>
          </w:tcPr>
          <w:p>
            <w:pPr>
              <w:jc w:val="center"/>
              <w:ind w:left="37"/>
              <w:spacing w:after="0" w:line="126" w:lineRule="exact"/>
              <w:rPr>
                <w:sz w:val="20"/>
                <w:szCs w:val="20"/>
                <w:color w:val="auto"/>
              </w:rPr>
            </w:pPr>
            <w:r>
              <w:rPr>
                <w:rFonts w:ascii="Arial" w:cs="Arial" w:eastAsia="Arial" w:hAnsi="Arial"/>
                <w:sz w:val="13"/>
                <w:szCs w:val="13"/>
                <w:color w:val="auto"/>
                <w:w w:val="94"/>
              </w:rPr>
              <w:t>1.5%</w:t>
            </w:r>
          </w:p>
        </w:tc>
        <w:tc>
          <w:tcPr>
            <w:tcW w:w="0" w:type="dxa"/>
            <w:vAlign w:val="bottom"/>
          </w:tcPr>
          <w:p>
            <w:pPr>
              <w:spacing w:after="0"/>
              <w:rPr>
                <w:sz w:val="1"/>
                <w:szCs w:val="1"/>
                <w:color w:val="auto"/>
              </w:rPr>
            </w:pPr>
          </w:p>
        </w:tc>
      </w:tr>
      <w:tr>
        <w:trPr>
          <w:trHeight w:val="166"/>
        </w:trPr>
        <w:tc>
          <w:tcPr>
            <w:tcW w:w="340" w:type="dxa"/>
            <w:vAlign w:val="bottom"/>
          </w:tcPr>
          <w:p>
            <w:pPr>
              <w:ind w:left="40"/>
              <w:spacing w:after="0"/>
              <w:rPr>
                <w:sz w:val="20"/>
                <w:szCs w:val="20"/>
                <w:color w:val="auto"/>
              </w:rPr>
            </w:pPr>
            <w:r>
              <w:rPr>
                <w:rFonts w:ascii="Arial" w:cs="Arial" w:eastAsia="Arial" w:hAnsi="Arial"/>
                <w:sz w:val="13"/>
                <w:szCs w:val="13"/>
                <w:color w:val="auto"/>
                <w:w w:val="96"/>
              </w:rPr>
              <w:t>2025</w:t>
            </w:r>
          </w:p>
        </w:tc>
        <w:tc>
          <w:tcPr>
            <w:tcW w:w="4460" w:type="dxa"/>
            <w:vAlign w:val="bottom"/>
          </w:tcPr>
          <w:p>
            <w:pPr>
              <w:ind w:left="20"/>
              <w:spacing w:after="0"/>
              <w:rPr>
                <w:sz w:val="20"/>
                <w:szCs w:val="20"/>
                <w:color w:val="auto"/>
              </w:rPr>
            </w:pPr>
            <w:r>
              <w:rPr>
                <w:rFonts w:ascii="Arial" w:cs="Arial" w:eastAsia="Arial" w:hAnsi="Arial"/>
                <w:sz w:val="13"/>
                <w:szCs w:val="13"/>
                <w:color w:val="auto"/>
              </w:rPr>
              <w:t>Series B Senior Notes</w:t>
            </w:r>
          </w:p>
        </w:tc>
        <w:tc>
          <w:tcPr>
            <w:tcW w:w="1760" w:type="dxa"/>
            <w:vAlign w:val="bottom"/>
          </w:tcPr>
          <w:p>
            <w:pPr>
              <w:jc w:val="center"/>
              <w:spacing w:after="0"/>
              <w:rPr>
                <w:sz w:val="20"/>
                <w:szCs w:val="20"/>
                <w:color w:val="auto"/>
              </w:rPr>
            </w:pPr>
            <w:r>
              <w:rPr>
                <w:rFonts w:ascii="Arial" w:cs="Arial" w:eastAsia="Arial" w:hAnsi="Arial"/>
                <w:sz w:val="13"/>
                <w:szCs w:val="13"/>
                <w:color w:val="auto"/>
                <w:w w:val="96"/>
              </w:rPr>
              <w:t>20-Mar-32</w:t>
            </w:r>
          </w:p>
        </w:tc>
        <w:tc>
          <w:tcPr>
            <w:tcW w:w="1420" w:type="dxa"/>
            <w:vAlign w:val="bottom"/>
          </w:tcPr>
          <w:p>
            <w:pPr>
              <w:jc w:val="center"/>
              <w:ind w:left="177"/>
              <w:spacing w:after="0" w:line="165" w:lineRule="exact"/>
              <w:rPr>
                <w:sz w:val="20"/>
                <w:szCs w:val="20"/>
                <w:color w:val="auto"/>
              </w:rPr>
            </w:pPr>
            <w:r>
              <w:rPr>
                <w:rFonts w:ascii="Arial" w:cs="Arial" w:eastAsia="Arial" w:hAnsi="Arial"/>
                <w:sz w:val="13"/>
                <w:szCs w:val="13"/>
                <w:color w:val="auto"/>
                <w:w w:val="92"/>
              </w:rPr>
              <w:t>6.33%</w:t>
            </w:r>
            <w:r>
              <w:rPr>
                <w:rFonts w:ascii="Arial" w:cs="Arial" w:eastAsia="Arial" w:hAnsi="Arial"/>
                <w:sz w:val="16"/>
                <w:szCs w:val="16"/>
                <w:color w:val="auto"/>
                <w:w w:val="92"/>
                <w:vertAlign w:val="superscript"/>
              </w:rPr>
              <w:t>(8)</w:t>
            </w:r>
          </w:p>
        </w:tc>
        <w:tc>
          <w:tcPr>
            <w:tcW w:w="2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100,000</w:t>
            </w:r>
          </w:p>
        </w:tc>
        <w:tc>
          <w:tcPr>
            <w:tcW w:w="182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5.9%</w:t>
            </w:r>
          </w:p>
        </w:tc>
        <w:tc>
          <w:tcPr>
            <w:tcW w:w="0" w:type="dxa"/>
            <w:vAlign w:val="bottom"/>
          </w:tcPr>
          <w:p>
            <w:pPr>
              <w:spacing w:after="0"/>
              <w:rPr>
                <w:sz w:val="1"/>
                <w:szCs w:val="1"/>
                <w:color w:val="auto"/>
              </w:rPr>
            </w:pPr>
          </w:p>
        </w:tc>
      </w:tr>
      <w:tr>
        <w:trPr>
          <w:trHeight w:val="142"/>
        </w:trPr>
        <w:tc>
          <w:tcPr>
            <w:tcW w:w="4800" w:type="dxa"/>
            <w:vAlign w:val="bottom"/>
            <w:gridSpan w:val="2"/>
            <w:shd w:val="clear" w:color="auto" w:fill="E7E6E6"/>
          </w:tcPr>
          <w:p>
            <w:pPr>
              <w:ind w:left="40"/>
              <w:spacing w:after="0" w:line="142" w:lineRule="exact"/>
              <w:rPr>
                <w:sz w:val="20"/>
                <w:szCs w:val="20"/>
                <w:color w:val="auto"/>
              </w:rPr>
            </w:pPr>
            <w:r>
              <w:rPr>
                <w:rFonts w:ascii="Arial" w:cs="Arial" w:eastAsia="Arial" w:hAnsi="Arial"/>
                <w:sz w:val="13"/>
                <w:szCs w:val="13"/>
                <w:b w:val="1"/>
                <w:bCs w:val="1"/>
                <w:color w:val="auto"/>
              </w:rPr>
              <w:t>Total unsecured debt</w:t>
            </w:r>
          </w:p>
        </w:tc>
        <w:tc>
          <w:tcPr>
            <w:tcW w:w="1760" w:type="dxa"/>
            <w:vAlign w:val="bottom"/>
            <w:shd w:val="clear" w:color="auto" w:fill="E7E6E6"/>
          </w:tcPr>
          <w:p>
            <w:pPr>
              <w:jc w:val="center"/>
              <w:ind w:right="17"/>
              <w:spacing w:after="0" w:line="142" w:lineRule="exact"/>
              <w:rPr>
                <w:sz w:val="20"/>
                <w:szCs w:val="20"/>
                <w:color w:val="auto"/>
              </w:rPr>
            </w:pPr>
            <w:r>
              <w:rPr>
                <w:rFonts w:ascii="Arial" w:cs="Arial" w:eastAsia="Arial" w:hAnsi="Arial"/>
                <w:sz w:val="13"/>
                <w:szCs w:val="13"/>
                <w:b w:val="1"/>
                <w:bCs w:val="1"/>
                <w:color w:val="auto"/>
                <w:w w:val="93"/>
              </w:rPr>
              <w:t>4.1 years</w:t>
            </w:r>
            <w:r>
              <w:rPr>
                <w:rFonts w:ascii="Arial" w:cs="Arial" w:eastAsia="Arial" w:hAnsi="Arial"/>
                <w:sz w:val="16"/>
                <w:szCs w:val="16"/>
                <w:color w:val="auto"/>
                <w:w w:val="93"/>
                <w:vertAlign w:val="superscript"/>
              </w:rPr>
              <w:t>(9)</w:t>
            </w:r>
          </w:p>
        </w:tc>
        <w:tc>
          <w:tcPr>
            <w:tcW w:w="1420" w:type="dxa"/>
            <w:vAlign w:val="bottom"/>
            <w:shd w:val="clear" w:color="auto" w:fill="E7E6E6"/>
          </w:tcPr>
          <w:p>
            <w:pPr>
              <w:jc w:val="center"/>
              <w:ind w:left="197"/>
              <w:spacing w:after="0" w:line="142" w:lineRule="exact"/>
              <w:rPr>
                <w:sz w:val="20"/>
                <w:szCs w:val="20"/>
                <w:color w:val="auto"/>
              </w:rPr>
            </w:pPr>
            <w:r>
              <w:rPr>
                <w:rFonts w:ascii="Arial" w:cs="Arial" w:eastAsia="Arial" w:hAnsi="Arial"/>
                <w:sz w:val="13"/>
                <w:szCs w:val="13"/>
                <w:b w:val="1"/>
                <w:bCs w:val="1"/>
                <w:color w:val="auto"/>
                <w:w w:val="97"/>
              </w:rPr>
              <w:t>4.70%</w:t>
            </w:r>
          </w:p>
        </w:tc>
        <w:tc>
          <w:tcPr>
            <w:tcW w:w="280" w:type="dxa"/>
            <w:vAlign w:val="bottom"/>
            <w:shd w:val="clear" w:color="auto" w:fill="E7E6E6"/>
          </w:tcPr>
          <w:p>
            <w:pPr>
              <w:jc w:val="right"/>
              <w:ind w:right="17"/>
              <w:spacing w:after="0" w:line="142"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1,570,050</w:t>
            </w:r>
          </w:p>
        </w:tc>
        <w:tc>
          <w:tcPr>
            <w:tcW w:w="1820" w:type="dxa"/>
            <w:vAlign w:val="bottom"/>
            <w:gridSpan w:val="2"/>
            <w:shd w:val="clear" w:color="auto" w:fill="E7E6E6"/>
          </w:tcPr>
          <w:p>
            <w:pPr>
              <w:jc w:val="center"/>
              <w:ind w:left="37"/>
              <w:spacing w:after="0" w:line="142" w:lineRule="exact"/>
              <w:rPr>
                <w:sz w:val="20"/>
                <w:szCs w:val="20"/>
                <w:color w:val="auto"/>
              </w:rPr>
            </w:pPr>
            <w:r>
              <w:rPr>
                <w:rFonts w:ascii="Arial" w:cs="Arial" w:eastAsia="Arial" w:hAnsi="Arial"/>
                <w:sz w:val="13"/>
                <w:szCs w:val="13"/>
                <w:b w:val="1"/>
                <w:bCs w:val="1"/>
                <w:color w:val="auto"/>
                <w:w w:val="97"/>
              </w:rPr>
              <w:t>91.1%</w:t>
            </w:r>
          </w:p>
        </w:tc>
        <w:tc>
          <w:tcPr>
            <w:tcW w:w="0" w:type="dxa"/>
            <w:vAlign w:val="bottom"/>
          </w:tcPr>
          <w:p>
            <w:pPr>
              <w:spacing w:after="0"/>
              <w:rPr>
                <w:sz w:val="1"/>
                <w:szCs w:val="1"/>
                <w:color w:val="auto"/>
              </w:rPr>
            </w:pPr>
          </w:p>
        </w:tc>
      </w:tr>
      <w:tr>
        <w:trPr>
          <w:trHeight w:val="142"/>
        </w:trPr>
        <w:tc>
          <w:tcPr>
            <w:tcW w:w="340" w:type="dxa"/>
            <w:vAlign w:val="bottom"/>
            <w:shd w:val="clear" w:color="auto" w:fill="E7E6E6"/>
          </w:tcPr>
          <w:p>
            <w:pPr>
              <w:spacing w:after="0"/>
              <w:rPr>
                <w:sz w:val="12"/>
                <w:szCs w:val="12"/>
                <w:color w:val="auto"/>
              </w:rPr>
            </w:pPr>
          </w:p>
        </w:tc>
        <w:tc>
          <w:tcPr>
            <w:tcW w:w="4460" w:type="dxa"/>
            <w:vAlign w:val="bottom"/>
            <w:shd w:val="clear" w:color="auto" w:fill="E7E6E6"/>
          </w:tcPr>
          <w:p>
            <w:pPr>
              <w:spacing w:after="0"/>
              <w:rPr>
                <w:sz w:val="12"/>
                <w:szCs w:val="12"/>
                <w:color w:val="auto"/>
              </w:rPr>
            </w:pPr>
          </w:p>
        </w:tc>
        <w:tc>
          <w:tcPr>
            <w:tcW w:w="1760" w:type="dxa"/>
            <w:vAlign w:val="bottom"/>
            <w:shd w:val="clear" w:color="auto" w:fill="E7E6E6"/>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(wtd-avg maturity)</w:t>
            </w:r>
          </w:p>
        </w:tc>
        <w:tc>
          <w:tcPr>
            <w:tcW w:w="1420" w:type="dxa"/>
            <w:vAlign w:val="bottom"/>
            <w:shd w:val="clear" w:color="auto" w:fill="E7E6E6"/>
          </w:tcPr>
          <w:p>
            <w:pPr>
              <w:jc w:val="center"/>
              <w:ind w:left="197"/>
              <w:spacing w:after="0" w:line="142" w:lineRule="exact"/>
              <w:rPr>
                <w:sz w:val="20"/>
                <w:szCs w:val="20"/>
                <w:color w:val="auto"/>
              </w:rPr>
            </w:pPr>
            <w:r>
              <w:rPr>
                <w:rFonts w:ascii="Arial" w:cs="Arial" w:eastAsia="Arial" w:hAnsi="Arial"/>
                <w:sz w:val="13"/>
                <w:szCs w:val="13"/>
                <w:b w:val="1"/>
                <w:bCs w:val="1"/>
                <w:color w:val="auto"/>
                <w:w w:val="98"/>
              </w:rPr>
              <w:t>(wtd-avg rate)</w:t>
            </w:r>
          </w:p>
        </w:tc>
        <w:tc>
          <w:tcPr>
            <w:tcW w:w="280" w:type="dxa"/>
            <w:vAlign w:val="bottom"/>
            <w:shd w:val="clear" w:color="auto" w:fill="E7E6E6"/>
          </w:tcPr>
          <w:p>
            <w:pPr>
              <w:spacing w:after="0"/>
              <w:rPr>
                <w:sz w:val="12"/>
                <w:szCs w:val="12"/>
                <w:color w:val="auto"/>
              </w:rPr>
            </w:pPr>
          </w:p>
        </w:tc>
        <w:tc>
          <w:tcPr>
            <w:tcW w:w="11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7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4800" w:type="dxa"/>
            <w:vAlign w:val="bottom"/>
            <w:gridSpan w:val="2"/>
          </w:tcPr>
          <w:p>
            <w:pPr>
              <w:spacing w:after="0"/>
              <w:rPr>
                <w:sz w:val="20"/>
                <w:szCs w:val="20"/>
                <w:color w:val="auto"/>
              </w:rPr>
            </w:pPr>
            <w:r>
              <w:rPr>
                <w:rFonts w:ascii="Arial" w:cs="Arial" w:eastAsia="Arial" w:hAnsi="Arial"/>
                <w:sz w:val="13"/>
                <w:szCs w:val="13"/>
                <w:b w:val="1"/>
                <w:bCs w:val="1"/>
                <w:color w:val="auto"/>
              </w:rPr>
              <w:t>Secured mortgage debt</w:t>
            </w:r>
          </w:p>
        </w:tc>
        <w:tc>
          <w:tcPr>
            <w:tcW w:w="1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USFS II - Albuquerque</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5"/>
              </w:rPr>
              <w:t>14-Jul-26</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4.46%</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6,932</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0.4%</w:t>
            </w:r>
          </w:p>
        </w:tc>
        <w:tc>
          <w:tcPr>
            <w:tcW w:w="0" w:type="dxa"/>
            <w:vAlign w:val="bottom"/>
          </w:tcPr>
          <w:p>
            <w:pPr>
              <w:spacing w:after="0"/>
              <w:rPr>
                <w:sz w:val="1"/>
                <w:szCs w:val="1"/>
                <w:color w:val="auto"/>
              </w:rPr>
            </w:pPr>
          </w:p>
        </w:tc>
      </w:tr>
      <w:tr>
        <w:trPr>
          <w:trHeight w:val="142"/>
        </w:trPr>
        <w:tc>
          <w:tcPr>
            <w:tcW w:w="480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ICE - Charleston</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5"/>
              </w:rPr>
              <w:t>15-Jan-27</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4.21%</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8,517</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0.5%</w:t>
            </w:r>
          </w:p>
        </w:tc>
        <w:tc>
          <w:tcPr>
            <w:tcW w:w="0" w:type="dxa"/>
            <w:vAlign w:val="bottom"/>
          </w:tcPr>
          <w:p>
            <w:pPr>
              <w:spacing w:after="0"/>
              <w:rPr>
                <w:sz w:val="1"/>
                <w:szCs w:val="1"/>
                <w:color w:val="auto"/>
              </w:rPr>
            </w:pPr>
          </w:p>
        </w:tc>
      </w:tr>
      <w:tr>
        <w:trPr>
          <w:trHeight w:val="142"/>
        </w:trPr>
        <w:tc>
          <w:tcPr>
            <w:tcW w:w="480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VA - Loma Linda</w:t>
            </w:r>
          </w:p>
        </w:tc>
        <w:tc>
          <w:tcPr>
            <w:tcW w:w="17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3"/>
              </w:rPr>
              <w:t>6-Jul-27</w:t>
            </w:r>
          </w:p>
        </w:tc>
        <w:tc>
          <w:tcPr>
            <w:tcW w:w="1420" w:type="dxa"/>
            <w:vAlign w:val="bottom"/>
          </w:tcPr>
          <w:p>
            <w:pPr>
              <w:jc w:val="center"/>
              <w:ind w:left="197"/>
              <w:spacing w:after="0" w:line="142" w:lineRule="exact"/>
              <w:rPr>
                <w:sz w:val="20"/>
                <w:szCs w:val="20"/>
                <w:color w:val="auto"/>
              </w:rPr>
            </w:pPr>
            <w:r>
              <w:rPr>
                <w:rFonts w:ascii="Arial" w:cs="Arial" w:eastAsia="Arial" w:hAnsi="Arial"/>
                <w:sz w:val="13"/>
                <w:szCs w:val="13"/>
                <w:color w:val="auto"/>
                <w:w w:val="97"/>
              </w:rPr>
              <w:t>3.59%</w:t>
            </w:r>
          </w:p>
        </w:tc>
        <w:tc>
          <w:tcPr>
            <w:tcW w:w="280" w:type="dxa"/>
            <w:vAlign w:val="bottom"/>
          </w:tcPr>
          <w:p>
            <w:pPr>
              <w:spacing w:after="0"/>
              <w:rPr>
                <w:sz w:val="12"/>
                <w:szCs w:val="12"/>
                <w:color w:val="auto"/>
              </w:rPr>
            </w:pPr>
          </w:p>
        </w:tc>
        <w:tc>
          <w:tcPr>
            <w:tcW w:w="1180" w:type="dxa"/>
            <w:vAlign w:val="bottom"/>
          </w:tcPr>
          <w:p>
            <w:pPr>
              <w:jc w:val="right"/>
              <w:spacing w:after="0" w:line="142" w:lineRule="exact"/>
              <w:rPr>
                <w:sz w:val="20"/>
                <w:szCs w:val="20"/>
                <w:color w:val="auto"/>
              </w:rPr>
            </w:pPr>
            <w:r>
              <w:rPr>
                <w:rFonts w:ascii="Arial" w:cs="Arial" w:eastAsia="Arial" w:hAnsi="Arial"/>
                <w:sz w:val="13"/>
                <w:szCs w:val="13"/>
                <w:color w:val="auto"/>
              </w:rPr>
              <w:t>127,500</w:t>
            </w:r>
          </w:p>
        </w:tc>
        <w:tc>
          <w:tcPr>
            <w:tcW w:w="1820" w:type="dxa"/>
            <w:vAlign w:val="bottom"/>
            <w:gridSpan w:val="2"/>
          </w:tcPr>
          <w:p>
            <w:pPr>
              <w:jc w:val="center"/>
              <w:ind w:left="37"/>
              <w:spacing w:after="0" w:line="142" w:lineRule="exact"/>
              <w:rPr>
                <w:sz w:val="20"/>
                <w:szCs w:val="20"/>
                <w:color w:val="auto"/>
              </w:rPr>
            </w:pPr>
            <w:r>
              <w:rPr>
                <w:rFonts w:ascii="Arial" w:cs="Arial" w:eastAsia="Arial" w:hAnsi="Arial"/>
                <w:sz w:val="13"/>
                <w:szCs w:val="13"/>
                <w:color w:val="auto"/>
                <w:w w:val="94"/>
              </w:rPr>
              <w:t>7.5%</w:t>
            </w:r>
          </w:p>
        </w:tc>
        <w:tc>
          <w:tcPr>
            <w:tcW w:w="0" w:type="dxa"/>
            <w:vAlign w:val="bottom"/>
          </w:tcPr>
          <w:p>
            <w:pPr>
              <w:spacing w:after="0"/>
              <w:rPr>
                <w:sz w:val="1"/>
                <w:szCs w:val="1"/>
                <w:color w:val="auto"/>
              </w:rPr>
            </w:pPr>
          </w:p>
        </w:tc>
      </w:tr>
      <w:tr>
        <w:trPr>
          <w:trHeight w:val="150"/>
        </w:trPr>
        <w:tc>
          <w:tcPr>
            <w:tcW w:w="4800" w:type="dxa"/>
            <w:vAlign w:val="bottom"/>
            <w:gridSpan w:val="2"/>
          </w:tcPr>
          <w:p>
            <w:pPr>
              <w:ind w:left="40"/>
              <w:spacing w:after="0"/>
              <w:rPr>
                <w:sz w:val="20"/>
                <w:szCs w:val="20"/>
                <w:color w:val="auto"/>
              </w:rPr>
            </w:pPr>
            <w:r>
              <w:rPr>
                <w:rFonts w:ascii="Arial" w:cs="Arial" w:eastAsia="Arial" w:hAnsi="Arial"/>
                <w:sz w:val="13"/>
                <w:szCs w:val="13"/>
                <w:color w:val="auto"/>
              </w:rPr>
              <w:t>CBP - Savannah</w:t>
            </w:r>
          </w:p>
        </w:tc>
        <w:tc>
          <w:tcPr>
            <w:tcW w:w="1760" w:type="dxa"/>
            <w:vAlign w:val="bottom"/>
          </w:tcPr>
          <w:p>
            <w:pPr>
              <w:jc w:val="center"/>
              <w:ind w:right="17"/>
              <w:spacing w:after="0"/>
              <w:rPr>
                <w:sz w:val="20"/>
                <w:szCs w:val="20"/>
                <w:color w:val="auto"/>
              </w:rPr>
            </w:pPr>
            <w:r>
              <w:rPr>
                <w:rFonts w:ascii="Arial" w:cs="Arial" w:eastAsia="Arial" w:hAnsi="Arial"/>
                <w:sz w:val="13"/>
                <w:szCs w:val="13"/>
                <w:color w:val="auto"/>
                <w:w w:val="95"/>
              </w:rPr>
              <w:t>10-Jul-33</w:t>
            </w:r>
          </w:p>
        </w:tc>
        <w:tc>
          <w:tcPr>
            <w:tcW w:w="1420" w:type="dxa"/>
            <w:vAlign w:val="bottom"/>
          </w:tcPr>
          <w:p>
            <w:pPr>
              <w:jc w:val="center"/>
              <w:ind w:left="197"/>
              <w:spacing w:after="0"/>
              <w:rPr>
                <w:sz w:val="20"/>
                <w:szCs w:val="20"/>
                <w:color w:val="auto"/>
              </w:rPr>
            </w:pPr>
            <w:r>
              <w:rPr>
                <w:rFonts w:ascii="Arial" w:cs="Arial" w:eastAsia="Arial" w:hAnsi="Arial"/>
                <w:sz w:val="13"/>
                <w:szCs w:val="13"/>
                <w:color w:val="auto"/>
                <w:w w:val="97"/>
              </w:rPr>
              <w:t>3.40%</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7,561</w:t>
            </w:r>
          </w:p>
        </w:tc>
        <w:tc>
          <w:tcPr>
            <w:tcW w:w="1820" w:type="dxa"/>
            <w:vAlign w:val="bottom"/>
            <w:gridSpan w:val="2"/>
          </w:tcPr>
          <w:p>
            <w:pPr>
              <w:jc w:val="center"/>
              <w:ind w:left="37"/>
              <w:spacing w:after="0"/>
              <w:rPr>
                <w:sz w:val="20"/>
                <w:szCs w:val="20"/>
                <w:color w:val="auto"/>
              </w:rPr>
            </w:pPr>
            <w:r>
              <w:rPr>
                <w:rFonts w:ascii="Arial" w:cs="Arial" w:eastAsia="Arial" w:hAnsi="Arial"/>
                <w:sz w:val="13"/>
                <w:szCs w:val="13"/>
                <w:color w:val="auto"/>
                <w:w w:val="94"/>
              </w:rPr>
              <w:t>0.5%</w:t>
            </w:r>
          </w:p>
        </w:tc>
        <w:tc>
          <w:tcPr>
            <w:tcW w:w="0" w:type="dxa"/>
            <w:vAlign w:val="bottom"/>
          </w:tcPr>
          <w:p>
            <w:pPr>
              <w:spacing w:after="0"/>
              <w:rPr>
                <w:sz w:val="1"/>
                <w:szCs w:val="1"/>
                <w:color w:val="auto"/>
              </w:rPr>
            </w:pPr>
          </w:p>
        </w:tc>
      </w:tr>
      <w:tr>
        <w:trPr>
          <w:trHeight w:val="142"/>
        </w:trPr>
        <w:tc>
          <w:tcPr>
            <w:tcW w:w="4800" w:type="dxa"/>
            <w:vAlign w:val="bottom"/>
            <w:gridSpan w:val="2"/>
            <w:shd w:val="clear" w:color="auto" w:fill="E7E6E6"/>
          </w:tcPr>
          <w:p>
            <w:pPr>
              <w:ind w:left="40"/>
              <w:spacing w:after="0" w:line="142" w:lineRule="exact"/>
              <w:rPr>
                <w:sz w:val="20"/>
                <w:szCs w:val="20"/>
                <w:color w:val="auto"/>
              </w:rPr>
            </w:pPr>
            <w:r>
              <w:rPr>
                <w:rFonts w:ascii="Arial" w:cs="Arial" w:eastAsia="Arial" w:hAnsi="Arial"/>
                <w:sz w:val="13"/>
                <w:szCs w:val="13"/>
                <w:b w:val="1"/>
                <w:bCs w:val="1"/>
                <w:color w:val="auto"/>
              </w:rPr>
              <w:t>Total secured mortgage debt</w:t>
            </w:r>
          </w:p>
        </w:tc>
        <w:tc>
          <w:tcPr>
            <w:tcW w:w="1760" w:type="dxa"/>
            <w:vAlign w:val="bottom"/>
            <w:shd w:val="clear" w:color="auto" w:fill="E7E6E6"/>
          </w:tcPr>
          <w:p>
            <w:pPr>
              <w:jc w:val="center"/>
              <w:spacing w:after="0" w:line="142" w:lineRule="exact"/>
              <w:rPr>
                <w:sz w:val="20"/>
                <w:szCs w:val="20"/>
                <w:color w:val="auto"/>
              </w:rPr>
            </w:pPr>
            <w:r>
              <w:rPr>
                <w:rFonts w:ascii="Arial" w:cs="Arial" w:eastAsia="Arial" w:hAnsi="Arial"/>
                <w:sz w:val="13"/>
                <w:szCs w:val="13"/>
                <w:b w:val="1"/>
                <w:bCs w:val="1"/>
                <w:color w:val="auto"/>
                <w:w w:val="96"/>
              </w:rPr>
              <w:t>1.5 years</w:t>
            </w:r>
          </w:p>
        </w:tc>
        <w:tc>
          <w:tcPr>
            <w:tcW w:w="1420" w:type="dxa"/>
            <w:vAlign w:val="bottom"/>
            <w:shd w:val="clear" w:color="auto" w:fill="E7E6E6"/>
          </w:tcPr>
          <w:p>
            <w:pPr>
              <w:jc w:val="center"/>
              <w:ind w:left="197"/>
              <w:spacing w:after="0" w:line="142" w:lineRule="exact"/>
              <w:rPr>
                <w:sz w:val="20"/>
                <w:szCs w:val="20"/>
                <w:color w:val="auto"/>
              </w:rPr>
            </w:pPr>
            <w:r>
              <w:rPr>
                <w:rFonts w:ascii="Arial" w:cs="Arial" w:eastAsia="Arial" w:hAnsi="Arial"/>
                <w:sz w:val="13"/>
                <w:szCs w:val="13"/>
                <w:b w:val="1"/>
                <w:bCs w:val="1"/>
                <w:color w:val="auto"/>
                <w:w w:val="97"/>
              </w:rPr>
              <w:t>3.66%</w:t>
            </w:r>
          </w:p>
        </w:tc>
        <w:tc>
          <w:tcPr>
            <w:tcW w:w="280" w:type="dxa"/>
            <w:vAlign w:val="bottom"/>
            <w:shd w:val="clear" w:color="auto" w:fill="E7E6E6"/>
          </w:tcPr>
          <w:p>
            <w:pPr>
              <w:jc w:val="right"/>
              <w:ind w:right="17"/>
              <w:spacing w:after="0" w:line="142"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150,510</w:t>
            </w:r>
          </w:p>
        </w:tc>
        <w:tc>
          <w:tcPr>
            <w:tcW w:w="1820" w:type="dxa"/>
            <w:vAlign w:val="bottom"/>
            <w:gridSpan w:val="2"/>
            <w:shd w:val="clear" w:color="auto" w:fill="E7E6E6"/>
          </w:tcPr>
          <w:p>
            <w:pPr>
              <w:jc w:val="center"/>
              <w:ind w:left="37"/>
              <w:spacing w:after="0" w:line="142" w:lineRule="exact"/>
              <w:rPr>
                <w:sz w:val="20"/>
                <w:szCs w:val="20"/>
                <w:color w:val="auto"/>
              </w:rPr>
            </w:pPr>
            <w:r>
              <w:rPr>
                <w:rFonts w:ascii="Arial" w:cs="Arial" w:eastAsia="Arial" w:hAnsi="Arial"/>
                <w:sz w:val="13"/>
                <w:szCs w:val="13"/>
                <w:b w:val="1"/>
                <w:bCs w:val="1"/>
                <w:color w:val="auto"/>
                <w:w w:val="94"/>
              </w:rPr>
              <w:t>8.9%</w:t>
            </w:r>
          </w:p>
        </w:tc>
        <w:tc>
          <w:tcPr>
            <w:tcW w:w="0" w:type="dxa"/>
            <w:vAlign w:val="bottom"/>
          </w:tcPr>
          <w:p>
            <w:pPr>
              <w:spacing w:after="0"/>
              <w:rPr>
                <w:sz w:val="1"/>
                <w:szCs w:val="1"/>
                <w:color w:val="auto"/>
              </w:rPr>
            </w:pPr>
          </w:p>
        </w:tc>
      </w:tr>
      <w:tr>
        <w:trPr>
          <w:trHeight w:val="142"/>
        </w:trPr>
        <w:tc>
          <w:tcPr>
            <w:tcW w:w="340" w:type="dxa"/>
            <w:vAlign w:val="bottom"/>
            <w:shd w:val="clear" w:color="auto" w:fill="E7E6E6"/>
          </w:tcPr>
          <w:p>
            <w:pPr>
              <w:spacing w:after="0"/>
              <w:rPr>
                <w:sz w:val="12"/>
                <w:szCs w:val="12"/>
                <w:color w:val="auto"/>
              </w:rPr>
            </w:pPr>
          </w:p>
        </w:tc>
        <w:tc>
          <w:tcPr>
            <w:tcW w:w="4460" w:type="dxa"/>
            <w:vAlign w:val="bottom"/>
            <w:shd w:val="clear" w:color="auto" w:fill="E7E6E6"/>
          </w:tcPr>
          <w:p>
            <w:pPr>
              <w:spacing w:after="0"/>
              <w:rPr>
                <w:sz w:val="12"/>
                <w:szCs w:val="12"/>
                <w:color w:val="auto"/>
              </w:rPr>
            </w:pPr>
          </w:p>
        </w:tc>
        <w:tc>
          <w:tcPr>
            <w:tcW w:w="1760" w:type="dxa"/>
            <w:vAlign w:val="bottom"/>
            <w:shd w:val="clear" w:color="auto" w:fill="E7E6E6"/>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(wtd-avg maturity)</w:t>
            </w:r>
          </w:p>
        </w:tc>
        <w:tc>
          <w:tcPr>
            <w:tcW w:w="1420" w:type="dxa"/>
            <w:vAlign w:val="bottom"/>
            <w:shd w:val="clear" w:color="auto" w:fill="E7E6E6"/>
          </w:tcPr>
          <w:p>
            <w:pPr>
              <w:jc w:val="center"/>
              <w:ind w:left="197"/>
              <w:spacing w:after="0" w:line="142" w:lineRule="exact"/>
              <w:rPr>
                <w:sz w:val="20"/>
                <w:szCs w:val="20"/>
                <w:color w:val="auto"/>
              </w:rPr>
            </w:pPr>
            <w:r>
              <w:rPr>
                <w:rFonts w:ascii="Arial" w:cs="Arial" w:eastAsia="Arial" w:hAnsi="Arial"/>
                <w:sz w:val="13"/>
                <w:szCs w:val="13"/>
                <w:b w:val="1"/>
                <w:bCs w:val="1"/>
                <w:color w:val="auto"/>
                <w:w w:val="98"/>
              </w:rPr>
              <w:t>(wtd-avg rate)</w:t>
            </w:r>
          </w:p>
        </w:tc>
        <w:tc>
          <w:tcPr>
            <w:tcW w:w="280" w:type="dxa"/>
            <w:vAlign w:val="bottom"/>
            <w:shd w:val="clear" w:color="auto" w:fill="E7E6E6"/>
          </w:tcPr>
          <w:p>
            <w:pPr>
              <w:spacing w:after="0"/>
              <w:rPr>
                <w:sz w:val="12"/>
                <w:szCs w:val="12"/>
                <w:color w:val="auto"/>
              </w:rPr>
            </w:pPr>
          </w:p>
        </w:tc>
        <w:tc>
          <w:tcPr>
            <w:tcW w:w="11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70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5" w:hanging="125"/>
        <w:spacing w:after="0"/>
        <w:tabs>
          <w:tab w:leader="none" w:pos="125" w:val="left"/>
        </w:tabs>
        <w:numPr>
          <w:ilvl w:val="0"/>
          <w:numId w:val="9"/>
        </w:numPr>
        <w:rPr>
          <w:rFonts w:ascii="Arial" w:cs="Arial" w:eastAsia="Arial" w:hAnsi="Arial"/>
          <w:sz w:val="15"/>
          <w:szCs w:val="15"/>
          <w:color w:val="53565A"/>
          <w:vertAlign w:val="superscript"/>
        </w:rPr>
      </w:pPr>
      <w:r>
        <w:rPr>
          <w:rFonts w:ascii="Arial" w:cs="Arial" w:eastAsia="Arial" w:hAnsi="Arial"/>
          <w:sz w:val="11"/>
          <w:szCs w:val="11"/>
          <w:color w:val="53565A"/>
        </w:rPr>
        <w:t>Excludes unamortized premiums / discounts and deferred financing fees.</w:t>
      </w:r>
    </w:p>
    <w:p>
      <w:pPr>
        <w:spacing w:after="0" w:line="52" w:lineRule="exact"/>
        <w:rPr>
          <w:rFonts w:ascii="Arial" w:cs="Arial" w:eastAsia="Arial" w:hAnsi="Arial"/>
          <w:sz w:val="15"/>
          <w:szCs w:val="15"/>
          <w:color w:val="53565A"/>
          <w:vertAlign w:val="superscript"/>
        </w:rPr>
      </w:pPr>
    </w:p>
    <w:p>
      <w:pPr>
        <w:ind w:left="125" w:hanging="125"/>
        <w:spacing w:after="0"/>
        <w:tabs>
          <w:tab w:leader="none" w:pos="125" w:val="left"/>
        </w:tabs>
        <w:numPr>
          <w:ilvl w:val="0"/>
          <w:numId w:val="9"/>
        </w:numPr>
        <w:rPr>
          <w:rFonts w:ascii="Arial" w:cs="Arial" w:eastAsia="Arial" w:hAnsi="Arial"/>
          <w:sz w:val="15"/>
          <w:szCs w:val="15"/>
          <w:color w:val="53565A"/>
          <w:vertAlign w:val="superscript"/>
        </w:rPr>
      </w:pPr>
      <w:r>
        <w:rPr>
          <w:rFonts w:ascii="Arial" w:cs="Arial" w:eastAsia="Arial" w:hAnsi="Arial"/>
          <w:sz w:val="11"/>
          <w:szCs w:val="11"/>
          <w:color w:val="53565A"/>
        </w:rPr>
        <w:t>2024 revolving credit facility has two six-month as-of-right extension options, subject to certain conditions and the payment of an extension fee.</w:t>
      </w:r>
    </w:p>
    <w:p>
      <w:pPr>
        <w:spacing w:after="0" w:line="46" w:lineRule="exact"/>
        <w:rPr>
          <w:rFonts w:ascii="Arial" w:cs="Arial" w:eastAsia="Arial" w:hAnsi="Arial"/>
          <w:sz w:val="15"/>
          <w:szCs w:val="15"/>
          <w:color w:val="53565A"/>
          <w:vertAlign w:val="superscript"/>
        </w:rPr>
      </w:pPr>
    </w:p>
    <w:p>
      <w:pPr>
        <w:ind w:left="5" w:right="240" w:hanging="5"/>
        <w:spacing w:after="0" w:line="229" w:lineRule="auto"/>
        <w:tabs>
          <w:tab w:leader="none" w:pos="132" w:val="left"/>
        </w:tabs>
        <w:numPr>
          <w:ilvl w:val="0"/>
          <w:numId w:val="9"/>
        </w:numPr>
        <w:rPr>
          <w:rFonts w:ascii="Arial" w:cs="Arial" w:eastAsia="Arial" w:hAnsi="Arial"/>
          <w:sz w:val="16"/>
          <w:szCs w:val="16"/>
          <w:color w:val="53565A"/>
          <w:vertAlign w:val="superscript"/>
        </w:rPr>
      </w:pPr>
      <w:r>
        <w:rPr>
          <w:rFonts w:ascii="Arial" w:cs="Arial" w:eastAsia="Arial" w:hAnsi="Arial"/>
          <w:sz w:val="12"/>
          <w:szCs w:val="12"/>
          <w:color w:val="53565A"/>
        </w:rPr>
        <w:t>At March 31, 2026, the USD SOFR with a five day lookback ("SOFR" or "S") was 3.63%. The spread over the applicable rate for our 2024 revolving credit facility is based on the Company's current consolidated leverage ratio.</w:t>
      </w:r>
    </w:p>
    <w:p>
      <w:pPr>
        <w:spacing w:after="0" w:line="18" w:lineRule="exact"/>
        <w:rPr>
          <w:rFonts w:ascii="Arial" w:cs="Arial" w:eastAsia="Arial" w:hAnsi="Arial"/>
          <w:sz w:val="16"/>
          <w:szCs w:val="16"/>
          <w:color w:val="53565A"/>
          <w:vertAlign w:val="superscript"/>
        </w:rPr>
      </w:pPr>
    </w:p>
    <w:p>
      <w:pPr>
        <w:ind w:left="145" w:hanging="145"/>
        <w:spacing w:after="0"/>
        <w:tabs>
          <w:tab w:leader="none" w:pos="145" w:val="left"/>
        </w:tabs>
        <w:numPr>
          <w:ilvl w:val="0"/>
          <w:numId w:val="9"/>
        </w:numPr>
        <w:rPr>
          <w:rFonts w:ascii="Arial" w:cs="Arial" w:eastAsia="Arial" w:hAnsi="Arial"/>
          <w:sz w:val="17"/>
          <w:szCs w:val="17"/>
          <w:color w:val="53565A"/>
          <w:vertAlign w:val="superscript"/>
        </w:rPr>
      </w:pPr>
      <w:r>
        <w:rPr>
          <w:rFonts w:ascii="Arial" w:cs="Arial" w:eastAsia="Arial" w:hAnsi="Arial"/>
          <w:sz w:val="13"/>
          <w:szCs w:val="13"/>
          <w:color w:val="53565A"/>
        </w:rPr>
        <w:t>2016 term loan facility has two one-year as-of-right extension options, subject to certain conditions and the payment of an extension fee.</w:t>
      </w:r>
    </w:p>
    <w:p>
      <w:pPr>
        <w:spacing w:after="0" w:line="58" w:lineRule="exact"/>
        <w:rPr>
          <w:rFonts w:ascii="Arial" w:cs="Arial" w:eastAsia="Arial" w:hAnsi="Arial"/>
          <w:sz w:val="17"/>
          <w:szCs w:val="17"/>
          <w:color w:val="53565A"/>
          <w:vertAlign w:val="superscript"/>
        </w:rPr>
      </w:pPr>
    </w:p>
    <w:p>
      <w:pPr>
        <w:ind w:left="5" w:right="340" w:hanging="5"/>
        <w:spacing w:after="0" w:line="214" w:lineRule="auto"/>
        <w:tabs>
          <w:tab w:leader="none" w:pos="143" w:val="left"/>
        </w:tabs>
        <w:numPr>
          <w:ilvl w:val="0"/>
          <w:numId w:val="9"/>
        </w:numPr>
        <w:rPr>
          <w:rFonts w:ascii="Arial" w:cs="Arial" w:eastAsia="Arial" w:hAnsi="Arial"/>
          <w:sz w:val="17"/>
          <w:szCs w:val="17"/>
          <w:color w:val="53565A"/>
          <w:vertAlign w:val="superscript"/>
        </w:rPr>
      </w:pPr>
      <w:r>
        <w:rPr>
          <w:rFonts w:ascii="Arial" w:cs="Arial" w:eastAsia="Arial" w:hAnsi="Arial"/>
          <w:sz w:val="13"/>
          <w:szCs w:val="13"/>
          <w:color w:val="53565A"/>
        </w:rPr>
        <w:t>Calculated based on three interest rate swaps with a total notional value of $100.0 million, which effectively fixes the interest rate at 5.31% annually based on the Company’s current consolidated leverage ratio. The interest rate swaps mature on December 23, 2027, which is not coterminous with the maturity date of the 2016 term loan facility.</w:t>
      </w:r>
    </w:p>
    <w:p>
      <w:pPr>
        <w:spacing w:after="0" w:line="17" w:lineRule="exact"/>
        <w:rPr>
          <w:rFonts w:ascii="Arial" w:cs="Arial" w:eastAsia="Arial" w:hAnsi="Arial"/>
          <w:sz w:val="17"/>
          <w:szCs w:val="17"/>
          <w:color w:val="53565A"/>
          <w:vertAlign w:val="superscript"/>
        </w:rPr>
      </w:pPr>
    </w:p>
    <w:p>
      <w:pPr>
        <w:ind w:left="145" w:hanging="145"/>
        <w:spacing w:after="0"/>
        <w:tabs>
          <w:tab w:leader="none" w:pos="145" w:val="left"/>
        </w:tabs>
        <w:numPr>
          <w:ilvl w:val="0"/>
          <w:numId w:val="9"/>
        </w:numPr>
        <w:rPr>
          <w:rFonts w:ascii="Arial" w:cs="Arial" w:eastAsia="Arial" w:hAnsi="Arial"/>
          <w:sz w:val="17"/>
          <w:szCs w:val="17"/>
          <w:color w:val="53565A"/>
          <w:vertAlign w:val="superscript"/>
        </w:rPr>
      </w:pPr>
      <w:r>
        <w:rPr>
          <w:rFonts w:ascii="Arial" w:cs="Arial" w:eastAsia="Arial" w:hAnsi="Arial"/>
          <w:sz w:val="13"/>
          <w:szCs w:val="13"/>
          <w:color w:val="53565A"/>
        </w:rPr>
        <w:t>2018 term loan facility has two one-year as-of-right extension options, subject to certain conditions and the payment of an extension fee.</w:t>
      </w:r>
    </w:p>
    <w:p>
      <w:pPr>
        <w:spacing w:after="0" w:line="46" w:lineRule="exact"/>
        <w:rPr>
          <w:rFonts w:ascii="Arial" w:cs="Arial" w:eastAsia="Arial" w:hAnsi="Arial"/>
          <w:sz w:val="17"/>
          <w:szCs w:val="17"/>
          <w:color w:val="53565A"/>
          <w:vertAlign w:val="superscript"/>
        </w:rPr>
      </w:pPr>
    </w:p>
    <w:p>
      <w:pPr>
        <w:ind w:left="5" w:right="20" w:hanging="5"/>
        <w:spacing w:after="0" w:line="234" w:lineRule="auto"/>
        <w:tabs>
          <w:tab w:leader="none" w:pos="132" w:val="left"/>
        </w:tabs>
        <w:numPr>
          <w:ilvl w:val="0"/>
          <w:numId w:val="9"/>
        </w:numPr>
        <w:rPr>
          <w:rFonts w:ascii="Arial" w:cs="Arial" w:eastAsia="Arial" w:hAnsi="Arial"/>
          <w:sz w:val="16"/>
          <w:szCs w:val="16"/>
          <w:color w:val="53565A"/>
          <w:vertAlign w:val="superscript"/>
        </w:rPr>
      </w:pPr>
      <w:r>
        <w:rPr>
          <w:rFonts w:ascii="Arial" w:cs="Arial" w:eastAsia="Arial" w:hAnsi="Arial"/>
          <w:sz w:val="12"/>
          <w:szCs w:val="12"/>
          <w:color w:val="53565A"/>
        </w:rPr>
        <w:t>Calculated based on three interest rate swaps with an aggregate notional value of $200.0 million, which effectively fixes the interest rate at 5.09% annually based on the Company’s current consolidated leverage ratio. One of the interest rate swaps matures on April 1, 2028 and the other two interest rate swaps mature on July 1, 2028, none of which are coterminous with the maturity date of the 2018 term loan facility.</w:t>
      </w:r>
    </w:p>
    <w:p>
      <w:pPr>
        <w:spacing w:after="0" w:line="30" w:lineRule="exact"/>
        <w:rPr>
          <w:rFonts w:ascii="Arial" w:cs="Arial" w:eastAsia="Arial" w:hAnsi="Arial"/>
          <w:sz w:val="16"/>
          <w:szCs w:val="16"/>
          <w:color w:val="53565A"/>
          <w:vertAlign w:val="superscript"/>
        </w:rPr>
      </w:pPr>
    </w:p>
    <w:p>
      <w:pPr>
        <w:ind w:left="145" w:hanging="145"/>
        <w:spacing w:after="0"/>
        <w:tabs>
          <w:tab w:leader="none" w:pos="145" w:val="left"/>
        </w:tabs>
        <w:numPr>
          <w:ilvl w:val="0"/>
          <w:numId w:val="9"/>
        </w:numPr>
        <w:rPr>
          <w:rFonts w:ascii="Arial" w:cs="Arial" w:eastAsia="Arial" w:hAnsi="Arial"/>
          <w:sz w:val="17"/>
          <w:szCs w:val="17"/>
          <w:color w:val="53565A"/>
          <w:vertAlign w:val="superscript"/>
        </w:rPr>
      </w:pPr>
      <w:r>
        <w:rPr>
          <w:rFonts w:ascii="Arial" w:cs="Arial" w:eastAsia="Arial" w:hAnsi="Arial"/>
          <w:sz w:val="13"/>
          <w:szCs w:val="13"/>
          <w:color w:val="53565A"/>
        </w:rPr>
        <w:t>We entered into two $50.0 million treasury lock agreements to fix the Treasury rate of our 2025 series B senior notes.</w:t>
      </w:r>
    </w:p>
    <w:p>
      <w:pPr>
        <w:spacing w:after="0" w:line="41" w:lineRule="exact"/>
        <w:rPr>
          <w:rFonts w:ascii="Arial" w:cs="Arial" w:eastAsia="Arial" w:hAnsi="Arial"/>
          <w:sz w:val="17"/>
          <w:szCs w:val="17"/>
          <w:color w:val="53565A"/>
          <w:vertAlign w:val="superscript"/>
        </w:rPr>
      </w:pPr>
    </w:p>
    <w:p>
      <w:pPr>
        <w:ind w:left="145" w:hanging="145"/>
        <w:spacing w:after="0" w:line="207" w:lineRule="auto"/>
        <w:tabs>
          <w:tab w:leader="none" w:pos="145" w:val="left"/>
        </w:tabs>
        <w:numPr>
          <w:ilvl w:val="0"/>
          <w:numId w:val="9"/>
        </w:numPr>
        <w:rPr>
          <w:rFonts w:ascii="Arial" w:cs="Arial" w:eastAsia="Arial" w:hAnsi="Arial"/>
          <w:sz w:val="16"/>
          <w:szCs w:val="16"/>
          <w:color w:val="53565A"/>
          <w:vertAlign w:val="superscript"/>
        </w:rPr>
      </w:pPr>
      <w:r>
        <w:rPr>
          <w:rFonts w:ascii="Arial" w:cs="Arial" w:eastAsia="Arial" w:hAnsi="Arial"/>
          <w:sz w:val="12"/>
          <w:szCs w:val="12"/>
          <w:color w:val="53565A"/>
        </w:rPr>
        <w:t>Assuming the as-of-right extension options are exercised on our 2024 revolving credit facility, 2016 term loan facility and 2018 term loan facility, the weighted-average maturity of our unsecured debt is</w:t>
      </w:r>
    </w:p>
    <w:p>
      <w:pPr>
        <w:ind w:left="5"/>
        <w:spacing w:after="0"/>
        <w:rPr>
          <w:rFonts w:ascii="Arial" w:cs="Arial" w:eastAsia="Arial" w:hAnsi="Arial"/>
          <w:sz w:val="16"/>
          <w:szCs w:val="16"/>
          <w:color w:val="53565A"/>
          <w:vertAlign w:val="superscript"/>
        </w:rPr>
      </w:pPr>
      <w:r>
        <w:rPr>
          <w:rFonts w:ascii="Arial" w:cs="Arial" w:eastAsia="Arial" w:hAnsi="Arial"/>
          <w:sz w:val="13"/>
          <w:szCs w:val="13"/>
          <w:color w:val="53565A"/>
        </w:rPr>
        <w:t>4.6 years.</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bookmarkStart w:id="28" w:name="page29"/>
    <w:bookmarkEnd w:id="28"/>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Debt Schedules (Cont.)</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9"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38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Debt Statistics</w:t>
            </w:r>
          </w:p>
        </w:tc>
        <w:tc>
          <w:tcPr>
            <w:tcW w:w="268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200" w:type="dxa"/>
            <w:vAlign w:val="bottom"/>
          </w:tcPr>
          <w:p>
            <w:pPr>
              <w:spacing w:after="0"/>
              <w:rPr>
                <w:sz w:val="14"/>
                <w:szCs w:val="14"/>
                <w:color w:val="auto"/>
              </w:rPr>
            </w:pPr>
          </w:p>
        </w:tc>
        <w:tc>
          <w:tcPr>
            <w:tcW w:w="2740" w:type="dxa"/>
            <w:vAlign w:val="bottom"/>
            <w:tcBorders>
              <w:bottom w:val="single" w:sz="8" w:color="2B4B86"/>
            </w:tcBorders>
          </w:tcPr>
          <w:p>
            <w:pPr>
              <w:spacing w:after="0"/>
              <w:rPr>
                <w:sz w:val="14"/>
                <w:szCs w:val="14"/>
                <w:color w:val="auto"/>
              </w:rPr>
            </w:pPr>
          </w:p>
        </w:tc>
        <w:tc>
          <w:tcPr>
            <w:tcW w:w="1840" w:type="dxa"/>
            <w:vAlign w:val="bottom"/>
            <w:tcBorders>
              <w:bottom w:val="single" w:sz="8" w:color="2B4B86"/>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0" w:type="dxa"/>
            <w:vAlign w:val="bottom"/>
          </w:tcPr>
          <w:p>
            <w:pPr>
              <w:spacing w:after="0"/>
              <w:rPr>
                <w:sz w:val="1"/>
                <w:szCs w:val="1"/>
                <w:color w:val="auto"/>
              </w:rPr>
            </w:pPr>
          </w:p>
        </w:tc>
      </w:tr>
      <w:tr>
        <w:trPr>
          <w:trHeight w:val="118"/>
        </w:trPr>
        <w:tc>
          <w:tcPr>
            <w:tcW w:w="3800" w:type="dxa"/>
            <w:vAlign w:val="bottom"/>
          </w:tcPr>
          <w:p>
            <w:pPr>
              <w:spacing w:after="0" w:line="118" w:lineRule="exact"/>
              <w:rPr>
                <w:sz w:val="20"/>
                <w:szCs w:val="20"/>
                <w:color w:val="auto"/>
              </w:rPr>
            </w:pPr>
            <w:r>
              <w:rPr>
                <w:rFonts w:ascii="Arial" w:cs="Arial" w:eastAsia="Arial" w:hAnsi="Arial"/>
                <w:sz w:val="13"/>
                <w:szCs w:val="13"/>
                <w:color w:val="auto"/>
              </w:rPr>
              <w:t>Variable rate debt - unhedged</w:t>
            </w:r>
          </w:p>
        </w:tc>
        <w:tc>
          <w:tcPr>
            <w:tcW w:w="2680" w:type="dxa"/>
            <w:vAlign w:val="bottom"/>
          </w:tcPr>
          <w:p>
            <w:pPr>
              <w:jc w:val="right"/>
              <w:spacing w:after="0" w:line="118" w:lineRule="exact"/>
              <w:rPr>
                <w:sz w:val="20"/>
                <w:szCs w:val="20"/>
                <w:color w:val="auto"/>
              </w:rPr>
            </w:pPr>
            <w:r>
              <w:rPr>
                <w:rFonts w:ascii="Arial" w:cs="Arial" w:eastAsia="Arial" w:hAnsi="Arial"/>
                <w:sz w:val="13"/>
                <w:szCs w:val="13"/>
                <w:color w:val="auto"/>
              </w:rPr>
              <w:t>$245,050</w:t>
            </w:r>
          </w:p>
        </w:tc>
        <w:tc>
          <w:tcPr>
            <w:tcW w:w="200" w:type="dxa"/>
            <w:vAlign w:val="bottom"/>
          </w:tcPr>
          <w:p>
            <w:pPr>
              <w:spacing w:after="0"/>
              <w:rPr>
                <w:sz w:val="10"/>
                <w:szCs w:val="10"/>
                <w:color w:val="auto"/>
              </w:rPr>
            </w:pPr>
          </w:p>
        </w:tc>
        <w:tc>
          <w:tcPr>
            <w:tcW w:w="2740" w:type="dxa"/>
            <w:vAlign w:val="bottom"/>
          </w:tcPr>
          <w:p>
            <w:pPr>
              <w:spacing w:after="0" w:line="118" w:lineRule="exact"/>
              <w:rPr>
                <w:sz w:val="20"/>
                <w:szCs w:val="20"/>
                <w:color w:val="auto"/>
              </w:rPr>
            </w:pPr>
            <w:r>
              <w:rPr>
                <w:rFonts w:ascii="Arial" w:cs="Arial" w:eastAsia="Arial" w:hAnsi="Arial"/>
                <w:sz w:val="13"/>
                <w:szCs w:val="13"/>
                <w:color w:val="auto"/>
              </w:rPr>
              <w:t>% Variable rate debt - unhedged</w:t>
            </w:r>
          </w:p>
        </w:tc>
        <w:tc>
          <w:tcPr>
            <w:tcW w:w="1840" w:type="dxa"/>
            <w:vAlign w:val="bottom"/>
          </w:tcPr>
          <w:p>
            <w:pPr>
              <w:jc w:val="right"/>
              <w:spacing w:after="0" w:line="118" w:lineRule="exact"/>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20"/>
                <w:szCs w:val="20"/>
                <w:color w:val="auto"/>
              </w:rPr>
            </w:pPr>
            <w:r>
              <w:rPr>
                <w:rFonts w:ascii="Arial" w:cs="Arial" w:eastAsia="Arial" w:hAnsi="Arial"/>
                <w:sz w:val="13"/>
                <w:szCs w:val="13"/>
                <w:color w:val="auto"/>
              </w:rPr>
              <w:t>Fixed rate debt</w:t>
            </w:r>
          </w:p>
        </w:tc>
        <w:tc>
          <w:tcPr>
            <w:tcW w:w="2680" w:type="dxa"/>
            <w:vAlign w:val="bottom"/>
          </w:tcPr>
          <w:p>
            <w:pPr>
              <w:jc w:val="right"/>
              <w:spacing w:after="0"/>
              <w:rPr>
                <w:sz w:val="20"/>
                <w:szCs w:val="20"/>
                <w:color w:val="auto"/>
              </w:rPr>
            </w:pPr>
            <w:r>
              <w:rPr>
                <w:rFonts w:ascii="Arial" w:cs="Arial" w:eastAsia="Arial" w:hAnsi="Arial"/>
                <w:sz w:val="13"/>
                <w:szCs w:val="13"/>
                <w:color w:val="auto"/>
              </w:rPr>
              <w:t>1,475,510</w:t>
            </w:r>
          </w:p>
        </w:tc>
        <w:tc>
          <w:tcPr>
            <w:tcW w:w="200" w:type="dxa"/>
            <w:vAlign w:val="bottom"/>
          </w:tcPr>
          <w:p>
            <w:pPr>
              <w:spacing w:after="0"/>
              <w:rPr>
                <w:sz w:val="14"/>
                <w:szCs w:val="14"/>
                <w:color w:val="auto"/>
              </w:rPr>
            </w:pPr>
          </w:p>
        </w:tc>
        <w:tc>
          <w:tcPr>
            <w:tcW w:w="2740" w:type="dxa"/>
            <w:vAlign w:val="bottom"/>
          </w:tcPr>
          <w:p>
            <w:pPr>
              <w:spacing w:after="0" w:line="165" w:lineRule="exact"/>
              <w:rPr>
                <w:sz w:val="20"/>
                <w:szCs w:val="20"/>
                <w:color w:val="auto"/>
              </w:rPr>
            </w:pPr>
            <w:r>
              <w:rPr>
                <w:rFonts w:ascii="Arial" w:cs="Arial" w:eastAsia="Arial" w:hAnsi="Arial"/>
                <w:sz w:val="13"/>
                <w:szCs w:val="13"/>
                <w:color w:val="auto"/>
              </w:rPr>
              <w:t>% Fixed rate debt</w:t>
            </w:r>
            <w:r>
              <w:rPr>
                <w:rFonts w:ascii="Arial" w:cs="Arial" w:eastAsia="Arial" w:hAnsi="Arial"/>
                <w:sz w:val="16"/>
                <w:szCs w:val="16"/>
                <w:color w:val="auto"/>
                <w:vertAlign w:val="superscript"/>
              </w:rPr>
              <w:t>(3)</w:t>
            </w:r>
          </w:p>
        </w:tc>
        <w:tc>
          <w:tcPr>
            <w:tcW w:w="1840" w:type="dxa"/>
            <w:vAlign w:val="bottom"/>
          </w:tcPr>
          <w:p>
            <w:pPr>
              <w:jc w:val="right"/>
              <w:spacing w:after="0"/>
              <w:rPr>
                <w:sz w:val="20"/>
                <w:szCs w:val="20"/>
                <w:color w:val="auto"/>
              </w:rPr>
            </w:pPr>
            <w:r>
              <w:rPr>
                <w:rFonts w:ascii="Arial" w:cs="Arial" w:eastAsia="Arial" w:hAnsi="Arial"/>
                <w:sz w:val="13"/>
                <w:szCs w:val="13"/>
                <w:color w:val="auto"/>
              </w:rPr>
              <w:t>85.8%</w:t>
            </w:r>
          </w:p>
        </w:tc>
        <w:tc>
          <w:tcPr>
            <w:tcW w:w="0" w:type="dxa"/>
            <w:vAlign w:val="bottom"/>
          </w:tcPr>
          <w:p>
            <w:pPr>
              <w:spacing w:after="0"/>
              <w:rPr>
                <w:sz w:val="1"/>
                <w:szCs w:val="1"/>
                <w:color w:val="auto"/>
              </w:rPr>
            </w:pPr>
          </w:p>
        </w:tc>
      </w:tr>
      <w:tr>
        <w:trPr>
          <w:trHeight w:val="142"/>
        </w:trPr>
        <w:tc>
          <w:tcPr>
            <w:tcW w:w="380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Total Debt</w:t>
            </w:r>
            <w:r>
              <w:rPr>
                <w:rFonts w:ascii="Arial" w:cs="Arial" w:eastAsia="Arial" w:hAnsi="Arial"/>
                <w:sz w:val="16"/>
                <w:szCs w:val="16"/>
                <w:color w:val="auto"/>
                <w:vertAlign w:val="superscript"/>
              </w:rPr>
              <w:t>(1)</w:t>
            </w:r>
          </w:p>
        </w:tc>
        <w:tc>
          <w:tcPr>
            <w:tcW w:w="26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$1,720,560</w:t>
            </w:r>
          </w:p>
        </w:tc>
        <w:tc>
          <w:tcPr>
            <w:tcW w:w="200" w:type="dxa"/>
            <w:vAlign w:val="bottom"/>
          </w:tcPr>
          <w:p>
            <w:pPr>
              <w:spacing w:after="0"/>
              <w:rPr>
                <w:sz w:val="12"/>
                <w:szCs w:val="12"/>
                <w:color w:val="auto"/>
              </w:rPr>
            </w:pPr>
          </w:p>
        </w:tc>
        <w:tc>
          <w:tcPr>
            <w:tcW w:w="2740" w:type="dxa"/>
            <w:vAlign w:val="bottom"/>
            <w:vMerge w:val="restart"/>
          </w:tcPr>
          <w:p>
            <w:pPr>
              <w:spacing w:after="0"/>
              <w:rPr>
                <w:sz w:val="20"/>
                <w:szCs w:val="20"/>
                <w:color w:val="auto"/>
              </w:rPr>
            </w:pPr>
            <w:r>
              <w:rPr>
                <w:rFonts w:ascii="Arial" w:cs="Arial" w:eastAsia="Arial" w:hAnsi="Arial"/>
                <w:sz w:val="13"/>
                <w:szCs w:val="13"/>
                <w:color w:val="auto"/>
              </w:rPr>
              <w:t>Weighted average maturity</w:t>
            </w:r>
          </w:p>
        </w:tc>
        <w:tc>
          <w:tcPr>
            <w:tcW w:w="1840" w:type="dxa"/>
            <w:vAlign w:val="bottom"/>
            <w:vMerge w:val="restart"/>
          </w:tcPr>
          <w:p>
            <w:pPr>
              <w:jc w:val="right"/>
              <w:spacing w:after="0"/>
              <w:rPr>
                <w:sz w:val="20"/>
                <w:szCs w:val="20"/>
                <w:color w:val="auto"/>
              </w:rPr>
            </w:pPr>
            <w:r>
              <w:rPr>
                <w:rFonts w:ascii="Arial" w:cs="Arial" w:eastAsia="Arial" w:hAnsi="Arial"/>
                <w:sz w:val="13"/>
                <w:szCs w:val="13"/>
                <w:color w:val="auto"/>
              </w:rPr>
              <w:t>3.9 years</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3"/>
                <w:szCs w:val="13"/>
                <w:color w:val="auto"/>
              </w:rPr>
              <w:t>Less: cash and cash equivalents</w:t>
            </w:r>
          </w:p>
        </w:tc>
        <w:tc>
          <w:tcPr>
            <w:tcW w:w="2680" w:type="dxa"/>
            <w:vAlign w:val="bottom"/>
          </w:tcPr>
          <w:p>
            <w:pPr>
              <w:jc w:val="right"/>
              <w:spacing w:after="0" w:line="142" w:lineRule="exact"/>
              <w:rPr>
                <w:sz w:val="20"/>
                <w:szCs w:val="20"/>
                <w:color w:val="auto"/>
              </w:rPr>
            </w:pPr>
            <w:r>
              <w:rPr>
                <w:rFonts w:ascii="Arial" w:cs="Arial" w:eastAsia="Arial" w:hAnsi="Arial"/>
                <w:sz w:val="13"/>
                <w:szCs w:val="13"/>
                <w:color w:val="auto"/>
              </w:rPr>
              <w:t>(3,964)</w:t>
            </w:r>
          </w:p>
        </w:tc>
        <w:tc>
          <w:tcPr>
            <w:tcW w:w="20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Net Debt</w:t>
            </w:r>
          </w:p>
        </w:tc>
        <w:tc>
          <w:tcPr>
            <w:tcW w:w="26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$1,716,596</w:t>
            </w:r>
          </w:p>
        </w:tc>
        <w:tc>
          <w:tcPr>
            <w:tcW w:w="200" w:type="dxa"/>
            <w:vAlign w:val="bottom"/>
          </w:tcPr>
          <w:p>
            <w:pPr>
              <w:spacing w:after="0"/>
              <w:rPr>
                <w:sz w:val="12"/>
                <w:szCs w:val="12"/>
                <w:color w:val="auto"/>
              </w:rPr>
            </w:pPr>
          </w:p>
        </w:tc>
        <w:tc>
          <w:tcPr>
            <w:tcW w:w="2740" w:type="dxa"/>
            <w:vAlign w:val="bottom"/>
          </w:tcPr>
          <w:p>
            <w:pPr>
              <w:spacing w:after="0" w:line="142" w:lineRule="exact"/>
              <w:rPr>
                <w:sz w:val="20"/>
                <w:szCs w:val="20"/>
                <w:color w:val="auto"/>
              </w:rPr>
            </w:pPr>
            <w:r>
              <w:rPr>
                <w:rFonts w:ascii="Arial" w:cs="Arial" w:eastAsia="Arial" w:hAnsi="Arial"/>
                <w:sz w:val="13"/>
                <w:szCs w:val="13"/>
                <w:color w:val="auto"/>
              </w:rPr>
              <w:t>Weighted average interest rate</w:t>
            </w:r>
          </w:p>
        </w:tc>
        <w:tc>
          <w:tcPr>
            <w:tcW w:w="1840" w:type="dxa"/>
            <w:vAlign w:val="bottom"/>
          </w:tcPr>
          <w:p>
            <w:pPr>
              <w:jc w:val="right"/>
              <w:spacing w:after="0" w:line="142" w:lineRule="exact"/>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3"/>
                <w:szCs w:val="13"/>
                <w:color w:val="auto"/>
              </w:rPr>
              <w:t>Less: Adjustment for development</w:t>
            </w:r>
            <w:r>
              <w:rPr>
                <w:rFonts w:ascii="Arial" w:cs="Arial" w:eastAsia="Arial" w:hAnsi="Arial"/>
                <w:sz w:val="16"/>
                <w:szCs w:val="16"/>
                <w:color w:val="auto"/>
                <w:vertAlign w:val="superscript"/>
              </w:rPr>
              <w:t>(2)</w:t>
            </w:r>
          </w:p>
        </w:tc>
        <w:tc>
          <w:tcPr>
            <w:tcW w:w="2680" w:type="dxa"/>
            <w:vAlign w:val="bottom"/>
          </w:tcPr>
          <w:p>
            <w:pPr>
              <w:jc w:val="right"/>
              <w:spacing w:after="0" w:line="142" w:lineRule="exact"/>
              <w:rPr>
                <w:sz w:val="20"/>
                <w:szCs w:val="20"/>
                <w:color w:val="auto"/>
              </w:rPr>
            </w:pPr>
            <w:r>
              <w:rPr>
                <w:rFonts w:ascii="Arial" w:cs="Arial" w:eastAsia="Arial" w:hAnsi="Arial"/>
                <w:sz w:val="13"/>
                <w:szCs w:val="13"/>
                <w:color w:val="auto"/>
              </w:rPr>
              <w:t>(49,099)</w:t>
            </w: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Adjusted Net Debt</w:t>
            </w:r>
          </w:p>
        </w:tc>
        <w:tc>
          <w:tcPr>
            <w:tcW w:w="2680" w:type="dxa"/>
            <w:vAlign w:val="bottom"/>
            <w:shd w:val="clear" w:color="auto" w:fill="E7E6E6"/>
          </w:tcPr>
          <w:p>
            <w:pPr>
              <w:jc w:val="right"/>
              <w:spacing w:after="0" w:line="142" w:lineRule="exact"/>
              <w:rPr>
                <w:sz w:val="20"/>
                <w:szCs w:val="20"/>
                <w:color w:val="auto"/>
              </w:rPr>
            </w:pPr>
            <w:r>
              <w:rPr>
                <w:rFonts w:ascii="Arial" w:cs="Arial" w:eastAsia="Arial" w:hAnsi="Arial"/>
                <w:sz w:val="13"/>
                <w:szCs w:val="13"/>
                <w:b w:val="1"/>
                <w:bCs w:val="1"/>
                <w:color w:val="auto"/>
              </w:rPr>
              <w:t>$1,667,497</w:t>
            </w:r>
          </w:p>
        </w:tc>
        <w:tc>
          <w:tcPr>
            <w:tcW w:w="2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125" w:hanging="125"/>
        <w:spacing w:after="0"/>
        <w:tabs>
          <w:tab w:leader="none" w:pos="125" w:val="left"/>
        </w:tabs>
        <w:numPr>
          <w:ilvl w:val="0"/>
          <w:numId w:val="10"/>
        </w:numPr>
        <w:rPr>
          <w:rFonts w:ascii="Arial" w:cs="Arial" w:eastAsia="Arial" w:hAnsi="Arial"/>
          <w:sz w:val="15"/>
          <w:szCs w:val="15"/>
          <w:color w:val="53565A"/>
          <w:vertAlign w:val="superscript"/>
        </w:rPr>
      </w:pPr>
      <w:r>
        <w:rPr>
          <w:rFonts w:ascii="Arial" w:cs="Arial" w:eastAsia="Arial" w:hAnsi="Arial"/>
          <w:sz w:val="11"/>
          <w:szCs w:val="11"/>
          <w:color w:val="53565A"/>
        </w:rPr>
        <w:t>Excludes unamortized premiums / discounts and deferred financing fees.</w:t>
      </w:r>
    </w:p>
    <w:p>
      <w:pPr>
        <w:spacing w:after="0" w:line="52" w:lineRule="exact"/>
        <w:rPr>
          <w:rFonts w:ascii="Arial" w:cs="Arial" w:eastAsia="Arial" w:hAnsi="Arial"/>
          <w:sz w:val="15"/>
          <w:szCs w:val="15"/>
          <w:color w:val="53565A"/>
          <w:vertAlign w:val="superscript"/>
        </w:rPr>
      </w:pPr>
    </w:p>
    <w:p>
      <w:pPr>
        <w:ind w:left="125" w:hanging="125"/>
        <w:spacing w:after="0"/>
        <w:tabs>
          <w:tab w:leader="none" w:pos="125" w:val="left"/>
        </w:tabs>
        <w:numPr>
          <w:ilvl w:val="0"/>
          <w:numId w:val="10"/>
        </w:numPr>
        <w:rPr>
          <w:rFonts w:ascii="Arial" w:cs="Arial" w:eastAsia="Arial" w:hAnsi="Arial"/>
          <w:sz w:val="15"/>
          <w:szCs w:val="15"/>
          <w:color w:val="53565A"/>
          <w:vertAlign w:val="superscript"/>
        </w:rPr>
      </w:pPr>
      <w:r>
        <w:rPr>
          <w:rFonts w:ascii="Arial" w:cs="Arial" w:eastAsia="Arial" w:hAnsi="Arial"/>
          <w:sz w:val="11"/>
          <w:szCs w:val="11"/>
          <w:color w:val="53565A"/>
        </w:rPr>
        <w:t>See definition of Adjusted Net Debt on Page 4.</w:t>
      </w:r>
    </w:p>
    <w:p>
      <w:pPr>
        <w:spacing w:after="0" w:line="46" w:lineRule="exact"/>
        <w:rPr>
          <w:rFonts w:ascii="Arial" w:cs="Arial" w:eastAsia="Arial" w:hAnsi="Arial"/>
          <w:sz w:val="15"/>
          <w:szCs w:val="15"/>
          <w:color w:val="53565A"/>
          <w:vertAlign w:val="superscript"/>
        </w:rPr>
      </w:pPr>
    </w:p>
    <w:p>
      <w:pPr>
        <w:ind w:left="5" w:right="360" w:hanging="5"/>
        <w:spacing w:after="0" w:line="229" w:lineRule="auto"/>
        <w:tabs>
          <w:tab w:leader="none" w:pos="132" w:val="left"/>
        </w:tabs>
        <w:numPr>
          <w:ilvl w:val="0"/>
          <w:numId w:val="10"/>
        </w:numPr>
        <w:rPr>
          <w:rFonts w:ascii="Arial" w:cs="Arial" w:eastAsia="Arial" w:hAnsi="Arial"/>
          <w:sz w:val="16"/>
          <w:szCs w:val="16"/>
          <w:color w:val="53565A"/>
          <w:vertAlign w:val="superscript"/>
        </w:rPr>
      </w:pPr>
      <w:r>
        <w:rPr>
          <w:rFonts w:ascii="Arial" w:cs="Arial" w:eastAsia="Arial" w:hAnsi="Arial"/>
          <w:sz w:val="12"/>
          <w:szCs w:val="12"/>
          <w:color w:val="53565A"/>
        </w:rPr>
        <w:t>Includes the Company's secured mortgage debt and 2016 and 2018 term loan facilities, which are effectively swapped to fixed interest rates. Note the associated swaps are not coterminous with maturity dates of the respective term loan facilities. See Page 16 for further detail.</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bookmarkStart w:id="29" w:name="page30"/>
    <w:bookmarkEnd w:id="29"/>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Debt Maturities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(Unaudited,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640" w:type="dxa"/>
            <w:vAlign w:val="bottom"/>
          </w:tcPr>
          <w:p>
            <w:pPr>
              <w:spacing w:after="0"/>
              <w:rPr>
                <w:sz w:val="13"/>
                <w:szCs w:val="13"/>
                <w:color w:val="auto"/>
              </w:rPr>
            </w:pPr>
          </w:p>
        </w:tc>
        <w:tc>
          <w:tcPr>
            <w:tcW w:w="2000" w:type="dxa"/>
            <w:vAlign w:val="bottom"/>
            <w:tcBorders>
              <w:bottom w:val="single" w:sz="8" w:color="2B4B86"/>
            </w:tcBorders>
            <w:gridSpan w:val="3"/>
          </w:tcPr>
          <w:p>
            <w:pPr>
              <w:ind w:left="1140"/>
              <w:spacing w:after="0"/>
              <w:rPr>
                <w:sz w:val="20"/>
                <w:szCs w:val="20"/>
                <w:color w:val="auto"/>
              </w:rPr>
            </w:pPr>
            <w:r>
              <w:rPr>
                <w:rFonts w:ascii="Arial" w:cs="Arial" w:eastAsia="Arial" w:hAnsi="Arial"/>
                <w:sz w:val="13"/>
                <w:szCs w:val="13"/>
                <w:b w:val="1"/>
                <w:bCs w:val="1"/>
                <w:color w:val="auto"/>
              </w:rPr>
              <w:t>Secured Debt</w:t>
            </w:r>
          </w:p>
        </w:tc>
        <w:tc>
          <w:tcPr>
            <w:tcW w:w="1100" w:type="dxa"/>
            <w:vAlign w:val="bottom"/>
            <w:tcBorders>
              <w:bottom w:val="single" w:sz="8" w:color="2B4B86"/>
            </w:tcBorders>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6"/>
              </w:rPr>
              <w:t>Unsecured Debt</w:t>
            </w: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Weighted Average</w:t>
            </w:r>
          </w:p>
        </w:tc>
        <w:tc>
          <w:tcPr>
            <w:tcW w:w="0" w:type="dxa"/>
            <w:vAlign w:val="bottom"/>
          </w:tcPr>
          <w:p>
            <w:pPr>
              <w:spacing w:after="0"/>
              <w:rPr>
                <w:sz w:val="1"/>
                <w:szCs w:val="1"/>
                <w:color w:val="auto"/>
              </w:rPr>
            </w:pPr>
          </w:p>
        </w:tc>
      </w:tr>
      <w:tr>
        <w:trPr>
          <w:trHeight w:val="126"/>
        </w:trPr>
        <w:tc>
          <w:tcPr>
            <w:tcW w:w="16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2000" w:type="dxa"/>
            <w:vAlign w:val="bottom"/>
            <w:gridSpan w:val="3"/>
          </w:tcPr>
          <w:p>
            <w:pPr>
              <w:jc w:val="center"/>
              <w:ind w:right="560"/>
              <w:spacing w:after="0" w:line="142" w:lineRule="exact"/>
              <w:rPr>
                <w:sz w:val="20"/>
                <w:szCs w:val="20"/>
                <w:color w:val="auto"/>
              </w:rPr>
            </w:pPr>
            <w:r>
              <w:rPr>
                <w:rFonts w:ascii="Arial" w:cs="Arial" w:eastAsia="Arial" w:hAnsi="Arial"/>
                <w:sz w:val="13"/>
                <w:szCs w:val="13"/>
                <w:b w:val="1"/>
                <w:bCs w:val="1"/>
                <w:color w:val="auto"/>
                <w:w w:val="97"/>
              </w:rPr>
              <w:t>Scheduled</w:t>
            </w:r>
          </w:p>
        </w:tc>
        <w:tc>
          <w:tcPr>
            <w:tcW w:w="1100" w:type="dxa"/>
            <w:vAlign w:val="bottom"/>
          </w:tcPr>
          <w:p>
            <w:pPr>
              <w:jc w:val="right"/>
              <w:ind w:right="357"/>
              <w:spacing w:after="0" w:line="142" w:lineRule="exact"/>
              <w:rPr>
                <w:sz w:val="20"/>
                <w:szCs w:val="20"/>
                <w:color w:val="auto"/>
              </w:rPr>
            </w:pPr>
            <w:r>
              <w:rPr>
                <w:rFonts w:ascii="Arial" w:cs="Arial" w:eastAsia="Arial" w:hAnsi="Arial"/>
                <w:sz w:val="13"/>
                <w:szCs w:val="13"/>
                <w:b w:val="1"/>
                <w:bCs w:val="1"/>
                <w:color w:val="auto"/>
              </w:rPr>
              <w:t>Scheduled</w:t>
            </w:r>
          </w:p>
        </w:tc>
        <w:tc>
          <w:tcPr>
            <w:tcW w:w="180" w:type="dxa"/>
            <w:vAlign w:val="bottom"/>
          </w:tcPr>
          <w:p>
            <w:pPr>
              <w:spacing w:after="0"/>
              <w:rPr>
                <w:sz w:val="12"/>
                <w:szCs w:val="12"/>
                <w:color w:val="auto"/>
              </w:rPr>
            </w:pPr>
          </w:p>
        </w:tc>
        <w:tc>
          <w:tcPr>
            <w:tcW w:w="14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Scheduled</w:t>
            </w: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jc w:val="right"/>
              <w:ind w:right="277"/>
              <w:spacing w:after="0" w:line="142" w:lineRule="exact"/>
              <w:rPr>
                <w:sz w:val="20"/>
                <w:szCs w:val="20"/>
                <w:color w:val="auto"/>
              </w:rPr>
            </w:pPr>
            <w:r>
              <w:rPr>
                <w:rFonts w:ascii="Arial" w:cs="Arial" w:eastAsia="Arial" w:hAnsi="Arial"/>
                <w:sz w:val="13"/>
                <w:szCs w:val="13"/>
                <w:b w:val="1"/>
                <w:bCs w:val="1"/>
                <w:color w:val="auto"/>
              </w:rPr>
              <w:t>Percentage of</w:t>
            </w:r>
          </w:p>
        </w:tc>
        <w:tc>
          <w:tcPr>
            <w:tcW w:w="16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Interest Rate of</w:t>
            </w:r>
          </w:p>
        </w:tc>
        <w:tc>
          <w:tcPr>
            <w:tcW w:w="0" w:type="dxa"/>
            <w:vAlign w:val="bottom"/>
          </w:tcPr>
          <w:p>
            <w:pPr>
              <w:spacing w:after="0"/>
              <w:rPr>
                <w:sz w:val="1"/>
                <w:szCs w:val="1"/>
                <w:color w:val="auto"/>
              </w:rPr>
            </w:pPr>
          </w:p>
        </w:tc>
      </w:tr>
      <w:tr>
        <w:trPr>
          <w:trHeight w:val="150"/>
        </w:trPr>
        <w:tc>
          <w:tcPr>
            <w:tcW w:w="1640" w:type="dxa"/>
            <w:vAlign w:val="bottom"/>
            <w:tcBorders>
              <w:bottom w:val="single" w:sz="8" w:color="2B4B86"/>
            </w:tcBorders>
          </w:tcPr>
          <w:p>
            <w:pPr>
              <w:ind w:left="580"/>
              <w:spacing w:after="0"/>
              <w:rPr>
                <w:sz w:val="20"/>
                <w:szCs w:val="20"/>
                <w:color w:val="auto"/>
              </w:rPr>
            </w:pPr>
            <w:r>
              <w:rPr>
                <w:rFonts w:ascii="Arial" w:cs="Arial" w:eastAsia="Arial" w:hAnsi="Arial"/>
                <w:sz w:val="13"/>
                <w:szCs w:val="13"/>
                <w:b w:val="1"/>
                <w:bCs w:val="1"/>
                <w:color w:val="auto"/>
              </w:rPr>
              <w:t>Year</w:t>
            </w:r>
          </w:p>
        </w:tc>
        <w:tc>
          <w:tcPr>
            <w:tcW w:w="2000" w:type="dxa"/>
            <w:vAlign w:val="bottom"/>
            <w:tcBorders>
              <w:bottom w:val="single" w:sz="8" w:color="2B4B86"/>
            </w:tcBorders>
            <w:gridSpan w:val="3"/>
          </w:tcPr>
          <w:p>
            <w:pPr>
              <w:jc w:val="center"/>
              <w:ind w:right="540"/>
              <w:spacing w:after="0"/>
              <w:rPr>
                <w:sz w:val="20"/>
                <w:szCs w:val="20"/>
                <w:color w:val="auto"/>
              </w:rPr>
            </w:pPr>
            <w:r>
              <w:rPr>
                <w:rFonts w:ascii="Arial" w:cs="Arial" w:eastAsia="Arial" w:hAnsi="Arial"/>
                <w:sz w:val="13"/>
                <w:szCs w:val="13"/>
                <w:b w:val="1"/>
                <w:bCs w:val="1"/>
                <w:color w:val="auto"/>
                <w:w w:val="98"/>
              </w:rPr>
              <w:t>Amortization</w:t>
            </w:r>
          </w:p>
        </w:tc>
        <w:tc>
          <w:tcPr>
            <w:tcW w:w="1100" w:type="dxa"/>
            <w:vAlign w:val="bottom"/>
            <w:tcBorders>
              <w:bottom w:val="single" w:sz="8" w:color="2B4B86"/>
            </w:tcBorders>
          </w:tcPr>
          <w:p>
            <w:pPr>
              <w:jc w:val="right"/>
              <w:ind w:right="377"/>
              <w:spacing w:after="0"/>
              <w:rPr>
                <w:sz w:val="20"/>
                <w:szCs w:val="20"/>
                <w:color w:val="auto"/>
              </w:rPr>
            </w:pPr>
            <w:r>
              <w:rPr>
                <w:rFonts w:ascii="Arial" w:cs="Arial" w:eastAsia="Arial" w:hAnsi="Arial"/>
                <w:sz w:val="13"/>
                <w:szCs w:val="13"/>
                <w:b w:val="1"/>
                <w:bCs w:val="1"/>
                <w:color w:val="auto"/>
              </w:rPr>
              <w:t>Maturities</w:t>
            </w:r>
          </w:p>
        </w:tc>
        <w:tc>
          <w:tcPr>
            <w:tcW w:w="180" w:type="dxa"/>
            <w:vAlign w:val="bottom"/>
            <w:tcBorders>
              <w:bottom w:val="single" w:sz="8" w:color="2B4B86"/>
            </w:tcBorders>
          </w:tcPr>
          <w:p>
            <w:pPr>
              <w:spacing w:after="0"/>
              <w:rPr>
                <w:sz w:val="13"/>
                <w:szCs w:val="13"/>
                <w:color w:val="auto"/>
              </w:rPr>
            </w:pPr>
          </w:p>
        </w:tc>
        <w:tc>
          <w:tcPr>
            <w:tcW w:w="148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Maturities</w:t>
            </w:r>
          </w:p>
        </w:tc>
        <w:tc>
          <w:tcPr>
            <w:tcW w:w="160" w:type="dxa"/>
            <w:vAlign w:val="bottom"/>
            <w:tcBorders>
              <w:bottom w:val="single" w:sz="8" w:color="2B4B86"/>
            </w:tcBorders>
          </w:tcPr>
          <w:p>
            <w:pPr>
              <w:spacing w:after="0"/>
              <w:rPr>
                <w:sz w:val="13"/>
                <w:szCs w:val="13"/>
                <w:color w:val="auto"/>
              </w:rPr>
            </w:pPr>
          </w:p>
        </w:tc>
        <w:tc>
          <w:tcPr>
            <w:tcW w:w="1460" w:type="dxa"/>
            <w:vAlign w:val="bottom"/>
            <w:tcBorders>
              <w:bottom w:val="single" w:sz="8" w:color="2B4B86"/>
            </w:tcBorders>
          </w:tcPr>
          <w:p>
            <w:pPr>
              <w:jc w:val="right"/>
              <w:ind w:right="517"/>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2B4B86"/>
            </w:tcBorders>
          </w:tcPr>
          <w:p>
            <w:pPr>
              <w:spacing w:after="0"/>
              <w:rPr>
                <w:sz w:val="13"/>
                <w:szCs w:val="13"/>
                <w:color w:val="auto"/>
              </w:rPr>
            </w:pPr>
          </w:p>
        </w:tc>
        <w:tc>
          <w:tcPr>
            <w:tcW w:w="1460" w:type="dxa"/>
            <w:vAlign w:val="bottom"/>
            <w:tcBorders>
              <w:bottom w:val="single" w:sz="8" w:color="2B4B86"/>
            </w:tcBorders>
          </w:tcPr>
          <w:p>
            <w:pPr>
              <w:jc w:val="right"/>
              <w:ind w:right="257"/>
              <w:spacing w:after="0"/>
              <w:rPr>
                <w:sz w:val="20"/>
                <w:szCs w:val="20"/>
                <w:color w:val="auto"/>
              </w:rPr>
            </w:pPr>
            <w:r>
              <w:rPr>
                <w:rFonts w:ascii="Arial" w:cs="Arial" w:eastAsia="Arial" w:hAnsi="Arial"/>
                <w:sz w:val="13"/>
                <w:szCs w:val="13"/>
                <w:b w:val="1"/>
                <w:bCs w:val="1"/>
                <w:color w:val="auto"/>
              </w:rPr>
              <w:t>Debt Maturing</w:t>
            </w:r>
          </w:p>
        </w:tc>
        <w:tc>
          <w:tcPr>
            <w:tcW w:w="160" w:type="dxa"/>
            <w:vAlign w:val="bottom"/>
            <w:tcBorders>
              <w:bottom w:val="single" w:sz="8" w:color="2B4B86"/>
            </w:tcBorders>
          </w:tcPr>
          <w:p>
            <w:pPr>
              <w:spacing w:after="0"/>
              <w:rPr>
                <w:sz w:val="13"/>
                <w:szCs w:val="13"/>
                <w:color w:val="auto"/>
              </w:rPr>
            </w:pPr>
          </w:p>
        </w:tc>
        <w:tc>
          <w:tcPr>
            <w:tcW w:w="146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Scheduled Maturities</w:t>
            </w:r>
          </w:p>
        </w:tc>
        <w:tc>
          <w:tcPr>
            <w:tcW w:w="0" w:type="dxa"/>
            <w:vAlign w:val="bottom"/>
          </w:tcPr>
          <w:p>
            <w:pPr>
              <w:spacing w:after="0"/>
              <w:rPr>
                <w:sz w:val="1"/>
                <w:szCs w:val="1"/>
                <w:color w:val="auto"/>
              </w:rPr>
            </w:pPr>
          </w:p>
        </w:tc>
      </w:tr>
      <w:tr>
        <w:trPr>
          <w:trHeight w:val="126"/>
        </w:trPr>
        <w:tc>
          <w:tcPr>
            <w:tcW w:w="1640" w:type="dxa"/>
            <w:vAlign w:val="bottom"/>
          </w:tcPr>
          <w:p>
            <w:pPr>
              <w:ind w:left="580"/>
              <w:spacing w:after="0" w:line="126" w:lineRule="exact"/>
              <w:rPr>
                <w:sz w:val="20"/>
                <w:szCs w:val="20"/>
                <w:color w:val="auto"/>
              </w:rPr>
            </w:pPr>
            <w:r>
              <w:rPr>
                <w:rFonts w:ascii="Arial" w:cs="Arial" w:eastAsia="Arial" w:hAnsi="Arial"/>
                <w:sz w:val="13"/>
                <w:szCs w:val="13"/>
                <w:color w:val="auto"/>
              </w:rPr>
              <w:t>2026</w:t>
            </w:r>
          </w:p>
        </w:tc>
        <w:tc>
          <w:tcPr>
            <w:tcW w:w="1460" w:type="dxa"/>
            <w:vAlign w:val="bottom"/>
          </w:tcPr>
          <w:p>
            <w:pPr>
              <w:jc w:val="right"/>
              <w:spacing w:after="0" w:line="126" w:lineRule="exact"/>
              <w:rPr>
                <w:sz w:val="20"/>
                <w:szCs w:val="20"/>
                <w:color w:val="auto"/>
              </w:rPr>
            </w:pPr>
            <w:r>
              <w:rPr>
                <w:rFonts w:ascii="Arial" w:cs="Arial" w:eastAsia="Arial" w:hAnsi="Arial"/>
                <w:sz w:val="13"/>
                <w:szCs w:val="13"/>
                <w:color w:val="auto"/>
              </w:rPr>
              <w:t>2,496</w:t>
            </w: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jc w:val="right"/>
              <w:spacing w:after="0" w:line="126" w:lineRule="exact"/>
              <w:rPr>
                <w:sz w:val="20"/>
                <w:szCs w:val="20"/>
                <w:color w:val="auto"/>
              </w:rPr>
            </w:pPr>
            <w:r>
              <w:rPr>
                <w:rFonts w:ascii="Arial" w:cs="Arial" w:eastAsia="Arial" w:hAnsi="Arial"/>
                <w:sz w:val="13"/>
                <w:szCs w:val="13"/>
                <w:color w:val="auto"/>
              </w:rPr>
              <w:t>6,368</w:t>
            </w:r>
          </w:p>
        </w:tc>
        <w:tc>
          <w:tcPr>
            <w:tcW w:w="166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w:t>
            </w:r>
          </w:p>
        </w:tc>
        <w:tc>
          <w:tcPr>
            <w:tcW w:w="16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8,864</w:t>
            </w:r>
          </w:p>
        </w:tc>
        <w:tc>
          <w:tcPr>
            <w:tcW w:w="16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0.4%</w:t>
            </w:r>
          </w:p>
        </w:tc>
        <w:tc>
          <w:tcPr>
            <w:tcW w:w="1620" w:type="dxa"/>
            <w:vAlign w:val="bottom"/>
            <w:gridSpan w:val="2"/>
          </w:tcPr>
          <w:p>
            <w:pPr>
              <w:jc w:val="right"/>
              <w:spacing w:after="0" w:line="126" w:lineRule="exact"/>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2027</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1,093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134,640</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230,733</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13.4%</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2028</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983</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595,050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596,033</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34.8%</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4.92%</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2029</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1,016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136,016</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7.9%</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2030</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1,049</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225,000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226,049</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2031</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1,081</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101,081</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5.8%</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3.83%</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2032</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1,116</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131,116</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7.6%</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5.86%</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2033</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668</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200,668</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11.7%</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142"/>
        </w:trPr>
        <w:tc>
          <w:tcPr>
            <w:tcW w:w="1640" w:type="dxa"/>
            <w:vAlign w:val="bottom"/>
          </w:tcPr>
          <w:p>
            <w:pPr>
              <w:ind w:left="580"/>
              <w:spacing w:after="0" w:line="142" w:lineRule="exact"/>
              <w:rPr>
                <w:sz w:val="20"/>
                <w:szCs w:val="20"/>
                <w:color w:val="auto"/>
              </w:rPr>
            </w:pPr>
            <w:r>
              <w:rPr>
                <w:rFonts w:ascii="Arial" w:cs="Arial" w:eastAsia="Arial" w:hAnsi="Arial"/>
                <w:sz w:val="13"/>
                <w:szCs w:val="13"/>
                <w:color w:val="auto"/>
              </w:rPr>
              <w:t>2034</w:t>
            </w: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90,000</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5.3%</w:t>
            </w:r>
          </w:p>
        </w:tc>
        <w:tc>
          <w:tcPr>
            <w:tcW w:w="16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3.98%</w:t>
            </w:r>
          </w:p>
        </w:tc>
        <w:tc>
          <w:tcPr>
            <w:tcW w:w="0" w:type="dxa"/>
            <w:vAlign w:val="bottom"/>
          </w:tcPr>
          <w:p>
            <w:pPr>
              <w:spacing w:after="0"/>
              <w:rPr>
                <w:sz w:val="1"/>
                <w:szCs w:val="1"/>
                <w:color w:val="auto"/>
              </w:rPr>
            </w:pPr>
          </w:p>
        </w:tc>
      </w:tr>
      <w:tr>
        <w:trPr>
          <w:trHeight w:val="150"/>
        </w:trPr>
        <w:tc>
          <w:tcPr>
            <w:tcW w:w="1640" w:type="dxa"/>
            <w:vAlign w:val="bottom"/>
          </w:tcPr>
          <w:p>
            <w:pPr>
              <w:ind w:left="580"/>
              <w:spacing w:after="0"/>
              <w:rPr>
                <w:sz w:val="20"/>
                <w:szCs w:val="20"/>
                <w:color w:val="auto"/>
              </w:rPr>
            </w:pPr>
            <w:r>
              <w:rPr>
                <w:rFonts w:ascii="Arial" w:cs="Arial" w:eastAsia="Arial" w:hAnsi="Arial"/>
                <w:sz w:val="13"/>
                <w:szCs w:val="13"/>
                <w:color w:val="auto"/>
              </w:rPr>
              <w:t>2035</w:t>
            </w:r>
          </w:p>
        </w:tc>
        <w:tc>
          <w:tcPr>
            <w:tcW w:w="146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1620" w:type="dxa"/>
            <w:vAlign w:val="bottom"/>
            <w:gridSpan w:val="2"/>
          </w:tcPr>
          <w:p>
            <w:pPr>
              <w:jc w:val="right"/>
              <w:spacing w:after="0"/>
              <w:rPr>
                <w:sz w:val="20"/>
                <w:szCs w:val="20"/>
                <w:color w:val="auto"/>
              </w:rPr>
            </w:pPr>
            <w:r>
              <w:rPr>
                <w:rFonts w:ascii="Arial" w:cs="Arial" w:eastAsia="Arial" w:hAnsi="Arial"/>
                <w:sz w:val="13"/>
                <w:szCs w:val="13"/>
                <w:color w:val="auto"/>
              </w:rPr>
              <w:t>0.00%</w:t>
            </w:r>
          </w:p>
        </w:tc>
        <w:tc>
          <w:tcPr>
            <w:tcW w:w="0" w:type="dxa"/>
            <w:vAlign w:val="bottom"/>
          </w:tcPr>
          <w:p>
            <w:pPr>
              <w:spacing w:after="0"/>
              <w:rPr>
                <w:sz w:val="1"/>
                <w:szCs w:val="1"/>
                <w:color w:val="auto"/>
              </w:rPr>
            </w:pPr>
          </w:p>
        </w:tc>
      </w:tr>
      <w:tr>
        <w:trPr>
          <w:trHeight w:val="164"/>
        </w:trPr>
        <w:tc>
          <w:tcPr>
            <w:tcW w:w="1640" w:type="dxa"/>
            <w:vAlign w:val="bottom"/>
            <w:tcBorders>
              <w:top w:val="single" w:sz="8" w:color="auto"/>
            </w:tcBorders>
          </w:tcPr>
          <w:p>
            <w:pPr>
              <w:ind w:left="580"/>
              <w:spacing w:after="0"/>
              <w:rPr>
                <w:sz w:val="20"/>
                <w:szCs w:val="20"/>
                <w:color w:val="auto"/>
              </w:rPr>
            </w:pPr>
            <w:r>
              <w:rPr>
                <w:rFonts w:ascii="Arial" w:cs="Arial" w:eastAsia="Arial" w:hAnsi="Arial"/>
                <w:sz w:val="13"/>
                <w:szCs w:val="13"/>
                <w:b w:val="1"/>
                <w:bCs w:val="1"/>
                <w:color w:val="auto"/>
              </w:rPr>
              <w:t>Total</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$9,502</w:t>
            </w:r>
          </w:p>
        </w:tc>
        <w:tc>
          <w:tcPr>
            <w:tcW w:w="1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$141,008</w:t>
            </w:r>
          </w:p>
        </w:tc>
        <w:tc>
          <w:tcPr>
            <w:tcW w:w="180" w:type="dxa"/>
            <w:vAlign w:val="bottom"/>
          </w:tcPr>
          <w:p>
            <w:pPr>
              <w:spacing w:after="0"/>
              <w:rPr>
                <w:sz w:val="14"/>
                <w:szCs w:val="1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$1,570,050</w:t>
            </w:r>
          </w:p>
        </w:tc>
        <w:tc>
          <w:tcPr>
            <w:tcW w:w="16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$1,720,560</w:t>
            </w:r>
          </w:p>
        </w:tc>
        <w:tc>
          <w:tcPr>
            <w:tcW w:w="16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100.0%</w:t>
            </w:r>
          </w:p>
        </w:tc>
        <w:tc>
          <w:tcPr>
            <w:tcW w:w="16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85725</wp:posOffset>
            </wp:positionV>
            <wp:extent cx="7204075" cy="21628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4075" cy="2162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30" w:name="page31"/>
    <w:bookmarkEnd w:id="30"/>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Leased Operating Property Overview</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Percentage</w:t>
            </w:r>
          </w:p>
        </w:tc>
        <w:tc>
          <w:tcPr>
            <w:tcW w:w="10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jc w:val="center"/>
              <w:ind w:left="117"/>
              <w:spacing w:after="0" w:line="142" w:lineRule="exact"/>
              <w:rPr>
                <w:sz w:val="20"/>
                <w:szCs w:val="20"/>
                <w:color w:val="auto"/>
              </w:rPr>
            </w:pPr>
            <w:r>
              <w:rPr>
                <w:rFonts w:ascii="Arial" w:cs="Arial" w:eastAsia="Arial" w:hAnsi="Arial"/>
                <w:sz w:val="13"/>
                <w:szCs w:val="13"/>
                <w:b w:val="1"/>
                <w:bCs w:val="1"/>
                <w:color w:val="auto"/>
                <w:w w:val="98"/>
              </w:rPr>
              <w:t>Tenant</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7"/>
              </w:rPr>
              <w:t>of Total</w:t>
            </w: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b w:val="1"/>
                <w:bCs w:val="1"/>
                <w:color w:val="auto"/>
                <w:w w:val="97"/>
              </w:rPr>
              <w:t>Lease</w:t>
            </w:r>
          </w:p>
        </w:tc>
        <w:tc>
          <w:tcPr>
            <w:tcW w:w="10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100" w:type="dxa"/>
            <w:vAlign w:val="bottom"/>
          </w:tcPr>
          <w:p>
            <w:pPr>
              <w:spacing w:after="0"/>
              <w:rPr>
                <w:sz w:val="12"/>
                <w:szCs w:val="12"/>
                <w:color w:val="auto"/>
              </w:rPr>
            </w:pPr>
          </w:p>
        </w:tc>
        <w:tc>
          <w:tcPr>
            <w:tcW w:w="820" w:type="dxa"/>
            <w:vAlign w:val="bottom"/>
            <w:gridSpan w:val="2"/>
          </w:tcPr>
          <w:p>
            <w:pPr>
              <w:jc w:val="center"/>
              <w:ind w:left="37"/>
              <w:spacing w:after="0" w:line="142" w:lineRule="exact"/>
              <w:rPr>
                <w:sz w:val="20"/>
                <w:szCs w:val="20"/>
                <w:color w:val="auto"/>
              </w:rPr>
            </w:pPr>
            <w:r>
              <w:rPr>
                <w:rFonts w:ascii="Arial" w:cs="Arial" w:eastAsia="Arial" w:hAnsi="Arial"/>
                <w:sz w:val="13"/>
                <w:szCs w:val="13"/>
                <w:b w:val="1"/>
                <w:bCs w:val="1"/>
                <w:color w:val="auto"/>
                <w:w w:val="97"/>
              </w:rPr>
              <w:t>Annualized</w:t>
            </w:r>
          </w:p>
        </w:tc>
        <w:tc>
          <w:tcPr>
            <w:tcW w:w="120" w:type="dxa"/>
            <w:vAlign w:val="bottom"/>
          </w:tcPr>
          <w:p>
            <w:pPr>
              <w:spacing w:after="0"/>
              <w:rPr>
                <w:sz w:val="12"/>
                <w:szCs w:val="12"/>
                <w:color w:val="auto"/>
              </w:rPr>
            </w:pPr>
          </w:p>
        </w:tc>
        <w:tc>
          <w:tcPr>
            <w:tcW w:w="110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5"/>
              </w:rPr>
              <w:t>Annualized</w:t>
            </w:r>
          </w:p>
        </w:tc>
        <w:tc>
          <w:tcPr>
            <w:tcW w:w="1040" w:type="dxa"/>
            <w:vAlign w:val="bottom"/>
            <w:gridSpan w:val="3"/>
          </w:tcPr>
          <w:p>
            <w:pPr>
              <w:jc w:val="center"/>
              <w:ind w:right="20"/>
              <w:spacing w:after="0" w:line="142" w:lineRule="exact"/>
              <w:rPr>
                <w:sz w:val="20"/>
                <w:szCs w:val="20"/>
                <w:color w:val="auto"/>
              </w:rPr>
            </w:pPr>
            <w:r>
              <w:rPr>
                <w:rFonts w:ascii="Arial" w:cs="Arial" w:eastAsia="Arial" w:hAnsi="Arial"/>
                <w:sz w:val="13"/>
                <w:szCs w:val="13"/>
                <w:b w:val="1"/>
                <w:bCs w:val="1"/>
                <w:color w:val="auto"/>
                <w:w w:val="95"/>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tcPr>
          <w:p>
            <w:pPr>
              <w:jc w:val="center"/>
              <w:ind w:left="117"/>
              <w:spacing w:after="0" w:line="142"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Year Built /</w:t>
            </w: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9"/>
              </w:rPr>
              <w:t>Square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Lease</w:t>
            </w:r>
          </w:p>
        </w:tc>
        <w:tc>
          <w:tcPr>
            <w:tcW w:w="120" w:type="dxa"/>
            <w:vAlign w:val="bottom"/>
          </w:tcPr>
          <w:p>
            <w:pPr>
              <w:spacing w:after="0"/>
              <w:rPr>
                <w:sz w:val="12"/>
                <w:szCs w:val="12"/>
                <w:color w:val="auto"/>
              </w:rPr>
            </w:pPr>
          </w:p>
        </w:tc>
        <w:tc>
          <w:tcPr>
            <w:tcW w:w="110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7"/>
              </w:rPr>
              <w:t>Lease</w:t>
            </w: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50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1880" w:type="dxa"/>
            <w:vAlign w:val="bottom"/>
          </w:tcPr>
          <w:p>
            <w:pPr>
              <w:ind w:left="200"/>
              <w:spacing w:after="0"/>
              <w:rPr>
                <w:sz w:val="20"/>
                <w:szCs w:val="20"/>
                <w:color w:val="auto"/>
              </w:rPr>
            </w:pPr>
            <w:r>
              <w:rPr>
                <w:rFonts w:ascii="Arial" w:cs="Arial" w:eastAsia="Arial" w:hAnsi="Arial"/>
                <w:sz w:val="13"/>
                <w:szCs w:val="13"/>
                <w:b w:val="1"/>
                <w:bCs w:val="1"/>
                <w:color w:val="auto"/>
              </w:rPr>
              <w:t>Location</w:t>
            </w:r>
          </w:p>
        </w:tc>
        <w:tc>
          <w:tcPr>
            <w:tcW w:w="1680" w:type="dxa"/>
            <w:vAlign w:val="bottom"/>
          </w:tcPr>
          <w:p>
            <w:pPr>
              <w:ind w:left="360"/>
              <w:spacing w:after="0"/>
              <w:rPr>
                <w:sz w:val="20"/>
                <w:szCs w:val="20"/>
                <w:color w:val="auto"/>
              </w:rPr>
            </w:pPr>
            <w:r>
              <w:rPr>
                <w:rFonts w:ascii="Arial" w:cs="Arial" w:eastAsia="Arial" w:hAnsi="Arial"/>
                <w:sz w:val="13"/>
                <w:szCs w:val="13"/>
                <w:b w:val="1"/>
                <w:bCs w:val="1"/>
                <w:color w:val="auto"/>
              </w:rPr>
              <w:t>Property Type</w:t>
            </w:r>
          </w:p>
        </w:tc>
        <w:tc>
          <w:tcPr>
            <w:tcW w:w="1120" w:type="dxa"/>
            <w:vAlign w:val="bottom"/>
          </w:tcPr>
          <w:p>
            <w:pPr>
              <w:jc w:val="center"/>
              <w:ind w:left="117"/>
              <w:spacing w:after="0"/>
              <w:rPr>
                <w:sz w:val="20"/>
                <w:szCs w:val="20"/>
                <w:color w:val="auto"/>
              </w:rPr>
            </w:pPr>
            <w:r>
              <w:rPr>
                <w:rFonts w:ascii="Arial" w:cs="Arial" w:eastAsia="Arial" w:hAnsi="Arial"/>
                <w:sz w:val="13"/>
                <w:szCs w:val="13"/>
                <w:b w:val="1"/>
                <w:bCs w:val="1"/>
                <w:color w:val="auto"/>
                <w:w w:val="92"/>
              </w:rPr>
              <w:t>Year</w:t>
            </w:r>
          </w:p>
        </w:tc>
        <w:tc>
          <w:tcPr>
            <w:tcW w:w="1020" w:type="dxa"/>
            <w:vAlign w:val="bottom"/>
          </w:tcPr>
          <w:p>
            <w:pPr>
              <w:ind w:left="120"/>
              <w:spacing w:after="0"/>
              <w:rPr>
                <w:sz w:val="20"/>
                <w:szCs w:val="20"/>
                <w:color w:val="auto"/>
              </w:rPr>
            </w:pPr>
            <w:r>
              <w:rPr>
                <w:rFonts w:ascii="Arial" w:cs="Arial" w:eastAsia="Arial" w:hAnsi="Arial"/>
                <w:sz w:val="13"/>
                <w:szCs w:val="13"/>
                <w:b w:val="1"/>
                <w:bCs w:val="1"/>
                <w:color w:val="auto"/>
              </w:rPr>
              <w:t>Renovated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3"/>
                <w:szCs w:val="13"/>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Income</w:t>
            </w:r>
          </w:p>
        </w:tc>
        <w:tc>
          <w:tcPr>
            <w:tcW w:w="10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Borders>
              <w:top w:val="single" w:sz="8" w:color="2B4B86"/>
            </w:tcBorders>
          </w:tcPr>
          <w:p>
            <w:pPr>
              <w:spacing w:after="0"/>
              <w:rPr>
                <w:sz w:val="2"/>
                <w:szCs w:val="2"/>
                <w:color w:val="auto"/>
              </w:rPr>
            </w:pPr>
          </w:p>
        </w:tc>
        <w:tc>
          <w:tcPr>
            <w:tcW w:w="1880" w:type="dxa"/>
            <w:vAlign w:val="bottom"/>
            <w:tcBorders>
              <w:top w:val="single" w:sz="8" w:color="2B4B86"/>
            </w:tcBorders>
          </w:tcPr>
          <w:p>
            <w:pPr>
              <w:spacing w:after="0"/>
              <w:rPr>
                <w:sz w:val="2"/>
                <w:szCs w:val="2"/>
                <w:color w:val="auto"/>
              </w:rPr>
            </w:pPr>
          </w:p>
        </w:tc>
        <w:tc>
          <w:tcPr>
            <w:tcW w:w="1680" w:type="dxa"/>
            <w:vAlign w:val="bottom"/>
            <w:tcBorders>
              <w:top w:val="single" w:sz="8" w:color="2B4B86"/>
            </w:tcBorders>
          </w:tcPr>
          <w:p>
            <w:pPr>
              <w:spacing w:after="0"/>
              <w:rPr>
                <w:sz w:val="2"/>
                <w:szCs w:val="2"/>
                <w:color w:val="auto"/>
              </w:rPr>
            </w:pPr>
          </w:p>
        </w:tc>
        <w:tc>
          <w:tcPr>
            <w:tcW w:w="1120" w:type="dxa"/>
            <w:vAlign w:val="bottom"/>
            <w:tcBorders>
              <w:top w:val="single" w:sz="8" w:color="2B4B86"/>
            </w:tcBorders>
          </w:tcPr>
          <w:p>
            <w:pPr>
              <w:spacing w:after="0"/>
              <w:rPr>
                <w:sz w:val="2"/>
                <w:szCs w:val="2"/>
                <w:color w:val="auto"/>
              </w:rPr>
            </w:pPr>
          </w:p>
        </w:tc>
        <w:tc>
          <w:tcPr>
            <w:tcW w:w="1020" w:type="dxa"/>
            <w:vAlign w:val="bottom"/>
            <w:tcBorders>
              <w:top w:val="single" w:sz="8" w:color="2B4B86"/>
            </w:tcBorders>
          </w:tcPr>
          <w:p>
            <w:pPr>
              <w:spacing w:after="0"/>
              <w:rPr>
                <w:sz w:val="2"/>
                <w:szCs w:val="2"/>
                <w:color w:val="auto"/>
              </w:rPr>
            </w:pPr>
          </w:p>
        </w:tc>
        <w:tc>
          <w:tcPr>
            <w:tcW w:w="880" w:type="dxa"/>
            <w:vAlign w:val="bottom"/>
            <w:tcBorders>
              <w:top w:val="single" w:sz="8" w:color="2B4B86"/>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B4B86"/>
            </w:tcBorders>
          </w:tcPr>
          <w:p>
            <w:pPr>
              <w:spacing w:after="0"/>
              <w:rPr>
                <w:sz w:val="2"/>
                <w:szCs w:val="2"/>
                <w:color w:val="auto"/>
              </w:rPr>
            </w:pPr>
          </w:p>
        </w:tc>
        <w:tc>
          <w:tcPr>
            <w:tcW w:w="62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2B4B86"/>
            </w:tcBorders>
          </w:tcPr>
          <w:p>
            <w:pPr>
              <w:spacing w:after="0"/>
              <w:rPr>
                <w:sz w:val="2"/>
                <w:szCs w:val="2"/>
                <w:color w:val="auto"/>
              </w:rPr>
            </w:pPr>
          </w:p>
        </w:tc>
        <w:tc>
          <w:tcPr>
            <w:tcW w:w="68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6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Wholly Owned U.S. Government Leased Properties</w:t>
            </w:r>
          </w:p>
        </w:tc>
        <w:tc>
          <w:tcPr>
            <w:tcW w:w="1680" w:type="dxa"/>
            <w:vAlign w:val="bottom"/>
            <w:shd w:val="clear" w:color="auto" w:fill="E7E6E6"/>
          </w:tcPr>
          <w:p>
            <w:pPr>
              <w:spacing w:after="0"/>
              <w:rPr>
                <w:sz w:val="12"/>
                <w:szCs w:val="12"/>
                <w:color w:val="auto"/>
              </w:rPr>
            </w:pPr>
          </w:p>
        </w:tc>
        <w:tc>
          <w:tcPr>
            <w:tcW w:w="1120" w:type="dxa"/>
            <w:vAlign w:val="bottom"/>
            <w:shd w:val="clear" w:color="auto" w:fill="E7E6E6"/>
          </w:tcPr>
          <w:p>
            <w:pPr>
              <w:spacing w:after="0"/>
              <w:rPr>
                <w:sz w:val="12"/>
                <w:szCs w:val="12"/>
                <w:color w:val="auto"/>
              </w:rPr>
            </w:pPr>
          </w:p>
        </w:tc>
        <w:tc>
          <w:tcPr>
            <w:tcW w:w="1020" w:type="dxa"/>
            <w:vAlign w:val="bottom"/>
            <w:shd w:val="clear" w:color="auto" w:fill="E7E6E6"/>
          </w:tcPr>
          <w:p>
            <w:pPr>
              <w:spacing w:after="0"/>
              <w:rPr>
                <w:sz w:val="12"/>
                <w:szCs w:val="12"/>
                <w:color w:val="auto"/>
              </w:rPr>
            </w:pPr>
          </w:p>
        </w:tc>
        <w:tc>
          <w:tcPr>
            <w:tcW w:w="88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200" w:type="dxa"/>
            <w:vAlign w:val="bottom"/>
            <w:shd w:val="clear" w:color="auto" w:fill="E7E6E6"/>
          </w:tcPr>
          <w:p>
            <w:pPr>
              <w:spacing w:after="0"/>
              <w:rPr>
                <w:sz w:val="12"/>
                <w:szCs w:val="12"/>
                <w:color w:val="auto"/>
              </w:rPr>
            </w:pPr>
          </w:p>
        </w:tc>
        <w:tc>
          <w:tcPr>
            <w:tcW w:w="62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240" w:type="dxa"/>
            <w:vAlign w:val="bottom"/>
            <w:shd w:val="clear" w:color="auto" w:fill="E7E6E6"/>
          </w:tcPr>
          <w:p>
            <w:pPr>
              <w:spacing w:after="0"/>
              <w:rPr>
                <w:sz w:val="12"/>
                <w:szCs w:val="12"/>
                <w:color w:val="auto"/>
              </w:rPr>
            </w:pPr>
          </w:p>
        </w:tc>
        <w:tc>
          <w:tcPr>
            <w:tcW w:w="6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color w:val="auto"/>
              </w:rPr>
              <w:t>16,873,82</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VA - Loma Linda</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Loma Linda, CA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Outpatient Clinic</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2036</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2016</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327,614</w:t>
            </w:r>
          </w:p>
        </w:tc>
        <w:tc>
          <w:tcPr>
            <w:tcW w:w="3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4.2%</w:t>
            </w:r>
          </w:p>
        </w:tc>
        <w:tc>
          <w:tcPr>
            <w:tcW w:w="2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51.51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20" w:type="dxa"/>
            <w:vAlign w:val="bottom"/>
            <w:vMerge w:val="restart"/>
          </w:tcPr>
          <w:p>
            <w:pPr>
              <w:jc w:val="center"/>
              <w:ind w:left="117"/>
              <w:spacing w:after="0"/>
              <w:rPr>
                <w:sz w:val="20"/>
                <w:szCs w:val="20"/>
                <w:color w:val="auto"/>
              </w:rPr>
            </w:pPr>
            <w:r>
              <w:rPr>
                <w:rFonts w:ascii="Arial" w:cs="Arial" w:eastAsia="Arial" w:hAnsi="Arial"/>
                <w:sz w:val="13"/>
                <w:szCs w:val="13"/>
                <w:color w:val="auto"/>
                <w:w w:val="94"/>
              </w:rPr>
              <w:t>2027 - 2042</w:t>
            </w:r>
            <w:r>
              <w:rPr>
                <w:rFonts w:ascii="Arial" w:cs="Arial" w:eastAsia="Arial" w:hAnsi="Arial"/>
                <w:sz w:val="16"/>
                <w:szCs w:val="16"/>
                <w:color w:val="auto"/>
                <w:w w:val="94"/>
                <w:vertAlign w:val="superscript"/>
              </w:rPr>
              <w:t>(1)</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10,396,75</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Arial" w:cs="Arial" w:eastAsia="Arial" w:hAnsi="Arial"/>
                <w:sz w:val="13"/>
                <w:szCs w:val="13"/>
                <w:color w:val="auto"/>
              </w:rPr>
              <w:t>USCIS - Kansas City</w:t>
            </w:r>
          </w:p>
        </w:tc>
        <w:tc>
          <w:tcPr>
            <w:tcW w:w="1880" w:type="dxa"/>
            <w:vAlign w:val="bottom"/>
          </w:tcPr>
          <w:p>
            <w:pPr>
              <w:ind w:left="200"/>
              <w:spacing w:after="0" w:line="126" w:lineRule="exact"/>
              <w:rPr>
                <w:sz w:val="20"/>
                <w:szCs w:val="20"/>
                <w:color w:val="auto"/>
              </w:rPr>
            </w:pPr>
            <w:r>
              <w:rPr>
                <w:rFonts w:ascii="Arial" w:cs="Arial" w:eastAsia="Arial" w:hAnsi="Arial"/>
                <w:sz w:val="13"/>
                <w:szCs w:val="13"/>
                <w:color w:val="auto"/>
              </w:rPr>
              <w:t>Lee's Summit, MO</w:t>
            </w:r>
          </w:p>
        </w:tc>
        <w:tc>
          <w:tcPr>
            <w:tcW w:w="1680" w:type="dxa"/>
            <w:vAlign w:val="bottom"/>
          </w:tcPr>
          <w:p>
            <w:pPr>
              <w:ind w:left="360"/>
              <w:spacing w:after="0" w:line="126" w:lineRule="exact"/>
              <w:rPr>
                <w:sz w:val="20"/>
                <w:szCs w:val="20"/>
                <w:color w:val="auto"/>
              </w:rPr>
            </w:pPr>
            <w:r>
              <w:rPr>
                <w:rFonts w:ascii="Arial" w:cs="Arial" w:eastAsia="Arial" w:hAnsi="Arial"/>
                <w:sz w:val="13"/>
                <w:szCs w:val="13"/>
                <w:color w:val="auto"/>
              </w:rPr>
              <w:t>Office</w:t>
            </w:r>
          </w:p>
        </w:tc>
        <w:tc>
          <w:tcPr>
            <w:tcW w:w="1120" w:type="dxa"/>
            <w:vAlign w:val="bottom"/>
            <w:vMerge w:val="continue"/>
          </w:tcPr>
          <w:p>
            <w:pPr>
              <w:spacing w:after="0"/>
              <w:rPr>
                <w:sz w:val="10"/>
                <w:szCs w:val="10"/>
                <w:color w:val="auto"/>
              </w:rPr>
            </w:pP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8"/>
              </w:rPr>
              <w:t>1969 / 1999</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417,945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4</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2.5%</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24.88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rPr>
                <w:sz w:val="20"/>
                <w:szCs w:val="20"/>
                <w:color w:val="auto"/>
              </w:rPr>
            </w:pPr>
            <w:r>
              <w:rPr>
                <w:rFonts w:ascii="Arial" w:cs="Arial" w:eastAsia="Arial" w:hAnsi="Arial"/>
                <w:sz w:val="13"/>
                <w:szCs w:val="13"/>
                <w:color w:val="auto"/>
              </w:rPr>
              <w:t>JSC - Suffolk</w:t>
            </w:r>
          </w:p>
        </w:tc>
        <w:tc>
          <w:tcPr>
            <w:tcW w:w="1880" w:type="dxa"/>
            <w:vAlign w:val="bottom"/>
          </w:tcPr>
          <w:p>
            <w:pPr>
              <w:ind w:left="200"/>
              <w:spacing w:after="0"/>
              <w:rPr>
                <w:sz w:val="20"/>
                <w:szCs w:val="20"/>
                <w:color w:val="auto"/>
              </w:rPr>
            </w:pPr>
            <w:r>
              <w:rPr>
                <w:rFonts w:ascii="Arial" w:cs="Arial" w:eastAsia="Arial" w:hAnsi="Arial"/>
                <w:sz w:val="13"/>
                <w:szCs w:val="13"/>
                <w:color w:val="auto"/>
              </w:rPr>
              <w:t>Suffolk, VA</w:t>
            </w:r>
          </w:p>
        </w:tc>
        <w:tc>
          <w:tcPr>
            <w:tcW w:w="1680" w:type="dxa"/>
            <w:vAlign w:val="bottom"/>
          </w:tcPr>
          <w:p>
            <w:pPr>
              <w:ind w:left="360"/>
              <w:spacing w:after="0"/>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117"/>
              <w:spacing w:after="0" w:line="158" w:lineRule="exact"/>
              <w:rPr>
                <w:sz w:val="20"/>
                <w:szCs w:val="20"/>
                <w:color w:val="auto"/>
              </w:rPr>
            </w:pPr>
            <w:r>
              <w:rPr>
                <w:rFonts w:ascii="Arial" w:cs="Arial" w:eastAsia="Arial" w:hAnsi="Arial"/>
                <w:sz w:val="13"/>
                <w:szCs w:val="13"/>
                <w:color w:val="auto"/>
                <w:w w:val="90"/>
              </w:rPr>
              <w:t>2028</w:t>
            </w:r>
            <w:r>
              <w:rPr>
                <w:rFonts w:ascii="Arial" w:cs="Arial" w:eastAsia="Arial" w:hAnsi="Arial"/>
                <w:sz w:val="16"/>
                <w:szCs w:val="16"/>
                <w:color w:val="auto"/>
                <w:w w:val="90"/>
                <w:vertAlign w:val="superscript"/>
              </w:rPr>
              <w:t>(2)</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8"/>
              </w:rPr>
              <w:t>1993 / 2004</w:t>
            </w:r>
          </w:p>
        </w:tc>
        <w:tc>
          <w:tcPr>
            <w:tcW w:w="880" w:type="dxa"/>
            <w:vAlign w:val="bottom"/>
          </w:tcPr>
          <w:p>
            <w:pPr>
              <w:jc w:val="right"/>
              <w:spacing w:after="0"/>
              <w:rPr>
                <w:sz w:val="20"/>
                <w:szCs w:val="20"/>
                <w:color w:val="auto"/>
              </w:rPr>
            </w:pPr>
            <w:r>
              <w:rPr>
                <w:rFonts w:ascii="Arial" w:cs="Arial" w:eastAsia="Arial" w:hAnsi="Arial"/>
                <w:sz w:val="13"/>
                <w:szCs w:val="13"/>
                <w:color w:val="auto"/>
              </w:rPr>
              <w:t>403,737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8,556,069</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2.1%</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Various GSA - Chicago</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Des Plaines, IL</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2026</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1971 / 1999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188,768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7,925,559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2.0%</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41.99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FDA - Atlanta</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Atlanta, GA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Laboratory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2045</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2025</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162,000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7,064,454</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43.61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IRS - Fresno</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Fresno, CA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2033</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2003</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180,481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7,019,201</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38.89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Arial" w:cs="Arial" w:eastAsia="Arial" w:hAnsi="Arial"/>
                <w:sz w:val="13"/>
                <w:szCs w:val="13"/>
                <w:color w:val="auto"/>
              </w:rPr>
              <w:t>FBI - Salt Lake</w:t>
            </w:r>
          </w:p>
        </w:tc>
        <w:tc>
          <w:tcPr>
            <w:tcW w:w="1880" w:type="dxa"/>
            <w:vAlign w:val="bottom"/>
          </w:tcPr>
          <w:p>
            <w:pPr>
              <w:ind w:left="200"/>
              <w:spacing w:after="0" w:line="126" w:lineRule="exact"/>
              <w:rPr>
                <w:sz w:val="20"/>
                <w:szCs w:val="20"/>
                <w:color w:val="auto"/>
              </w:rPr>
            </w:pPr>
            <w:r>
              <w:rPr>
                <w:rFonts w:ascii="Arial" w:cs="Arial" w:eastAsia="Arial" w:hAnsi="Arial"/>
                <w:sz w:val="13"/>
                <w:szCs w:val="13"/>
                <w:color w:val="auto"/>
              </w:rPr>
              <w:t>Salt Lake City, UT</w:t>
            </w:r>
          </w:p>
        </w:tc>
        <w:tc>
          <w:tcPr>
            <w:tcW w:w="1680" w:type="dxa"/>
            <w:vAlign w:val="bottom"/>
          </w:tcPr>
          <w:p>
            <w:pPr>
              <w:ind w:left="360"/>
              <w:spacing w:after="0" w:line="126"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26" w:lineRule="exact"/>
              <w:rPr>
                <w:sz w:val="20"/>
                <w:szCs w:val="20"/>
                <w:color w:val="auto"/>
              </w:rPr>
            </w:pPr>
            <w:r>
              <w:rPr>
                <w:rFonts w:ascii="Arial" w:cs="Arial" w:eastAsia="Arial" w:hAnsi="Arial"/>
                <w:sz w:val="13"/>
                <w:szCs w:val="13"/>
                <w:color w:val="auto"/>
                <w:w w:val="96"/>
              </w:rPr>
              <w:t>2032</w:t>
            </w: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2012</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169,542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6,849,033</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1.7%</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40.40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rPr>
                <w:sz w:val="20"/>
                <w:szCs w:val="20"/>
                <w:color w:val="auto"/>
              </w:rPr>
            </w:pPr>
            <w:r>
              <w:rPr>
                <w:rFonts w:ascii="Arial" w:cs="Arial" w:eastAsia="Arial" w:hAnsi="Arial"/>
                <w:sz w:val="13"/>
                <w:szCs w:val="13"/>
                <w:color w:val="auto"/>
              </w:rPr>
              <w:t>Various GSA - Portland</w:t>
            </w:r>
          </w:p>
        </w:tc>
        <w:tc>
          <w:tcPr>
            <w:tcW w:w="1880" w:type="dxa"/>
            <w:vAlign w:val="bottom"/>
          </w:tcPr>
          <w:p>
            <w:pPr>
              <w:ind w:left="200"/>
              <w:spacing w:after="0"/>
              <w:rPr>
                <w:sz w:val="20"/>
                <w:szCs w:val="20"/>
                <w:color w:val="auto"/>
              </w:rPr>
            </w:pPr>
            <w:r>
              <w:rPr>
                <w:rFonts w:ascii="Arial" w:cs="Arial" w:eastAsia="Arial" w:hAnsi="Arial"/>
                <w:sz w:val="13"/>
                <w:szCs w:val="13"/>
                <w:color w:val="auto"/>
              </w:rPr>
              <w:t>Portland, OR</w:t>
            </w:r>
          </w:p>
        </w:tc>
        <w:tc>
          <w:tcPr>
            <w:tcW w:w="1680" w:type="dxa"/>
            <w:vAlign w:val="bottom"/>
          </w:tcPr>
          <w:p>
            <w:pPr>
              <w:ind w:left="360"/>
              <w:spacing w:after="0"/>
              <w:rPr>
                <w:sz w:val="20"/>
                <w:szCs w:val="20"/>
                <w:color w:val="auto"/>
              </w:rPr>
            </w:pPr>
            <w:r>
              <w:rPr>
                <w:rFonts w:ascii="Arial" w:cs="Arial" w:eastAsia="Arial" w:hAnsi="Arial"/>
                <w:sz w:val="13"/>
                <w:szCs w:val="13"/>
                <w:color w:val="auto"/>
              </w:rPr>
              <w:t>Office</w:t>
            </w:r>
          </w:p>
        </w:tc>
        <w:tc>
          <w:tcPr>
            <w:tcW w:w="1120" w:type="dxa"/>
            <w:vAlign w:val="bottom"/>
          </w:tcPr>
          <w:p>
            <w:pPr>
              <w:jc w:val="center"/>
              <w:ind w:left="117"/>
              <w:spacing w:after="0" w:line="158" w:lineRule="exact"/>
              <w:rPr>
                <w:sz w:val="20"/>
                <w:szCs w:val="20"/>
                <w:color w:val="auto"/>
              </w:rPr>
            </w:pPr>
            <w:r>
              <w:rPr>
                <w:rFonts w:ascii="Arial" w:cs="Arial" w:eastAsia="Arial" w:hAnsi="Arial"/>
                <w:sz w:val="13"/>
                <w:szCs w:val="13"/>
                <w:color w:val="auto"/>
                <w:w w:val="94"/>
              </w:rPr>
              <w:t>2027 - 2039</w:t>
            </w:r>
            <w:r>
              <w:rPr>
                <w:rFonts w:ascii="Arial" w:cs="Arial" w:eastAsia="Arial" w:hAnsi="Arial"/>
                <w:sz w:val="16"/>
                <w:szCs w:val="16"/>
                <w:color w:val="auto"/>
                <w:w w:val="94"/>
                <w:vertAlign w:val="superscript"/>
              </w:rPr>
              <w:t>(3)</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6"/>
              </w:rPr>
              <w:t>2002</w:t>
            </w:r>
          </w:p>
        </w:tc>
        <w:tc>
          <w:tcPr>
            <w:tcW w:w="880" w:type="dxa"/>
            <w:vAlign w:val="bottom"/>
          </w:tcPr>
          <w:p>
            <w:pPr>
              <w:jc w:val="right"/>
              <w:spacing w:after="0"/>
              <w:rPr>
                <w:sz w:val="20"/>
                <w:szCs w:val="20"/>
                <w:color w:val="auto"/>
              </w:rPr>
            </w:pPr>
            <w:r>
              <w:rPr>
                <w:rFonts w:ascii="Arial" w:cs="Arial" w:eastAsia="Arial" w:hAnsi="Arial"/>
                <w:sz w:val="13"/>
                <w:szCs w:val="13"/>
                <w:color w:val="auto"/>
              </w:rPr>
              <w:t>175,214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5,933,752</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33.87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VA - San Jose</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San Jose, CA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Outpatient Clinic</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2038</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2018</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90,085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5,822,259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1.5%</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64.63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Arial" w:cs="Arial" w:eastAsia="Arial" w:hAnsi="Arial"/>
                <w:sz w:val="13"/>
                <w:szCs w:val="13"/>
                <w:color w:val="auto"/>
              </w:rPr>
              <w:t>Various GSA - Buffalo</w:t>
            </w:r>
          </w:p>
        </w:tc>
        <w:tc>
          <w:tcPr>
            <w:tcW w:w="1880" w:type="dxa"/>
            <w:vAlign w:val="bottom"/>
          </w:tcPr>
          <w:p>
            <w:pPr>
              <w:ind w:left="200"/>
              <w:spacing w:after="0" w:line="126" w:lineRule="exact"/>
              <w:rPr>
                <w:sz w:val="20"/>
                <w:szCs w:val="20"/>
                <w:color w:val="auto"/>
              </w:rPr>
            </w:pPr>
            <w:r>
              <w:rPr>
                <w:rFonts w:ascii="Arial" w:cs="Arial" w:eastAsia="Arial" w:hAnsi="Arial"/>
                <w:sz w:val="13"/>
                <w:szCs w:val="13"/>
                <w:color w:val="auto"/>
              </w:rPr>
              <w:t>Buffalo, NY</w:t>
            </w:r>
          </w:p>
        </w:tc>
        <w:tc>
          <w:tcPr>
            <w:tcW w:w="1680" w:type="dxa"/>
            <w:vAlign w:val="bottom"/>
          </w:tcPr>
          <w:p>
            <w:pPr>
              <w:ind w:left="360"/>
              <w:spacing w:after="0" w:line="126"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117"/>
              <w:spacing w:after="0" w:line="126" w:lineRule="exact"/>
              <w:rPr>
                <w:sz w:val="20"/>
                <w:szCs w:val="20"/>
                <w:color w:val="auto"/>
              </w:rPr>
            </w:pPr>
            <w:r>
              <w:rPr>
                <w:rFonts w:ascii="Arial" w:cs="Arial" w:eastAsia="Arial" w:hAnsi="Arial"/>
                <w:sz w:val="13"/>
                <w:szCs w:val="13"/>
                <w:color w:val="auto"/>
                <w:w w:val="95"/>
              </w:rPr>
              <w:t>2026 - 2039</w:t>
            </w: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2004</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251,236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5,790,098</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1.5%</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23.05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rPr>
                <w:sz w:val="20"/>
                <w:szCs w:val="20"/>
                <w:color w:val="auto"/>
              </w:rPr>
            </w:pPr>
            <w:r>
              <w:rPr>
                <w:rFonts w:ascii="Arial" w:cs="Arial" w:eastAsia="Arial" w:hAnsi="Arial"/>
                <w:sz w:val="13"/>
                <w:szCs w:val="13"/>
                <w:color w:val="auto"/>
              </w:rPr>
              <w:t>EPA - Lenexa</w:t>
            </w:r>
          </w:p>
        </w:tc>
        <w:tc>
          <w:tcPr>
            <w:tcW w:w="1880" w:type="dxa"/>
            <w:vAlign w:val="bottom"/>
          </w:tcPr>
          <w:p>
            <w:pPr>
              <w:ind w:left="200"/>
              <w:spacing w:after="0"/>
              <w:rPr>
                <w:sz w:val="20"/>
                <w:szCs w:val="20"/>
                <w:color w:val="auto"/>
              </w:rPr>
            </w:pPr>
            <w:r>
              <w:rPr>
                <w:rFonts w:ascii="Arial" w:cs="Arial" w:eastAsia="Arial" w:hAnsi="Arial"/>
                <w:sz w:val="13"/>
                <w:szCs w:val="13"/>
                <w:color w:val="auto"/>
              </w:rPr>
              <w:t>Lenexa, KS</w:t>
            </w:r>
          </w:p>
        </w:tc>
        <w:tc>
          <w:tcPr>
            <w:tcW w:w="1680" w:type="dxa"/>
            <w:vAlign w:val="bottom"/>
          </w:tcPr>
          <w:p>
            <w:pPr>
              <w:ind w:left="360"/>
              <w:spacing w:after="0"/>
              <w:rPr>
                <w:sz w:val="20"/>
                <w:szCs w:val="20"/>
                <w:color w:val="auto"/>
              </w:rPr>
            </w:pPr>
            <w:r>
              <w:rPr>
                <w:rFonts w:ascii="Arial" w:cs="Arial" w:eastAsia="Arial" w:hAnsi="Arial"/>
                <w:sz w:val="13"/>
                <w:szCs w:val="13"/>
                <w:color w:val="auto"/>
              </w:rPr>
              <w:t>Office</w:t>
            </w:r>
          </w:p>
        </w:tc>
        <w:tc>
          <w:tcPr>
            <w:tcW w:w="1120" w:type="dxa"/>
            <w:vAlign w:val="bottom"/>
          </w:tcPr>
          <w:p>
            <w:pPr>
              <w:jc w:val="center"/>
              <w:ind w:left="117"/>
              <w:spacing w:after="0" w:line="158" w:lineRule="exact"/>
              <w:rPr>
                <w:sz w:val="20"/>
                <w:szCs w:val="20"/>
                <w:color w:val="auto"/>
              </w:rPr>
            </w:pPr>
            <w:r>
              <w:rPr>
                <w:rFonts w:ascii="Arial" w:cs="Arial" w:eastAsia="Arial" w:hAnsi="Arial"/>
                <w:sz w:val="13"/>
                <w:szCs w:val="13"/>
                <w:color w:val="auto"/>
                <w:w w:val="90"/>
              </w:rPr>
              <w:t>2027</w:t>
            </w:r>
            <w:r>
              <w:rPr>
                <w:rFonts w:ascii="Arial" w:cs="Arial" w:eastAsia="Arial" w:hAnsi="Arial"/>
                <w:sz w:val="16"/>
                <w:szCs w:val="16"/>
                <w:color w:val="auto"/>
                <w:w w:val="90"/>
                <w:vertAlign w:val="superscript"/>
              </w:rPr>
              <w:t>(2)</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8"/>
              </w:rPr>
              <w:t>2007 / 2012</w:t>
            </w:r>
          </w:p>
        </w:tc>
        <w:tc>
          <w:tcPr>
            <w:tcW w:w="880" w:type="dxa"/>
            <w:vAlign w:val="bottom"/>
          </w:tcPr>
          <w:p>
            <w:pPr>
              <w:jc w:val="right"/>
              <w:spacing w:after="0"/>
              <w:rPr>
                <w:sz w:val="20"/>
                <w:szCs w:val="20"/>
                <w:color w:val="auto"/>
              </w:rPr>
            </w:pPr>
            <w:r>
              <w:rPr>
                <w:rFonts w:ascii="Arial" w:cs="Arial" w:eastAsia="Arial" w:hAnsi="Arial"/>
                <w:sz w:val="13"/>
                <w:szCs w:val="13"/>
                <w:color w:val="auto"/>
              </w:rPr>
              <w:t>169,585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5,777,792</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1.5%</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PTO - Arlington</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Arlington, VA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2035</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190,546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5,393,537</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1.4%</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28.31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Tampa</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Tampa, FL</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2040</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2005</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138,000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5,385,768</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1.4%</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39.03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FDA - Alameda</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Alameda, CA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Laboratory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2039</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69,624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5,025,603</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1.3%</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72.18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San Antonio</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San Antonio, TX</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2045</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2007</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148,584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4,865,679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32.75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USCIS - Lincoln</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Lincoln, NE</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2026</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2005</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137,671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4,855,909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35.27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DEA - El Paso</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El Paso, TX</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2028</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7"/>
              </w:rPr>
              <w:t>1998 - 2005</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203,683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4,818,384</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23.66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FEMA - Tracy</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Tracy, CA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Warehouse</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2038</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2018</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210,373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4,668,336</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22.19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Arial" w:cs="Arial" w:eastAsia="Arial" w:hAnsi="Arial"/>
                <w:sz w:val="13"/>
                <w:szCs w:val="13"/>
                <w:color w:val="auto"/>
              </w:rPr>
              <w:t>TREAS - Parkersburg</w:t>
            </w:r>
          </w:p>
        </w:tc>
        <w:tc>
          <w:tcPr>
            <w:tcW w:w="1880" w:type="dxa"/>
            <w:vAlign w:val="bottom"/>
          </w:tcPr>
          <w:p>
            <w:pPr>
              <w:ind w:left="200"/>
              <w:spacing w:after="0" w:line="126" w:lineRule="exact"/>
              <w:rPr>
                <w:sz w:val="20"/>
                <w:szCs w:val="20"/>
                <w:color w:val="auto"/>
              </w:rPr>
            </w:pPr>
            <w:r>
              <w:rPr>
                <w:rFonts w:ascii="Arial" w:cs="Arial" w:eastAsia="Arial" w:hAnsi="Arial"/>
                <w:sz w:val="13"/>
                <w:szCs w:val="13"/>
                <w:color w:val="auto"/>
              </w:rPr>
              <w:t>Parkersburg, WV</w:t>
            </w:r>
          </w:p>
        </w:tc>
        <w:tc>
          <w:tcPr>
            <w:tcW w:w="1680" w:type="dxa"/>
            <w:vAlign w:val="bottom"/>
          </w:tcPr>
          <w:p>
            <w:pPr>
              <w:ind w:left="360"/>
              <w:spacing w:after="0" w:line="126"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97"/>
              <w:spacing w:after="0" w:line="126" w:lineRule="exact"/>
              <w:rPr>
                <w:sz w:val="20"/>
                <w:szCs w:val="20"/>
                <w:color w:val="auto"/>
              </w:rPr>
            </w:pPr>
            <w:r>
              <w:rPr>
                <w:rFonts w:ascii="Arial" w:cs="Arial" w:eastAsia="Arial" w:hAnsi="Arial"/>
                <w:sz w:val="13"/>
                <w:szCs w:val="13"/>
                <w:color w:val="auto"/>
                <w:w w:val="96"/>
              </w:rPr>
              <w:t>2041</w:t>
            </w: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8"/>
              </w:rPr>
              <w:t>2004 / 2006</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182,500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4,428,100</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24.26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rPr>
                <w:sz w:val="20"/>
                <w:szCs w:val="20"/>
                <w:color w:val="auto"/>
              </w:rPr>
            </w:pPr>
            <w:r>
              <w:rPr>
                <w:rFonts w:ascii="Arial" w:cs="Arial" w:eastAsia="Arial" w:hAnsi="Arial"/>
                <w:sz w:val="13"/>
                <w:szCs w:val="13"/>
                <w:color w:val="auto"/>
              </w:rPr>
              <w:t>FBI - Mobile</w:t>
            </w:r>
          </w:p>
        </w:tc>
        <w:tc>
          <w:tcPr>
            <w:tcW w:w="1880" w:type="dxa"/>
            <w:vAlign w:val="bottom"/>
          </w:tcPr>
          <w:p>
            <w:pPr>
              <w:ind w:left="200"/>
              <w:spacing w:after="0"/>
              <w:rPr>
                <w:sz w:val="20"/>
                <w:szCs w:val="20"/>
                <w:color w:val="auto"/>
              </w:rPr>
            </w:pPr>
            <w:r>
              <w:rPr>
                <w:rFonts w:ascii="Arial" w:cs="Arial" w:eastAsia="Arial" w:hAnsi="Arial"/>
                <w:sz w:val="13"/>
                <w:szCs w:val="13"/>
                <w:color w:val="auto"/>
              </w:rPr>
              <w:t>Mobile, AL</w:t>
            </w:r>
          </w:p>
        </w:tc>
        <w:tc>
          <w:tcPr>
            <w:tcW w:w="1680" w:type="dxa"/>
            <w:vAlign w:val="bottom"/>
          </w:tcPr>
          <w:p>
            <w:pPr>
              <w:ind w:left="360"/>
              <w:spacing w:after="0"/>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117"/>
              <w:spacing w:after="0" w:line="158" w:lineRule="exact"/>
              <w:rPr>
                <w:sz w:val="20"/>
                <w:szCs w:val="20"/>
                <w:color w:val="auto"/>
              </w:rPr>
            </w:pPr>
            <w:r>
              <w:rPr>
                <w:rFonts w:ascii="Arial" w:cs="Arial" w:eastAsia="Arial" w:hAnsi="Arial"/>
                <w:sz w:val="13"/>
                <w:szCs w:val="13"/>
                <w:color w:val="auto"/>
                <w:w w:val="90"/>
              </w:rPr>
              <w:t>2029</w:t>
            </w:r>
            <w:r>
              <w:rPr>
                <w:rFonts w:ascii="Arial" w:cs="Arial" w:eastAsia="Arial" w:hAnsi="Arial"/>
                <w:sz w:val="16"/>
                <w:szCs w:val="16"/>
                <w:color w:val="auto"/>
                <w:w w:val="90"/>
                <w:vertAlign w:val="superscript"/>
              </w:rPr>
              <w:t>(2)</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6"/>
              </w:rPr>
              <w:t>2001</w:t>
            </w:r>
          </w:p>
        </w:tc>
        <w:tc>
          <w:tcPr>
            <w:tcW w:w="880" w:type="dxa"/>
            <w:vAlign w:val="bottom"/>
          </w:tcPr>
          <w:p>
            <w:pPr>
              <w:jc w:val="right"/>
              <w:spacing w:after="0"/>
              <w:rPr>
                <w:sz w:val="20"/>
                <w:szCs w:val="20"/>
                <w:color w:val="auto"/>
              </w:rPr>
            </w:pPr>
            <w:r>
              <w:rPr>
                <w:rFonts w:ascii="Arial" w:cs="Arial" w:eastAsia="Arial" w:hAnsi="Arial"/>
                <w:sz w:val="13"/>
                <w:szCs w:val="13"/>
                <w:color w:val="auto"/>
              </w:rPr>
              <w:t>76,112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4,350,464</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Arial" w:cs="Arial" w:eastAsia="Arial" w:hAnsi="Arial"/>
                <w:sz w:val="13"/>
                <w:szCs w:val="13"/>
                <w:color w:val="auto"/>
              </w:rPr>
              <w:t>FDA - Lenexa</w:t>
            </w:r>
          </w:p>
        </w:tc>
        <w:tc>
          <w:tcPr>
            <w:tcW w:w="1880" w:type="dxa"/>
            <w:vAlign w:val="bottom"/>
          </w:tcPr>
          <w:p>
            <w:pPr>
              <w:ind w:left="200"/>
              <w:spacing w:after="0" w:line="126" w:lineRule="exact"/>
              <w:rPr>
                <w:sz w:val="20"/>
                <w:szCs w:val="20"/>
                <w:color w:val="auto"/>
              </w:rPr>
            </w:pPr>
            <w:r>
              <w:rPr>
                <w:rFonts w:ascii="Arial" w:cs="Arial" w:eastAsia="Arial" w:hAnsi="Arial"/>
                <w:sz w:val="13"/>
                <w:szCs w:val="13"/>
                <w:color w:val="auto"/>
              </w:rPr>
              <w:t>Lenexa, KS</w:t>
            </w:r>
          </w:p>
        </w:tc>
        <w:tc>
          <w:tcPr>
            <w:tcW w:w="1680" w:type="dxa"/>
            <w:vAlign w:val="bottom"/>
          </w:tcPr>
          <w:p>
            <w:pPr>
              <w:ind w:left="360"/>
              <w:spacing w:after="0" w:line="126" w:lineRule="exact"/>
              <w:rPr>
                <w:sz w:val="20"/>
                <w:szCs w:val="20"/>
                <w:color w:val="auto"/>
              </w:rPr>
            </w:pPr>
            <w:r>
              <w:rPr>
                <w:rFonts w:ascii="Arial" w:cs="Arial" w:eastAsia="Arial" w:hAnsi="Arial"/>
                <w:sz w:val="13"/>
                <w:szCs w:val="13"/>
                <w:color w:val="auto"/>
              </w:rPr>
              <w:t>Laboratory</w:t>
            </w:r>
          </w:p>
        </w:tc>
        <w:tc>
          <w:tcPr>
            <w:tcW w:w="1120" w:type="dxa"/>
            <w:vAlign w:val="bottom"/>
          </w:tcPr>
          <w:p>
            <w:pPr>
              <w:jc w:val="center"/>
              <w:ind w:left="97"/>
              <w:spacing w:after="0" w:line="126" w:lineRule="exact"/>
              <w:rPr>
                <w:sz w:val="20"/>
                <w:szCs w:val="20"/>
                <w:color w:val="auto"/>
              </w:rPr>
            </w:pPr>
            <w:r>
              <w:rPr>
                <w:rFonts w:ascii="Arial" w:cs="Arial" w:eastAsia="Arial" w:hAnsi="Arial"/>
                <w:sz w:val="13"/>
                <w:szCs w:val="13"/>
                <w:color w:val="auto"/>
                <w:w w:val="96"/>
              </w:rPr>
              <w:t>2040</w:t>
            </w: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2020</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59,690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4,286,244</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71.81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rPr>
                <w:sz w:val="20"/>
                <w:szCs w:val="20"/>
                <w:color w:val="auto"/>
              </w:rPr>
            </w:pPr>
            <w:r>
              <w:rPr>
                <w:rFonts w:ascii="Arial" w:cs="Arial" w:eastAsia="Arial" w:hAnsi="Arial"/>
                <w:sz w:val="13"/>
                <w:szCs w:val="13"/>
                <w:color w:val="auto"/>
              </w:rPr>
              <w:t>ICE - Dallas</w:t>
            </w:r>
          </w:p>
        </w:tc>
        <w:tc>
          <w:tcPr>
            <w:tcW w:w="1880" w:type="dxa"/>
            <w:vAlign w:val="bottom"/>
          </w:tcPr>
          <w:p>
            <w:pPr>
              <w:ind w:left="200"/>
              <w:spacing w:after="0"/>
              <w:rPr>
                <w:sz w:val="20"/>
                <w:szCs w:val="20"/>
                <w:color w:val="auto"/>
              </w:rPr>
            </w:pPr>
            <w:r>
              <w:rPr>
                <w:rFonts w:ascii="Arial" w:cs="Arial" w:eastAsia="Arial" w:hAnsi="Arial"/>
                <w:sz w:val="13"/>
                <w:szCs w:val="13"/>
                <w:color w:val="auto"/>
              </w:rPr>
              <w:t>Irving, TX</w:t>
            </w:r>
          </w:p>
        </w:tc>
        <w:tc>
          <w:tcPr>
            <w:tcW w:w="1680" w:type="dxa"/>
            <w:vAlign w:val="bottom"/>
          </w:tcPr>
          <w:p>
            <w:pPr>
              <w:ind w:left="360"/>
              <w:spacing w:after="0"/>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117"/>
              <w:spacing w:after="0" w:line="158" w:lineRule="exact"/>
              <w:rPr>
                <w:sz w:val="20"/>
                <w:szCs w:val="20"/>
                <w:color w:val="auto"/>
              </w:rPr>
            </w:pPr>
            <w:r>
              <w:rPr>
                <w:rFonts w:ascii="Arial" w:cs="Arial" w:eastAsia="Arial" w:hAnsi="Arial"/>
                <w:sz w:val="13"/>
                <w:szCs w:val="13"/>
                <w:color w:val="auto"/>
                <w:w w:val="95"/>
              </w:rPr>
              <w:t>2032 / 2040</w:t>
            </w:r>
            <w:r>
              <w:rPr>
                <w:rFonts w:ascii="Arial" w:cs="Arial" w:eastAsia="Arial" w:hAnsi="Arial"/>
                <w:sz w:val="16"/>
                <w:szCs w:val="16"/>
                <w:color w:val="auto"/>
                <w:w w:val="95"/>
                <w:vertAlign w:val="superscript"/>
              </w:rPr>
              <w:t>(4)</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8"/>
              </w:rPr>
              <w:t>2000 / 2020</w:t>
            </w:r>
          </w:p>
        </w:tc>
        <w:tc>
          <w:tcPr>
            <w:tcW w:w="880" w:type="dxa"/>
            <w:vAlign w:val="bottom"/>
          </w:tcPr>
          <w:p>
            <w:pPr>
              <w:jc w:val="right"/>
              <w:spacing w:after="0"/>
              <w:rPr>
                <w:sz w:val="20"/>
                <w:szCs w:val="20"/>
                <w:color w:val="auto"/>
              </w:rPr>
            </w:pPr>
            <w:r>
              <w:rPr>
                <w:rFonts w:ascii="Arial" w:cs="Arial" w:eastAsia="Arial" w:hAnsi="Arial"/>
                <w:sz w:val="13"/>
                <w:szCs w:val="13"/>
                <w:color w:val="auto"/>
              </w:rPr>
              <w:t>135,200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4,236,638</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31.34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Pittsburgh</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Pittsburgh, PA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2027</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100,054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4,214,053</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42.12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Knoxville</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Knoxville, TN</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2028</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2010</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99,130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4,208,887</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42.46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VA - South Bend</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Mishawaka, IN</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Outpatient Clinic</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2032</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2017</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86,363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4,145,662</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Omaha</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Omaha, NE</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2044</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112,196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3,981,453</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35.49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500" w:type="dxa"/>
            <w:vAlign w:val="bottom"/>
            <w:gridSpan w:val="2"/>
          </w:tcPr>
          <w:p>
            <w:pPr>
              <w:spacing w:after="0" w:line="126" w:lineRule="exact"/>
              <w:rPr>
                <w:sz w:val="20"/>
                <w:szCs w:val="20"/>
                <w:color w:val="auto"/>
              </w:rPr>
            </w:pPr>
            <w:r>
              <w:rPr>
                <w:rFonts w:ascii="Arial" w:cs="Arial" w:eastAsia="Arial" w:hAnsi="Arial"/>
                <w:sz w:val="13"/>
                <w:szCs w:val="13"/>
                <w:color w:val="auto"/>
              </w:rPr>
              <w:t>VA - Mobile</w:t>
            </w:r>
          </w:p>
        </w:tc>
        <w:tc>
          <w:tcPr>
            <w:tcW w:w="1880" w:type="dxa"/>
            <w:vAlign w:val="bottom"/>
          </w:tcPr>
          <w:p>
            <w:pPr>
              <w:ind w:left="200"/>
              <w:spacing w:after="0" w:line="126" w:lineRule="exact"/>
              <w:rPr>
                <w:sz w:val="20"/>
                <w:szCs w:val="20"/>
                <w:color w:val="auto"/>
              </w:rPr>
            </w:pPr>
            <w:r>
              <w:rPr>
                <w:rFonts w:ascii="Arial" w:cs="Arial" w:eastAsia="Arial" w:hAnsi="Arial"/>
                <w:sz w:val="13"/>
                <w:szCs w:val="13"/>
                <w:color w:val="auto"/>
              </w:rPr>
              <w:t>Mobile, AL</w:t>
            </w:r>
          </w:p>
        </w:tc>
        <w:tc>
          <w:tcPr>
            <w:tcW w:w="1680" w:type="dxa"/>
            <w:vAlign w:val="bottom"/>
          </w:tcPr>
          <w:p>
            <w:pPr>
              <w:ind w:left="360"/>
              <w:spacing w:after="0" w:line="126" w:lineRule="exact"/>
              <w:rPr>
                <w:sz w:val="20"/>
                <w:szCs w:val="20"/>
                <w:color w:val="auto"/>
              </w:rPr>
            </w:pPr>
            <w:r>
              <w:rPr>
                <w:rFonts w:ascii="Arial" w:cs="Arial" w:eastAsia="Arial" w:hAnsi="Arial"/>
                <w:sz w:val="13"/>
                <w:szCs w:val="13"/>
                <w:color w:val="auto"/>
              </w:rPr>
              <w:t>Outpatient Clinic</w:t>
            </w:r>
          </w:p>
        </w:tc>
        <w:tc>
          <w:tcPr>
            <w:tcW w:w="1120" w:type="dxa"/>
            <w:vAlign w:val="bottom"/>
          </w:tcPr>
          <w:p>
            <w:pPr>
              <w:jc w:val="center"/>
              <w:ind w:left="97"/>
              <w:spacing w:after="0" w:line="126" w:lineRule="exact"/>
              <w:rPr>
                <w:sz w:val="20"/>
                <w:szCs w:val="20"/>
                <w:color w:val="auto"/>
              </w:rPr>
            </w:pPr>
            <w:r>
              <w:rPr>
                <w:rFonts w:ascii="Arial" w:cs="Arial" w:eastAsia="Arial" w:hAnsi="Arial"/>
                <w:sz w:val="13"/>
                <w:szCs w:val="13"/>
                <w:color w:val="auto"/>
                <w:w w:val="96"/>
              </w:rPr>
              <w:t>2033</w:t>
            </w: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2018</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79,212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3,927,189</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49.58</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500" w:type="dxa"/>
            <w:vAlign w:val="bottom"/>
            <w:gridSpan w:val="2"/>
          </w:tcPr>
          <w:p>
            <w:pPr>
              <w:spacing w:after="0"/>
              <w:rPr>
                <w:sz w:val="20"/>
                <w:szCs w:val="20"/>
                <w:color w:val="auto"/>
              </w:rPr>
            </w:pPr>
            <w:r>
              <w:rPr>
                <w:rFonts w:ascii="Arial" w:cs="Arial" w:eastAsia="Arial" w:hAnsi="Arial"/>
                <w:sz w:val="13"/>
                <w:szCs w:val="13"/>
                <w:color w:val="auto"/>
              </w:rPr>
              <w:t>FBI - New Orleans</w:t>
            </w:r>
          </w:p>
        </w:tc>
        <w:tc>
          <w:tcPr>
            <w:tcW w:w="1880" w:type="dxa"/>
            <w:vAlign w:val="bottom"/>
          </w:tcPr>
          <w:p>
            <w:pPr>
              <w:ind w:left="200"/>
              <w:spacing w:after="0"/>
              <w:rPr>
                <w:sz w:val="20"/>
                <w:szCs w:val="20"/>
                <w:color w:val="auto"/>
              </w:rPr>
            </w:pPr>
            <w:r>
              <w:rPr>
                <w:rFonts w:ascii="Arial" w:cs="Arial" w:eastAsia="Arial" w:hAnsi="Arial"/>
                <w:sz w:val="13"/>
                <w:szCs w:val="13"/>
                <w:color w:val="auto"/>
              </w:rPr>
              <w:t>New Orleans, LA</w:t>
            </w:r>
          </w:p>
        </w:tc>
        <w:tc>
          <w:tcPr>
            <w:tcW w:w="1680" w:type="dxa"/>
            <w:vAlign w:val="bottom"/>
          </w:tcPr>
          <w:p>
            <w:pPr>
              <w:ind w:left="360"/>
              <w:spacing w:after="0"/>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117"/>
              <w:spacing w:after="0" w:line="158" w:lineRule="exact"/>
              <w:rPr>
                <w:sz w:val="20"/>
                <w:szCs w:val="20"/>
                <w:color w:val="auto"/>
              </w:rPr>
            </w:pPr>
            <w:r>
              <w:rPr>
                <w:rFonts w:ascii="Arial" w:cs="Arial" w:eastAsia="Arial" w:hAnsi="Arial"/>
                <w:sz w:val="13"/>
                <w:szCs w:val="13"/>
                <w:color w:val="auto"/>
                <w:w w:val="90"/>
              </w:rPr>
              <w:t>2029</w:t>
            </w:r>
            <w:r>
              <w:rPr>
                <w:rFonts w:ascii="Arial" w:cs="Arial" w:eastAsia="Arial" w:hAnsi="Arial"/>
                <w:sz w:val="16"/>
                <w:szCs w:val="16"/>
                <w:color w:val="auto"/>
                <w:w w:val="90"/>
                <w:vertAlign w:val="superscript"/>
              </w:rPr>
              <w:t>(5)</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8"/>
              </w:rPr>
              <w:t>1999 / 2006</w:t>
            </w:r>
          </w:p>
        </w:tc>
        <w:tc>
          <w:tcPr>
            <w:tcW w:w="880" w:type="dxa"/>
            <w:vAlign w:val="bottom"/>
          </w:tcPr>
          <w:p>
            <w:pPr>
              <w:jc w:val="right"/>
              <w:spacing w:after="0"/>
              <w:rPr>
                <w:sz w:val="20"/>
                <w:szCs w:val="20"/>
                <w:color w:val="auto"/>
              </w:rPr>
            </w:pPr>
            <w:r>
              <w:rPr>
                <w:rFonts w:ascii="Arial" w:cs="Arial" w:eastAsia="Arial" w:hAnsi="Arial"/>
                <w:sz w:val="13"/>
                <w:szCs w:val="13"/>
                <w:color w:val="auto"/>
              </w:rPr>
              <w:t>137,679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3,861,871</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1.0%</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Albany</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Albany, NY</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2036</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1998</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69,476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3,597,252</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51.78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Birmingham</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Birmingham, AL</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2042</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2005</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96,278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3,596,878</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37.36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DOT - Lakewood</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Lakewood, CO</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2039</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2004</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116,046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3,585,870</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30.90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EPA - Kansas City</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Kansas City, KS</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Laboratory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2043</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2003</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55,833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3,578,199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64.09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USFS II - Albuquerque</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Albuquerque, NM</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Office</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2031</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98,720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3,578,032</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36.24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FBI - Richmond</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Richmond, VA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2041</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96,607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3,383,207</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35.02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VA - Chico</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Chico, CA</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Outpatient Clinic</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2034</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51,647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3,370,428</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65.26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gridSpan w:val="2"/>
          </w:tcPr>
          <w:p>
            <w:pPr>
              <w:spacing w:after="0" w:line="142" w:lineRule="exact"/>
              <w:rPr>
                <w:sz w:val="20"/>
                <w:szCs w:val="20"/>
                <w:color w:val="auto"/>
              </w:rPr>
            </w:pPr>
            <w:r>
              <w:rPr>
                <w:rFonts w:ascii="Arial" w:cs="Arial" w:eastAsia="Arial" w:hAnsi="Arial"/>
                <w:sz w:val="13"/>
                <w:szCs w:val="13"/>
                <w:color w:val="auto"/>
              </w:rPr>
              <w:t>ICE - Charleston</w:t>
            </w:r>
          </w:p>
        </w:tc>
        <w:tc>
          <w:tcPr>
            <w:tcW w:w="1880" w:type="dxa"/>
            <w:vAlign w:val="bottom"/>
          </w:tcPr>
          <w:p>
            <w:pPr>
              <w:ind w:left="200"/>
              <w:spacing w:after="0" w:line="142" w:lineRule="exact"/>
              <w:rPr>
                <w:sz w:val="20"/>
                <w:szCs w:val="20"/>
                <w:color w:val="auto"/>
              </w:rPr>
            </w:pPr>
            <w:r>
              <w:rPr>
                <w:rFonts w:ascii="Arial" w:cs="Arial" w:eastAsia="Arial" w:hAnsi="Arial"/>
                <w:sz w:val="13"/>
                <w:szCs w:val="13"/>
                <w:color w:val="auto"/>
              </w:rPr>
              <w:t>North Charleston, SC</w:t>
            </w:r>
          </w:p>
        </w:tc>
        <w:tc>
          <w:tcPr>
            <w:tcW w:w="1680" w:type="dxa"/>
            <w:vAlign w:val="bottom"/>
          </w:tcPr>
          <w:p>
            <w:pPr>
              <w:ind w:left="360"/>
              <w:spacing w:after="0" w:line="142" w:lineRule="exact"/>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6"/>
              </w:rPr>
              <w:t>2027</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1994 / 2012</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65,124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3,262,630</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500" w:type="dxa"/>
            <w:vAlign w:val="bottom"/>
            <w:gridSpan w:val="2"/>
          </w:tcPr>
          <w:p>
            <w:pPr>
              <w:spacing w:after="0"/>
              <w:rPr>
                <w:sz w:val="20"/>
                <w:szCs w:val="20"/>
                <w:color w:val="auto"/>
              </w:rPr>
            </w:pPr>
            <w:r>
              <w:rPr>
                <w:rFonts w:ascii="Arial" w:cs="Arial" w:eastAsia="Arial" w:hAnsi="Arial"/>
                <w:sz w:val="13"/>
                <w:szCs w:val="13"/>
                <w:color w:val="auto"/>
              </w:rPr>
              <w:t>FBI - Little Rock</w:t>
            </w:r>
          </w:p>
        </w:tc>
        <w:tc>
          <w:tcPr>
            <w:tcW w:w="1880" w:type="dxa"/>
            <w:vAlign w:val="bottom"/>
          </w:tcPr>
          <w:p>
            <w:pPr>
              <w:ind w:left="200"/>
              <w:spacing w:after="0"/>
              <w:rPr>
                <w:sz w:val="20"/>
                <w:szCs w:val="20"/>
                <w:color w:val="auto"/>
              </w:rPr>
            </w:pPr>
            <w:r>
              <w:rPr>
                <w:rFonts w:ascii="Arial" w:cs="Arial" w:eastAsia="Arial" w:hAnsi="Arial"/>
                <w:sz w:val="13"/>
                <w:szCs w:val="13"/>
                <w:color w:val="auto"/>
              </w:rPr>
              <w:t>Little Rock, AR</w:t>
            </w:r>
          </w:p>
        </w:tc>
        <w:tc>
          <w:tcPr>
            <w:tcW w:w="1680" w:type="dxa"/>
            <w:vAlign w:val="bottom"/>
          </w:tcPr>
          <w:p>
            <w:pPr>
              <w:ind w:left="360"/>
              <w:spacing w:after="0"/>
              <w:rPr>
                <w:sz w:val="20"/>
                <w:szCs w:val="20"/>
                <w:color w:val="auto"/>
              </w:rPr>
            </w:pPr>
            <w:r>
              <w:rPr>
                <w:rFonts w:ascii="Arial" w:cs="Arial" w:eastAsia="Arial" w:hAnsi="Arial"/>
                <w:sz w:val="13"/>
                <w:szCs w:val="13"/>
                <w:color w:val="auto"/>
              </w:rPr>
              <w:t>Specialized Facility</w:t>
            </w:r>
          </w:p>
        </w:tc>
        <w:tc>
          <w:tcPr>
            <w:tcW w:w="1120" w:type="dxa"/>
            <w:vAlign w:val="bottom"/>
          </w:tcPr>
          <w:p>
            <w:pPr>
              <w:jc w:val="center"/>
              <w:ind w:left="97"/>
              <w:spacing w:after="0"/>
              <w:rPr>
                <w:sz w:val="20"/>
                <w:szCs w:val="20"/>
                <w:color w:val="auto"/>
              </w:rPr>
            </w:pPr>
            <w:r>
              <w:rPr>
                <w:rFonts w:ascii="Arial" w:cs="Arial" w:eastAsia="Arial" w:hAnsi="Arial"/>
                <w:sz w:val="13"/>
                <w:szCs w:val="13"/>
                <w:color w:val="auto"/>
                <w:w w:val="96"/>
              </w:rPr>
              <w:t>2041</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6"/>
              </w:rPr>
              <w:t>2001</w:t>
            </w:r>
          </w:p>
        </w:tc>
        <w:tc>
          <w:tcPr>
            <w:tcW w:w="880" w:type="dxa"/>
            <w:vAlign w:val="bottom"/>
          </w:tcPr>
          <w:p>
            <w:pPr>
              <w:jc w:val="right"/>
              <w:spacing w:after="0"/>
              <w:rPr>
                <w:sz w:val="20"/>
                <w:szCs w:val="20"/>
                <w:color w:val="auto"/>
              </w:rPr>
            </w:pPr>
            <w:r>
              <w:rPr>
                <w:rFonts w:ascii="Arial" w:cs="Arial" w:eastAsia="Arial" w:hAnsi="Arial"/>
                <w:sz w:val="13"/>
                <w:szCs w:val="13"/>
                <w:color w:val="auto"/>
              </w:rPr>
              <w:t>102,377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3,262,033</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0.8%</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31.86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31" w:name="page32"/>
    <w:bookmarkEnd w:id="31"/>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Leased Operating Property Overview (Cont.)</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Percentage</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Pr>
          <w:p>
            <w:pPr>
              <w:jc w:val="center"/>
              <w:ind w:left="57"/>
              <w:spacing w:after="0" w:line="142" w:lineRule="exact"/>
              <w:rPr>
                <w:sz w:val="20"/>
                <w:szCs w:val="20"/>
                <w:color w:val="auto"/>
              </w:rPr>
            </w:pPr>
            <w:r>
              <w:rPr>
                <w:rFonts w:ascii="Arial" w:cs="Arial" w:eastAsia="Arial" w:hAnsi="Arial"/>
                <w:sz w:val="13"/>
                <w:szCs w:val="13"/>
                <w:b w:val="1"/>
                <w:bCs w:val="1"/>
                <w:color w:val="auto"/>
                <w:w w:val="98"/>
              </w:rPr>
              <w:t>Tenant</w:t>
            </w: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of Total</w:t>
            </w:r>
          </w:p>
        </w:tc>
        <w:tc>
          <w:tcPr>
            <w:tcW w:w="11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b w:val="1"/>
                <w:bCs w:val="1"/>
                <w:color w:val="auto"/>
                <w:w w:val="97"/>
              </w:rPr>
              <w:t>Lease</w:t>
            </w:r>
          </w:p>
        </w:tc>
        <w:tc>
          <w:tcPr>
            <w:tcW w:w="980" w:type="dxa"/>
            <w:vAlign w:val="bottom"/>
          </w:tcPr>
          <w:p>
            <w:pPr>
              <w:spacing w:after="0"/>
              <w:rPr>
                <w:sz w:val="12"/>
                <w:szCs w:val="12"/>
                <w:color w:val="auto"/>
              </w:rPr>
            </w:pPr>
          </w:p>
        </w:tc>
        <w:tc>
          <w:tcPr>
            <w:tcW w:w="92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8"/>
              </w:rPr>
              <w:t>Leased</w:t>
            </w:r>
          </w:p>
        </w:tc>
        <w:tc>
          <w:tcPr>
            <w:tcW w:w="980" w:type="dxa"/>
            <w:vAlign w:val="bottom"/>
            <w:gridSpan w:val="2"/>
          </w:tcPr>
          <w:p>
            <w:pPr>
              <w:ind w:left="160"/>
              <w:spacing w:after="0" w:line="142" w:lineRule="exact"/>
              <w:rPr>
                <w:sz w:val="20"/>
                <w:szCs w:val="20"/>
                <w:color w:val="auto"/>
              </w:rPr>
            </w:pPr>
            <w:r>
              <w:rPr>
                <w:rFonts w:ascii="Arial" w:cs="Arial" w:eastAsia="Arial" w:hAnsi="Arial"/>
                <w:sz w:val="13"/>
                <w:szCs w:val="13"/>
                <w:b w:val="1"/>
                <w:bCs w:val="1"/>
                <w:color w:val="auto"/>
              </w:rPr>
              <w:t>Annualized</w:t>
            </w:r>
          </w:p>
        </w:tc>
        <w:tc>
          <w:tcPr>
            <w:tcW w:w="110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7"/>
              </w:rPr>
              <w:t>Annualized</w:t>
            </w:r>
          </w:p>
        </w:tc>
        <w:tc>
          <w:tcPr>
            <w:tcW w:w="11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tcPr>
          <w:p>
            <w:pPr>
              <w:jc w:val="center"/>
              <w:ind w:left="57"/>
              <w:spacing w:after="0" w:line="142" w:lineRule="exact"/>
              <w:rPr>
                <w:sz w:val="20"/>
                <w:szCs w:val="20"/>
                <w:color w:val="auto"/>
              </w:rPr>
            </w:pPr>
            <w:r>
              <w:rPr>
                <w:rFonts w:ascii="Arial" w:cs="Arial" w:eastAsia="Arial" w:hAnsi="Arial"/>
                <w:sz w:val="13"/>
                <w:szCs w:val="13"/>
                <w:b w:val="1"/>
                <w:bCs w:val="1"/>
                <w:color w:val="auto"/>
                <w:w w:val="97"/>
              </w:rPr>
              <w:t>Expiration</w:t>
            </w:r>
          </w:p>
        </w:tc>
        <w:tc>
          <w:tcPr>
            <w:tcW w:w="980" w:type="dxa"/>
            <w:vAlign w:val="bottom"/>
          </w:tcPr>
          <w:p>
            <w:pPr>
              <w:jc w:val="right"/>
              <w:ind w:right="177"/>
              <w:spacing w:after="0" w:line="142" w:lineRule="exact"/>
              <w:rPr>
                <w:sz w:val="20"/>
                <w:szCs w:val="20"/>
                <w:color w:val="auto"/>
              </w:rPr>
            </w:pPr>
            <w:r>
              <w:rPr>
                <w:rFonts w:ascii="Arial" w:cs="Arial" w:eastAsia="Arial" w:hAnsi="Arial"/>
                <w:sz w:val="13"/>
                <w:szCs w:val="13"/>
                <w:b w:val="1"/>
                <w:bCs w:val="1"/>
                <w:color w:val="auto"/>
              </w:rPr>
              <w:t>Year Built /</w:t>
            </w:r>
          </w:p>
        </w:tc>
        <w:tc>
          <w:tcPr>
            <w:tcW w:w="920" w:type="dxa"/>
            <w:vAlign w:val="bottom"/>
            <w:gridSpan w:val="2"/>
          </w:tcPr>
          <w:p>
            <w:pPr>
              <w:jc w:val="center"/>
              <w:ind w:right="60"/>
              <w:spacing w:after="0" w:line="142" w:lineRule="exact"/>
              <w:rPr>
                <w:sz w:val="20"/>
                <w:szCs w:val="20"/>
                <w:color w:val="auto"/>
              </w:rPr>
            </w:pPr>
            <w:r>
              <w:rPr>
                <w:rFonts w:ascii="Arial" w:cs="Arial" w:eastAsia="Arial" w:hAnsi="Arial"/>
                <w:sz w:val="13"/>
                <w:szCs w:val="13"/>
                <w:b w:val="1"/>
                <w:bCs w:val="1"/>
                <w:color w:val="auto"/>
                <w:w w:val="95"/>
              </w:rPr>
              <w:t>Square</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b w:val="1"/>
                <w:bCs w:val="1"/>
                <w:color w:val="auto"/>
              </w:rPr>
              <w:t>Lease</w:t>
            </w:r>
          </w:p>
        </w:tc>
        <w:tc>
          <w:tcPr>
            <w:tcW w:w="110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7"/>
              </w:rPr>
              <w:t>Lease</w:t>
            </w:r>
          </w:p>
        </w:tc>
        <w:tc>
          <w:tcPr>
            <w:tcW w:w="11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52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2060" w:type="dxa"/>
            <w:vAlign w:val="bottom"/>
          </w:tcPr>
          <w:p>
            <w:pPr>
              <w:ind w:left="140"/>
              <w:spacing w:after="0"/>
              <w:rPr>
                <w:sz w:val="20"/>
                <w:szCs w:val="20"/>
                <w:color w:val="auto"/>
              </w:rPr>
            </w:pPr>
            <w:r>
              <w:rPr>
                <w:rFonts w:ascii="Arial" w:cs="Arial" w:eastAsia="Arial" w:hAnsi="Arial"/>
                <w:sz w:val="13"/>
                <w:szCs w:val="13"/>
                <w:b w:val="1"/>
                <w:bCs w:val="1"/>
                <w:color w:val="auto"/>
              </w:rPr>
              <w:t>Location</w:t>
            </w:r>
          </w:p>
        </w:tc>
        <w:tc>
          <w:tcPr>
            <w:tcW w:w="1440" w:type="dxa"/>
            <w:vAlign w:val="bottom"/>
          </w:tcPr>
          <w:p>
            <w:pPr>
              <w:ind w:left="100"/>
              <w:spacing w:after="0"/>
              <w:rPr>
                <w:sz w:val="20"/>
                <w:szCs w:val="20"/>
                <w:color w:val="auto"/>
              </w:rPr>
            </w:pPr>
            <w:r>
              <w:rPr>
                <w:rFonts w:ascii="Arial" w:cs="Arial" w:eastAsia="Arial" w:hAnsi="Arial"/>
                <w:sz w:val="13"/>
                <w:szCs w:val="13"/>
                <w:b w:val="1"/>
                <w:bCs w:val="1"/>
                <w:color w:val="auto"/>
              </w:rPr>
              <w:t>Property Type</w:t>
            </w:r>
          </w:p>
        </w:tc>
        <w:tc>
          <w:tcPr>
            <w:tcW w:w="1100" w:type="dxa"/>
            <w:vAlign w:val="bottom"/>
          </w:tcPr>
          <w:p>
            <w:pPr>
              <w:jc w:val="center"/>
              <w:ind w:left="77"/>
              <w:spacing w:after="0"/>
              <w:rPr>
                <w:sz w:val="20"/>
                <w:szCs w:val="20"/>
                <w:color w:val="auto"/>
              </w:rPr>
            </w:pPr>
            <w:r>
              <w:rPr>
                <w:rFonts w:ascii="Arial" w:cs="Arial" w:eastAsia="Arial" w:hAnsi="Arial"/>
                <w:sz w:val="13"/>
                <w:szCs w:val="13"/>
                <w:b w:val="1"/>
                <w:bCs w:val="1"/>
                <w:color w:val="auto"/>
                <w:w w:val="99"/>
              </w:rPr>
              <w:t>Year</w:t>
            </w:r>
          </w:p>
        </w:tc>
        <w:tc>
          <w:tcPr>
            <w:tcW w:w="980" w:type="dxa"/>
            <w:vAlign w:val="bottom"/>
          </w:tcPr>
          <w:p>
            <w:pPr>
              <w:jc w:val="right"/>
              <w:ind w:right="177"/>
              <w:spacing w:after="0"/>
              <w:rPr>
                <w:sz w:val="20"/>
                <w:szCs w:val="20"/>
                <w:color w:val="auto"/>
              </w:rPr>
            </w:pPr>
            <w:r>
              <w:rPr>
                <w:rFonts w:ascii="Arial" w:cs="Arial" w:eastAsia="Arial" w:hAnsi="Arial"/>
                <w:sz w:val="13"/>
                <w:szCs w:val="13"/>
                <w:b w:val="1"/>
                <w:bCs w:val="1"/>
                <w:color w:val="auto"/>
              </w:rPr>
              <w:t>Renovated</w:t>
            </w:r>
          </w:p>
        </w:tc>
        <w:tc>
          <w:tcPr>
            <w:tcW w:w="9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Feet</w:t>
            </w: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Income</w:t>
            </w:r>
          </w:p>
        </w:tc>
        <w:tc>
          <w:tcPr>
            <w:tcW w:w="11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Income</w:t>
            </w:r>
          </w:p>
        </w:tc>
        <w:tc>
          <w:tcPr>
            <w:tcW w:w="116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Borders>
              <w:top w:val="single" w:sz="8" w:color="2B4B86"/>
            </w:tcBorders>
          </w:tcPr>
          <w:p>
            <w:pPr>
              <w:spacing w:after="0"/>
              <w:rPr>
                <w:sz w:val="2"/>
                <w:szCs w:val="2"/>
                <w:color w:val="auto"/>
              </w:rPr>
            </w:pPr>
          </w:p>
        </w:tc>
        <w:tc>
          <w:tcPr>
            <w:tcW w:w="2060" w:type="dxa"/>
            <w:vAlign w:val="bottom"/>
            <w:tcBorders>
              <w:top w:val="single" w:sz="8" w:color="2B4B86"/>
            </w:tcBorders>
          </w:tcPr>
          <w:p>
            <w:pPr>
              <w:spacing w:after="0"/>
              <w:rPr>
                <w:sz w:val="2"/>
                <w:szCs w:val="2"/>
                <w:color w:val="auto"/>
              </w:rPr>
            </w:pPr>
          </w:p>
        </w:tc>
        <w:tc>
          <w:tcPr>
            <w:tcW w:w="1440" w:type="dxa"/>
            <w:vAlign w:val="bottom"/>
            <w:tcBorders>
              <w:top w:val="single" w:sz="8" w:color="2B4B86"/>
            </w:tcBorders>
          </w:tcPr>
          <w:p>
            <w:pPr>
              <w:spacing w:after="0"/>
              <w:rPr>
                <w:sz w:val="2"/>
                <w:szCs w:val="2"/>
                <w:color w:val="auto"/>
              </w:rPr>
            </w:pPr>
          </w:p>
        </w:tc>
        <w:tc>
          <w:tcPr>
            <w:tcW w:w="1100" w:type="dxa"/>
            <w:vAlign w:val="bottom"/>
            <w:tcBorders>
              <w:top w:val="single" w:sz="8" w:color="2B4B86"/>
            </w:tcBorders>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80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top w:val="single" w:sz="8" w:color="2B4B86"/>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6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8"/>
              </w:rPr>
              <w:t>Wholly Owned U.S. Government Leased Properties (Cont.)</w:t>
            </w:r>
          </w:p>
        </w:tc>
        <w:tc>
          <w:tcPr>
            <w:tcW w:w="1440" w:type="dxa"/>
            <w:vAlign w:val="bottom"/>
            <w:shd w:val="clear" w:color="auto" w:fill="E7E6E6"/>
          </w:tcPr>
          <w:p>
            <w:pPr>
              <w:spacing w:after="0"/>
              <w:rPr>
                <w:sz w:val="12"/>
                <w:szCs w:val="12"/>
                <w:color w:val="auto"/>
              </w:rPr>
            </w:pPr>
          </w:p>
        </w:tc>
        <w:tc>
          <w:tcPr>
            <w:tcW w:w="110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80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88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104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line="134" w:lineRule="exact"/>
              <w:rPr>
                <w:sz w:val="20"/>
                <w:szCs w:val="20"/>
                <w:color w:val="auto"/>
              </w:rPr>
            </w:pPr>
            <w:r>
              <w:rPr>
                <w:rFonts w:ascii="Arial" w:cs="Arial" w:eastAsia="Arial" w:hAnsi="Arial"/>
                <w:sz w:val="13"/>
                <w:szCs w:val="13"/>
                <w:color w:val="auto"/>
              </w:rPr>
              <w:t>DEA - Sterling</w:t>
            </w:r>
          </w:p>
        </w:tc>
        <w:tc>
          <w:tcPr>
            <w:tcW w:w="2060" w:type="dxa"/>
            <w:vAlign w:val="bottom"/>
          </w:tcPr>
          <w:p>
            <w:pPr>
              <w:ind w:left="140"/>
              <w:spacing w:after="0" w:line="134" w:lineRule="exact"/>
              <w:rPr>
                <w:sz w:val="20"/>
                <w:szCs w:val="20"/>
                <w:color w:val="auto"/>
              </w:rPr>
            </w:pPr>
            <w:r>
              <w:rPr>
                <w:rFonts w:ascii="Arial" w:cs="Arial" w:eastAsia="Arial" w:hAnsi="Arial"/>
                <w:sz w:val="13"/>
                <w:szCs w:val="13"/>
                <w:color w:val="auto"/>
              </w:rPr>
              <w:t>Sterling, VA</w:t>
            </w:r>
          </w:p>
        </w:tc>
        <w:tc>
          <w:tcPr>
            <w:tcW w:w="1440" w:type="dxa"/>
            <w:vAlign w:val="bottom"/>
          </w:tcPr>
          <w:p>
            <w:pPr>
              <w:ind w:left="100"/>
              <w:spacing w:after="0" w:line="134" w:lineRule="exact"/>
              <w:rPr>
                <w:sz w:val="20"/>
                <w:szCs w:val="20"/>
                <w:color w:val="auto"/>
              </w:rPr>
            </w:pPr>
            <w:r>
              <w:rPr>
                <w:rFonts w:ascii="Arial" w:cs="Arial" w:eastAsia="Arial" w:hAnsi="Arial"/>
                <w:sz w:val="13"/>
                <w:szCs w:val="13"/>
                <w:color w:val="auto"/>
              </w:rPr>
              <w:t>Laboratory</w:t>
            </w:r>
          </w:p>
        </w:tc>
        <w:tc>
          <w:tcPr>
            <w:tcW w:w="1100" w:type="dxa"/>
            <w:vAlign w:val="bottom"/>
          </w:tcPr>
          <w:p>
            <w:pPr>
              <w:jc w:val="center"/>
              <w:ind w:left="77"/>
              <w:spacing w:after="0" w:line="134" w:lineRule="exact"/>
              <w:rPr>
                <w:sz w:val="20"/>
                <w:szCs w:val="20"/>
                <w:color w:val="auto"/>
              </w:rPr>
            </w:pPr>
            <w:r>
              <w:rPr>
                <w:rFonts w:ascii="Arial" w:cs="Arial" w:eastAsia="Arial" w:hAnsi="Arial"/>
                <w:sz w:val="13"/>
                <w:szCs w:val="13"/>
                <w:color w:val="auto"/>
                <w:w w:val="96"/>
              </w:rPr>
              <w:t>2038</w:t>
            </w:r>
          </w:p>
        </w:tc>
        <w:tc>
          <w:tcPr>
            <w:tcW w:w="980" w:type="dxa"/>
            <w:vAlign w:val="bottom"/>
          </w:tcPr>
          <w:p>
            <w:pPr>
              <w:jc w:val="center"/>
              <w:ind w:right="77"/>
              <w:spacing w:after="0" w:line="134" w:lineRule="exact"/>
              <w:rPr>
                <w:sz w:val="20"/>
                <w:szCs w:val="20"/>
                <w:color w:val="auto"/>
              </w:rPr>
            </w:pPr>
            <w:r>
              <w:rPr>
                <w:rFonts w:ascii="Arial" w:cs="Arial" w:eastAsia="Arial" w:hAnsi="Arial"/>
                <w:sz w:val="13"/>
                <w:szCs w:val="13"/>
                <w:color w:val="auto"/>
                <w:w w:val="96"/>
              </w:rPr>
              <w:t>2001</w:t>
            </w:r>
          </w:p>
        </w:tc>
        <w:tc>
          <w:tcPr>
            <w:tcW w:w="9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57,692</w:t>
            </w:r>
          </w:p>
        </w:tc>
        <w:tc>
          <w:tcPr>
            <w:tcW w:w="980" w:type="dxa"/>
            <w:vAlign w:val="bottom"/>
            <w:gridSpan w:val="2"/>
          </w:tcPr>
          <w:p>
            <w:pPr>
              <w:ind w:left="320"/>
              <w:spacing w:after="0" w:line="134" w:lineRule="exact"/>
              <w:rPr>
                <w:sz w:val="20"/>
                <w:szCs w:val="20"/>
                <w:color w:val="auto"/>
              </w:rPr>
            </w:pPr>
            <w:r>
              <w:rPr>
                <w:rFonts w:ascii="Arial" w:cs="Arial" w:eastAsia="Arial" w:hAnsi="Arial"/>
                <w:sz w:val="13"/>
                <w:szCs w:val="13"/>
                <w:color w:val="auto"/>
              </w:rPr>
              <w:t>3,238,115</w:t>
            </w:r>
          </w:p>
        </w:tc>
        <w:tc>
          <w:tcPr>
            <w:tcW w:w="110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0.8%</w:t>
            </w:r>
          </w:p>
        </w:tc>
        <w:tc>
          <w:tcPr>
            <w:tcW w:w="116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56.13</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JUD - Del Rio</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Del Rio, TX</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2041</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1992 / 2004</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89,880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3,216,180</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35.78</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USCIS - Tustin</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Tustin, CA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2034</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1979 / 2019</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66,818</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3,176,673</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47.54</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DEA - Vista</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Vista, CA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Laboratory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2035</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2002</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52,293</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3,175,630</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60.73</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VA - Orange</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Orange, CT</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Outpatient Clinic</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2034</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2019</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56,330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2,978,003</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52.87</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VA - Indianapolis</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Brownsburg, IN</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Outpatient Clinic</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2041</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2021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80,000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2,973,092</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37.16</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SSA - Charleston</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Charleston, WV</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2029</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1959 / 2000</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110,000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2,910,184</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26.46</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ICE - Albuquerque</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Albuquerque, NM</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2027</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71,100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2,886,242</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40.59</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JUD - El Centro</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El Centro, CA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2034</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2004</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43,345</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2,843,404</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65.60</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DEA - Dallas Lab</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Dallas, TX</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Laboratory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2038</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49,723</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2,840,436</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57.13</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DEA - Pleasanton</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Pleasanton, CA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Laboratory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2035</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2015</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42,480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2,803,294</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65.99</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DEA - Upper Marlboro</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Upper Marlboro, MD</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Laboratory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2037</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2002</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50,978</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2,777,450</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54.48</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DEA - Dallas</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Dallas, TX</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2041</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2001</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71,827</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2,742,744</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38.19</w:t>
            </w:r>
          </w:p>
        </w:tc>
        <w:tc>
          <w:tcPr>
            <w:tcW w:w="0" w:type="dxa"/>
            <w:vAlign w:val="bottom"/>
          </w:tcPr>
          <w:p>
            <w:pPr>
              <w:spacing w:after="0"/>
              <w:rPr>
                <w:sz w:val="1"/>
                <w:szCs w:val="1"/>
                <w:color w:val="auto"/>
              </w:rPr>
            </w:pPr>
          </w:p>
        </w:tc>
      </w:tr>
      <w:tr>
        <w:trPr>
          <w:trHeight w:val="158"/>
        </w:trPr>
        <w:tc>
          <w:tcPr>
            <w:tcW w:w="1520" w:type="dxa"/>
            <w:vAlign w:val="bottom"/>
            <w:gridSpan w:val="2"/>
          </w:tcPr>
          <w:p>
            <w:pPr>
              <w:spacing w:after="0"/>
              <w:rPr>
                <w:sz w:val="20"/>
                <w:szCs w:val="20"/>
                <w:color w:val="auto"/>
              </w:rPr>
            </w:pPr>
            <w:r>
              <w:rPr>
                <w:rFonts w:ascii="Arial" w:cs="Arial" w:eastAsia="Arial" w:hAnsi="Arial"/>
                <w:sz w:val="13"/>
                <w:szCs w:val="13"/>
                <w:color w:val="auto"/>
              </w:rPr>
              <w:t>DHS - Burlington</w:t>
            </w:r>
          </w:p>
        </w:tc>
        <w:tc>
          <w:tcPr>
            <w:tcW w:w="2060" w:type="dxa"/>
            <w:vAlign w:val="bottom"/>
          </w:tcPr>
          <w:p>
            <w:pPr>
              <w:ind w:left="140"/>
              <w:spacing w:after="0"/>
              <w:rPr>
                <w:sz w:val="20"/>
                <w:szCs w:val="20"/>
                <w:color w:val="auto"/>
              </w:rPr>
            </w:pPr>
            <w:r>
              <w:rPr>
                <w:rFonts w:ascii="Arial" w:cs="Arial" w:eastAsia="Arial" w:hAnsi="Arial"/>
                <w:sz w:val="13"/>
                <w:szCs w:val="13"/>
                <w:color w:val="auto"/>
              </w:rPr>
              <w:t>Williston, VT</w:t>
            </w:r>
          </w:p>
        </w:tc>
        <w:tc>
          <w:tcPr>
            <w:tcW w:w="1440" w:type="dxa"/>
            <w:vAlign w:val="bottom"/>
          </w:tcPr>
          <w:p>
            <w:pPr>
              <w:ind w:left="100"/>
              <w:spacing w:after="0"/>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57"/>
              <w:spacing w:after="0" w:line="158" w:lineRule="exact"/>
              <w:rPr>
                <w:sz w:val="20"/>
                <w:szCs w:val="20"/>
                <w:color w:val="auto"/>
              </w:rPr>
            </w:pPr>
            <w:r>
              <w:rPr>
                <w:rFonts w:ascii="Arial" w:cs="Arial" w:eastAsia="Arial" w:hAnsi="Arial"/>
                <w:sz w:val="13"/>
                <w:szCs w:val="13"/>
                <w:color w:val="auto"/>
                <w:w w:val="90"/>
              </w:rPr>
              <w:t>2031</w:t>
            </w:r>
            <w:r>
              <w:rPr>
                <w:rFonts w:ascii="Arial" w:cs="Arial" w:eastAsia="Arial" w:hAnsi="Arial"/>
                <w:sz w:val="16"/>
                <w:szCs w:val="16"/>
                <w:color w:val="auto"/>
                <w:w w:val="90"/>
                <w:vertAlign w:val="superscript"/>
              </w:rPr>
              <w:t>(2)</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6"/>
              </w:rPr>
              <w:t>2000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74,549</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2,738,630</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36.74</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NARA - Broomfield</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Broomfield, CO</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Warehouse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2032</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2012</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161,730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2,697,002</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16.68</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JUD - Jackson</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Jackson, TN</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2043</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1998</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75,043</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2,654,729</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35.38</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TREAS - Birmingham</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Birmingham, AL</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2029</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2014</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83,676</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2,647,284</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31.64</w:t>
            </w:r>
          </w:p>
        </w:tc>
        <w:tc>
          <w:tcPr>
            <w:tcW w:w="0" w:type="dxa"/>
            <w:vAlign w:val="bottom"/>
          </w:tcPr>
          <w:p>
            <w:pPr>
              <w:spacing w:after="0"/>
              <w:rPr>
                <w:sz w:val="1"/>
                <w:szCs w:val="1"/>
                <w:color w:val="auto"/>
              </w:rPr>
            </w:pPr>
          </w:p>
        </w:tc>
      </w:tr>
      <w:tr>
        <w:trPr>
          <w:trHeight w:val="158"/>
        </w:trPr>
        <w:tc>
          <w:tcPr>
            <w:tcW w:w="1520" w:type="dxa"/>
            <w:vAlign w:val="bottom"/>
            <w:gridSpan w:val="2"/>
          </w:tcPr>
          <w:p>
            <w:pPr>
              <w:spacing w:after="0"/>
              <w:rPr>
                <w:sz w:val="20"/>
                <w:szCs w:val="20"/>
                <w:color w:val="auto"/>
              </w:rPr>
            </w:pPr>
            <w:r>
              <w:rPr>
                <w:rFonts w:ascii="Arial" w:cs="Arial" w:eastAsia="Arial" w:hAnsi="Arial"/>
                <w:sz w:val="13"/>
                <w:szCs w:val="13"/>
                <w:color w:val="auto"/>
              </w:rPr>
              <w:t>DHS - Atlanta</w:t>
            </w:r>
          </w:p>
        </w:tc>
        <w:tc>
          <w:tcPr>
            <w:tcW w:w="2060" w:type="dxa"/>
            <w:vAlign w:val="bottom"/>
          </w:tcPr>
          <w:p>
            <w:pPr>
              <w:ind w:left="140"/>
              <w:spacing w:after="0"/>
              <w:rPr>
                <w:sz w:val="20"/>
                <w:szCs w:val="20"/>
                <w:color w:val="auto"/>
              </w:rPr>
            </w:pPr>
            <w:r>
              <w:rPr>
                <w:rFonts w:ascii="Arial" w:cs="Arial" w:eastAsia="Arial" w:hAnsi="Arial"/>
                <w:sz w:val="13"/>
                <w:szCs w:val="13"/>
                <w:color w:val="auto"/>
              </w:rPr>
              <w:t>Atlanta, GA</w:t>
            </w:r>
          </w:p>
        </w:tc>
        <w:tc>
          <w:tcPr>
            <w:tcW w:w="1440" w:type="dxa"/>
            <w:vAlign w:val="bottom"/>
          </w:tcPr>
          <w:p>
            <w:pPr>
              <w:ind w:left="100"/>
              <w:spacing w:after="0"/>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57"/>
              <w:spacing w:after="0" w:line="158" w:lineRule="exact"/>
              <w:rPr>
                <w:sz w:val="20"/>
                <w:szCs w:val="20"/>
                <w:color w:val="auto"/>
              </w:rPr>
            </w:pPr>
            <w:r>
              <w:rPr>
                <w:rFonts w:ascii="Arial" w:cs="Arial" w:eastAsia="Arial" w:hAnsi="Arial"/>
                <w:sz w:val="13"/>
                <w:szCs w:val="13"/>
                <w:color w:val="auto"/>
                <w:w w:val="94"/>
              </w:rPr>
              <w:t>2031 - 2038</w:t>
            </w:r>
            <w:r>
              <w:rPr>
                <w:rFonts w:ascii="Arial" w:cs="Arial" w:eastAsia="Arial" w:hAnsi="Arial"/>
                <w:sz w:val="16"/>
                <w:szCs w:val="16"/>
                <w:color w:val="auto"/>
                <w:w w:val="94"/>
                <w:vertAlign w:val="superscript"/>
              </w:rPr>
              <w:t>(6)</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8"/>
              </w:rPr>
              <w:t>2008 / 2023</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91,185</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2,602,112</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28.54</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USAO - Louisville</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Louisville, KY</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2031</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60,000</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2,566,248</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0.7%</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42.77</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JUD - Charleston</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Charleston, SC</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2040</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1999</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52,339</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2,491,927</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0.6%</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47.61</w:t>
            </w:r>
          </w:p>
        </w:tc>
        <w:tc>
          <w:tcPr>
            <w:tcW w:w="0" w:type="dxa"/>
            <w:vAlign w:val="bottom"/>
          </w:tcPr>
          <w:p>
            <w:pPr>
              <w:spacing w:after="0"/>
              <w:rPr>
                <w:sz w:val="1"/>
                <w:szCs w:val="1"/>
                <w:color w:val="auto"/>
              </w:rPr>
            </w:pPr>
          </w:p>
        </w:tc>
      </w:tr>
      <w:tr>
        <w:trPr>
          <w:trHeight w:val="158"/>
        </w:trPr>
        <w:tc>
          <w:tcPr>
            <w:tcW w:w="1520" w:type="dxa"/>
            <w:vAlign w:val="bottom"/>
            <w:gridSpan w:val="2"/>
          </w:tcPr>
          <w:p>
            <w:pPr>
              <w:spacing w:after="0"/>
              <w:rPr>
                <w:sz w:val="20"/>
                <w:szCs w:val="20"/>
                <w:color w:val="auto"/>
              </w:rPr>
            </w:pPr>
            <w:r>
              <w:rPr>
                <w:rFonts w:ascii="Arial" w:cs="Arial" w:eastAsia="Arial" w:hAnsi="Arial"/>
                <w:sz w:val="13"/>
                <w:szCs w:val="13"/>
                <w:color w:val="auto"/>
              </w:rPr>
              <w:t>IRS - Ogden</w:t>
            </w:r>
          </w:p>
        </w:tc>
        <w:tc>
          <w:tcPr>
            <w:tcW w:w="2060" w:type="dxa"/>
            <w:vAlign w:val="bottom"/>
          </w:tcPr>
          <w:p>
            <w:pPr>
              <w:ind w:left="140"/>
              <w:spacing w:after="0"/>
              <w:rPr>
                <w:sz w:val="20"/>
                <w:szCs w:val="20"/>
                <w:color w:val="auto"/>
              </w:rPr>
            </w:pPr>
            <w:r>
              <w:rPr>
                <w:rFonts w:ascii="Arial" w:cs="Arial" w:eastAsia="Arial" w:hAnsi="Arial"/>
                <w:sz w:val="13"/>
                <w:szCs w:val="13"/>
                <w:color w:val="auto"/>
              </w:rPr>
              <w:t>Ogden, UT</w:t>
            </w:r>
          </w:p>
        </w:tc>
        <w:tc>
          <w:tcPr>
            <w:tcW w:w="1440" w:type="dxa"/>
            <w:vAlign w:val="bottom"/>
          </w:tcPr>
          <w:p>
            <w:pPr>
              <w:ind w:left="100"/>
              <w:spacing w:after="0"/>
              <w:rPr>
                <w:sz w:val="20"/>
                <w:szCs w:val="20"/>
                <w:color w:val="auto"/>
              </w:rPr>
            </w:pPr>
            <w:r>
              <w:rPr>
                <w:rFonts w:ascii="Arial" w:cs="Arial" w:eastAsia="Arial" w:hAnsi="Arial"/>
                <w:sz w:val="13"/>
                <w:szCs w:val="13"/>
                <w:color w:val="auto"/>
              </w:rPr>
              <w:t>Warehouse</w:t>
            </w:r>
          </w:p>
        </w:tc>
        <w:tc>
          <w:tcPr>
            <w:tcW w:w="1100" w:type="dxa"/>
            <w:vAlign w:val="bottom"/>
          </w:tcPr>
          <w:p>
            <w:pPr>
              <w:jc w:val="center"/>
              <w:ind w:left="57"/>
              <w:spacing w:after="0" w:line="158" w:lineRule="exact"/>
              <w:rPr>
                <w:sz w:val="20"/>
                <w:szCs w:val="20"/>
                <w:color w:val="auto"/>
              </w:rPr>
            </w:pPr>
            <w:r>
              <w:rPr>
                <w:rFonts w:ascii="Arial" w:cs="Arial" w:eastAsia="Arial" w:hAnsi="Arial"/>
                <w:sz w:val="13"/>
                <w:szCs w:val="13"/>
                <w:color w:val="auto"/>
                <w:w w:val="90"/>
              </w:rPr>
              <w:t>2029</w:t>
            </w:r>
            <w:r>
              <w:rPr>
                <w:rFonts w:ascii="Arial" w:cs="Arial" w:eastAsia="Arial" w:hAnsi="Arial"/>
                <w:sz w:val="16"/>
                <w:szCs w:val="16"/>
                <w:color w:val="auto"/>
                <w:w w:val="90"/>
                <w:vertAlign w:val="superscript"/>
              </w:rPr>
              <w:t>(7)</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6"/>
              </w:rPr>
              <w:t>1996</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100,000</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2,394,006</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0.6%</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23.94</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CBP - Savannah</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Savannah, GA</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Laboratory</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2033</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2013</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35,000</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2,306,216</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0.6%</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65.89</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Various GSA - Cleveland</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Brooklyn Heights, OH</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57"/>
              <w:spacing w:after="0" w:line="142" w:lineRule="exact"/>
              <w:rPr>
                <w:sz w:val="20"/>
                <w:szCs w:val="20"/>
                <w:color w:val="auto"/>
              </w:rPr>
            </w:pPr>
            <w:r>
              <w:rPr>
                <w:rFonts w:ascii="Arial" w:cs="Arial" w:eastAsia="Arial" w:hAnsi="Arial"/>
                <w:sz w:val="13"/>
                <w:szCs w:val="13"/>
                <w:color w:val="auto"/>
                <w:w w:val="94"/>
              </w:rPr>
              <w:t>2028 - 2040</w:t>
            </w:r>
            <w:r>
              <w:rPr>
                <w:rFonts w:ascii="Arial" w:cs="Arial" w:eastAsia="Arial" w:hAnsi="Arial"/>
                <w:sz w:val="16"/>
                <w:szCs w:val="16"/>
                <w:color w:val="auto"/>
                <w:w w:val="94"/>
                <w:vertAlign w:val="superscript"/>
              </w:rPr>
              <w:t>(8)</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1981 / 2021</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61,384</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2,248,708</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0.6%</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36.63</w:t>
            </w:r>
          </w:p>
        </w:tc>
        <w:tc>
          <w:tcPr>
            <w:tcW w:w="0" w:type="dxa"/>
            <w:vAlign w:val="bottom"/>
          </w:tcPr>
          <w:p>
            <w:pPr>
              <w:spacing w:after="0"/>
              <w:rPr>
                <w:sz w:val="1"/>
                <w:szCs w:val="1"/>
                <w:color w:val="auto"/>
              </w:rPr>
            </w:pPr>
          </w:p>
        </w:tc>
      </w:tr>
      <w:tr>
        <w:trPr>
          <w:trHeight w:val="158"/>
        </w:trPr>
        <w:tc>
          <w:tcPr>
            <w:tcW w:w="1520" w:type="dxa"/>
            <w:vAlign w:val="bottom"/>
            <w:gridSpan w:val="2"/>
          </w:tcPr>
          <w:p>
            <w:pPr>
              <w:spacing w:after="0"/>
              <w:rPr>
                <w:sz w:val="20"/>
                <w:szCs w:val="20"/>
                <w:color w:val="auto"/>
              </w:rPr>
            </w:pPr>
            <w:r>
              <w:rPr>
                <w:rFonts w:ascii="Arial" w:cs="Arial" w:eastAsia="Arial" w:hAnsi="Arial"/>
                <w:sz w:val="13"/>
                <w:szCs w:val="13"/>
                <w:color w:val="auto"/>
              </w:rPr>
              <w:t>NWS - Kansas City</w:t>
            </w:r>
          </w:p>
        </w:tc>
        <w:tc>
          <w:tcPr>
            <w:tcW w:w="2060" w:type="dxa"/>
            <w:vAlign w:val="bottom"/>
          </w:tcPr>
          <w:p>
            <w:pPr>
              <w:ind w:left="140"/>
              <w:spacing w:after="0"/>
              <w:rPr>
                <w:sz w:val="20"/>
                <w:szCs w:val="20"/>
                <w:color w:val="auto"/>
              </w:rPr>
            </w:pPr>
            <w:r>
              <w:rPr>
                <w:rFonts w:ascii="Arial" w:cs="Arial" w:eastAsia="Arial" w:hAnsi="Arial"/>
                <w:sz w:val="13"/>
                <w:szCs w:val="13"/>
                <w:color w:val="auto"/>
              </w:rPr>
              <w:t>Kansas City, MO</w:t>
            </w:r>
          </w:p>
        </w:tc>
        <w:tc>
          <w:tcPr>
            <w:tcW w:w="1440" w:type="dxa"/>
            <w:vAlign w:val="bottom"/>
          </w:tcPr>
          <w:p>
            <w:pPr>
              <w:ind w:left="100"/>
              <w:spacing w:after="0"/>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57"/>
              <w:spacing w:after="0" w:line="158" w:lineRule="exact"/>
              <w:rPr>
                <w:sz w:val="20"/>
                <w:szCs w:val="20"/>
                <w:color w:val="auto"/>
              </w:rPr>
            </w:pPr>
            <w:r>
              <w:rPr>
                <w:rFonts w:ascii="Arial" w:cs="Arial" w:eastAsia="Arial" w:hAnsi="Arial"/>
                <w:sz w:val="13"/>
                <w:szCs w:val="13"/>
                <w:color w:val="auto"/>
                <w:w w:val="90"/>
              </w:rPr>
              <w:t>2033</w:t>
            </w:r>
            <w:r>
              <w:rPr>
                <w:rFonts w:ascii="Arial" w:cs="Arial" w:eastAsia="Arial" w:hAnsi="Arial"/>
                <w:sz w:val="16"/>
                <w:szCs w:val="16"/>
                <w:color w:val="auto"/>
                <w:w w:val="90"/>
                <w:vertAlign w:val="superscript"/>
              </w:rPr>
              <w:t>(2)</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8"/>
              </w:rPr>
              <w:t>1998 / 2020</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94,378</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2,180,188</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0.6%</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23.10</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DEA - Santa Ana</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Santa Ana, CA</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2029</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2004</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39,905</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2,036,945</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51.04</w:t>
            </w:r>
          </w:p>
        </w:tc>
        <w:tc>
          <w:tcPr>
            <w:tcW w:w="0" w:type="dxa"/>
            <w:vAlign w:val="bottom"/>
          </w:tcPr>
          <w:p>
            <w:pPr>
              <w:spacing w:after="0"/>
              <w:rPr>
                <w:sz w:val="1"/>
                <w:szCs w:val="1"/>
                <w:color w:val="auto"/>
              </w:rPr>
            </w:pPr>
          </w:p>
        </w:tc>
      </w:tr>
      <w:tr>
        <w:trPr>
          <w:trHeight w:val="158"/>
        </w:trPr>
        <w:tc>
          <w:tcPr>
            <w:tcW w:w="1520" w:type="dxa"/>
            <w:vAlign w:val="bottom"/>
            <w:gridSpan w:val="2"/>
          </w:tcPr>
          <w:p>
            <w:pPr>
              <w:spacing w:after="0"/>
              <w:rPr>
                <w:sz w:val="20"/>
                <w:szCs w:val="20"/>
                <w:color w:val="auto"/>
              </w:rPr>
            </w:pPr>
            <w:r>
              <w:rPr>
                <w:rFonts w:ascii="Arial" w:cs="Arial" w:eastAsia="Arial" w:hAnsi="Arial"/>
                <w:sz w:val="13"/>
                <w:szCs w:val="13"/>
                <w:color w:val="auto"/>
              </w:rPr>
              <w:t>GSA - Clarksburg</w:t>
            </w:r>
          </w:p>
        </w:tc>
        <w:tc>
          <w:tcPr>
            <w:tcW w:w="2060" w:type="dxa"/>
            <w:vAlign w:val="bottom"/>
          </w:tcPr>
          <w:p>
            <w:pPr>
              <w:ind w:left="140"/>
              <w:spacing w:after="0"/>
              <w:rPr>
                <w:sz w:val="20"/>
                <w:szCs w:val="20"/>
                <w:color w:val="auto"/>
              </w:rPr>
            </w:pPr>
            <w:r>
              <w:rPr>
                <w:rFonts w:ascii="Arial" w:cs="Arial" w:eastAsia="Arial" w:hAnsi="Arial"/>
                <w:sz w:val="13"/>
                <w:szCs w:val="13"/>
                <w:color w:val="auto"/>
              </w:rPr>
              <w:t>Clarksburg, WV</w:t>
            </w:r>
          </w:p>
        </w:tc>
        <w:tc>
          <w:tcPr>
            <w:tcW w:w="1440" w:type="dxa"/>
            <w:vAlign w:val="bottom"/>
          </w:tcPr>
          <w:p>
            <w:pPr>
              <w:ind w:left="100"/>
              <w:spacing w:after="0"/>
              <w:rPr>
                <w:sz w:val="20"/>
                <w:szCs w:val="20"/>
                <w:color w:val="auto"/>
              </w:rPr>
            </w:pPr>
            <w:r>
              <w:rPr>
                <w:rFonts w:ascii="Arial" w:cs="Arial" w:eastAsia="Arial" w:hAnsi="Arial"/>
                <w:sz w:val="13"/>
                <w:szCs w:val="13"/>
                <w:color w:val="auto"/>
              </w:rPr>
              <w:t>Office</w:t>
            </w:r>
          </w:p>
        </w:tc>
        <w:tc>
          <w:tcPr>
            <w:tcW w:w="1100" w:type="dxa"/>
            <w:vAlign w:val="bottom"/>
          </w:tcPr>
          <w:p>
            <w:pPr>
              <w:jc w:val="center"/>
              <w:ind w:left="57"/>
              <w:spacing w:after="0" w:line="158" w:lineRule="exact"/>
              <w:rPr>
                <w:sz w:val="20"/>
                <w:szCs w:val="20"/>
                <w:color w:val="auto"/>
              </w:rPr>
            </w:pPr>
            <w:r>
              <w:rPr>
                <w:rFonts w:ascii="Arial" w:cs="Arial" w:eastAsia="Arial" w:hAnsi="Arial"/>
                <w:sz w:val="13"/>
                <w:szCs w:val="13"/>
                <w:color w:val="auto"/>
                <w:w w:val="90"/>
              </w:rPr>
              <w:t>2039</w:t>
            </w:r>
            <w:r>
              <w:rPr>
                <w:rFonts w:ascii="Arial" w:cs="Arial" w:eastAsia="Arial" w:hAnsi="Arial"/>
                <w:sz w:val="16"/>
                <w:szCs w:val="16"/>
                <w:color w:val="auto"/>
                <w:w w:val="90"/>
                <w:vertAlign w:val="superscript"/>
              </w:rPr>
              <w:t>(2)</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6"/>
              </w:rPr>
              <w:t>1999</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70,495</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1,958,510</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27.78</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DEA - North Highlands</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Sacramento, CA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2033</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2002</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37,975</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1,891,896</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49.82</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JUD - Aberdeen</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Aberdeen, MS</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2040</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2005</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45,194</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1,890,909</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41.84</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DEA - Riverside</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Riverside, CA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2032</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1997</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34,354</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1,889,092</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54.99</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NPS - Omaha</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Omaha, NE</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2029</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2004</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62,772</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1,873,659</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29.85</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ICE - Orlando</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Orlando, FL</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2040</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8"/>
              </w:rPr>
              <w:t>1996 / 2010</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49,420</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1,796,130</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36.34</w:t>
            </w:r>
          </w:p>
        </w:tc>
        <w:tc>
          <w:tcPr>
            <w:tcW w:w="0" w:type="dxa"/>
            <w:vAlign w:val="bottom"/>
          </w:tcPr>
          <w:p>
            <w:pPr>
              <w:spacing w:after="0"/>
              <w:rPr>
                <w:sz w:val="1"/>
                <w:szCs w:val="1"/>
                <w:color w:val="auto"/>
              </w:rPr>
            </w:pPr>
          </w:p>
        </w:tc>
      </w:tr>
      <w:tr>
        <w:trPr>
          <w:trHeight w:val="158"/>
        </w:trPr>
        <w:tc>
          <w:tcPr>
            <w:tcW w:w="1520" w:type="dxa"/>
            <w:vAlign w:val="bottom"/>
            <w:gridSpan w:val="2"/>
          </w:tcPr>
          <w:p>
            <w:pPr>
              <w:spacing w:after="0"/>
              <w:rPr>
                <w:sz w:val="20"/>
                <w:szCs w:val="20"/>
                <w:color w:val="auto"/>
              </w:rPr>
            </w:pPr>
            <w:r>
              <w:rPr>
                <w:rFonts w:ascii="Arial" w:cs="Arial" w:eastAsia="Arial" w:hAnsi="Arial"/>
                <w:sz w:val="13"/>
                <w:szCs w:val="13"/>
                <w:color w:val="auto"/>
              </w:rPr>
              <w:t>VA - Golden</w:t>
            </w:r>
          </w:p>
        </w:tc>
        <w:tc>
          <w:tcPr>
            <w:tcW w:w="2060" w:type="dxa"/>
            <w:vAlign w:val="bottom"/>
          </w:tcPr>
          <w:p>
            <w:pPr>
              <w:ind w:left="140"/>
              <w:spacing w:after="0"/>
              <w:rPr>
                <w:sz w:val="20"/>
                <w:szCs w:val="20"/>
                <w:color w:val="auto"/>
              </w:rPr>
            </w:pPr>
            <w:r>
              <w:rPr>
                <w:rFonts w:ascii="Arial" w:cs="Arial" w:eastAsia="Arial" w:hAnsi="Arial"/>
                <w:sz w:val="13"/>
                <w:szCs w:val="13"/>
                <w:color w:val="auto"/>
              </w:rPr>
              <w:t>Golden, CO</w:t>
            </w:r>
          </w:p>
        </w:tc>
        <w:tc>
          <w:tcPr>
            <w:tcW w:w="1440" w:type="dxa"/>
            <w:vAlign w:val="bottom"/>
          </w:tcPr>
          <w:p>
            <w:pPr>
              <w:ind w:left="100"/>
              <w:spacing w:after="0"/>
              <w:rPr>
                <w:sz w:val="20"/>
                <w:szCs w:val="20"/>
                <w:color w:val="auto"/>
              </w:rPr>
            </w:pPr>
            <w:r>
              <w:rPr>
                <w:rFonts w:ascii="Arial" w:cs="Arial" w:eastAsia="Arial" w:hAnsi="Arial"/>
                <w:sz w:val="13"/>
                <w:szCs w:val="13"/>
                <w:color w:val="auto"/>
              </w:rPr>
              <w:t>Warehouse</w:t>
            </w:r>
          </w:p>
        </w:tc>
        <w:tc>
          <w:tcPr>
            <w:tcW w:w="1100" w:type="dxa"/>
            <w:vAlign w:val="bottom"/>
          </w:tcPr>
          <w:p>
            <w:pPr>
              <w:jc w:val="center"/>
              <w:ind w:left="57"/>
              <w:spacing w:after="0" w:line="158" w:lineRule="exact"/>
              <w:rPr>
                <w:sz w:val="20"/>
                <w:szCs w:val="20"/>
                <w:color w:val="auto"/>
              </w:rPr>
            </w:pPr>
            <w:r>
              <w:rPr>
                <w:rFonts w:ascii="Arial" w:cs="Arial" w:eastAsia="Arial" w:hAnsi="Arial"/>
                <w:sz w:val="13"/>
                <w:szCs w:val="13"/>
                <w:color w:val="auto"/>
                <w:w w:val="90"/>
              </w:rPr>
              <w:t>2036</w:t>
            </w:r>
            <w:r>
              <w:rPr>
                <w:rFonts w:ascii="Arial" w:cs="Arial" w:eastAsia="Arial" w:hAnsi="Arial"/>
                <w:sz w:val="16"/>
                <w:szCs w:val="16"/>
                <w:color w:val="auto"/>
                <w:w w:val="90"/>
                <w:vertAlign w:val="superscript"/>
              </w:rPr>
              <w:t>(2)</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8"/>
              </w:rPr>
              <w:t>1996 / 2011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56,753</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1,793,899</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0.5%</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31.61</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JUD - Newport News</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Newport News, VA</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2033</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2008</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35,005</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1,693,655</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0.4%</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48.38</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USCG - Martinsburg</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Martinsburg, WV</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2027</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2007</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59,547</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1,646,454</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0.4%</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27.65</w:t>
            </w:r>
          </w:p>
        </w:tc>
        <w:tc>
          <w:tcPr>
            <w:tcW w:w="0" w:type="dxa"/>
            <w:vAlign w:val="bottom"/>
          </w:tcPr>
          <w:p>
            <w:pPr>
              <w:spacing w:after="0"/>
              <w:rPr>
                <w:sz w:val="1"/>
                <w:szCs w:val="1"/>
                <w:color w:val="auto"/>
              </w:rPr>
            </w:pPr>
          </w:p>
        </w:tc>
      </w:tr>
      <w:tr>
        <w:trPr>
          <w:trHeight w:val="142"/>
        </w:trPr>
        <w:tc>
          <w:tcPr>
            <w:tcW w:w="1520" w:type="dxa"/>
            <w:vAlign w:val="bottom"/>
            <w:gridSpan w:val="2"/>
          </w:tcPr>
          <w:p>
            <w:pPr>
              <w:spacing w:after="0" w:line="142" w:lineRule="exact"/>
              <w:rPr>
                <w:sz w:val="20"/>
                <w:szCs w:val="20"/>
                <w:color w:val="auto"/>
              </w:rPr>
            </w:pPr>
            <w:r>
              <w:rPr>
                <w:rFonts w:ascii="Arial" w:cs="Arial" w:eastAsia="Arial" w:hAnsi="Arial"/>
                <w:sz w:val="13"/>
                <w:szCs w:val="13"/>
                <w:color w:val="auto"/>
              </w:rPr>
              <w:t>VA - Charleston</w:t>
            </w:r>
          </w:p>
        </w:tc>
        <w:tc>
          <w:tcPr>
            <w:tcW w:w="2060" w:type="dxa"/>
            <w:vAlign w:val="bottom"/>
          </w:tcPr>
          <w:p>
            <w:pPr>
              <w:ind w:left="140"/>
              <w:spacing w:after="0" w:line="142" w:lineRule="exact"/>
              <w:rPr>
                <w:sz w:val="20"/>
                <w:szCs w:val="20"/>
                <w:color w:val="auto"/>
              </w:rPr>
            </w:pPr>
            <w:r>
              <w:rPr>
                <w:rFonts w:ascii="Arial" w:cs="Arial" w:eastAsia="Arial" w:hAnsi="Arial"/>
                <w:sz w:val="13"/>
                <w:szCs w:val="13"/>
                <w:color w:val="auto"/>
              </w:rPr>
              <w:t>North Charleston, SC</w:t>
            </w:r>
          </w:p>
        </w:tc>
        <w:tc>
          <w:tcPr>
            <w:tcW w:w="1440" w:type="dxa"/>
            <w:vAlign w:val="bottom"/>
          </w:tcPr>
          <w:p>
            <w:pPr>
              <w:ind w:left="100"/>
              <w:spacing w:after="0" w:line="142" w:lineRule="exact"/>
              <w:rPr>
                <w:sz w:val="20"/>
                <w:szCs w:val="20"/>
                <w:color w:val="auto"/>
              </w:rPr>
            </w:pPr>
            <w:r>
              <w:rPr>
                <w:rFonts w:ascii="Arial" w:cs="Arial" w:eastAsia="Arial" w:hAnsi="Arial"/>
                <w:sz w:val="13"/>
                <w:szCs w:val="13"/>
                <w:color w:val="auto"/>
              </w:rPr>
              <w:t>Warehouse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2040</w:t>
            </w:r>
          </w:p>
        </w:tc>
        <w:tc>
          <w:tcPr>
            <w:tcW w:w="98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2020</w:t>
            </w:r>
          </w:p>
        </w:tc>
        <w:tc>
          <w:tcPr>
            <w:tcW w:w="9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97,718</w:t>
            </w:r>
          </w:p>
        </w:tc>
        <w:tc>
          <w:tcPr>
            <w:tcW w:w="980" w:type="dxa"/>
            <w:vAlign w:val="bottom"/>
            <w:gridSpan w:val="2"/>
          </w:tcPr>
          <w:p>
            <w:pPr>
              <w:ind w:left="320"/>
              <w:spacing w:after="0" w:line="142" w:lineRule="exact"/>
              <w:rPr>
                <w:sz w:val="20"/>
                <w:szCs w:val="20"/>
                <w:color w:val="auto"/>
              </w:rPr>
            </w:pPr>
            <w:r>
              <w:rPr>
                <w:rFonts w:ascii="Arial" w:cs="Arial" w:eastAsia="Arial" w:hAnsi="Arial"/>
                <w:sz w:val="13"/>
                <w:szCs w:val="13"/>
                <w:color w:val="auto"/>
              </w:rPr>
              <w:t>1,519,642</w:t>
            </w:r>
          </w:p>
        </w:tc>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0.4%</w:t>
            </w:r>
          </w:p>
        </w:tc>
        <w:tc>
          <w:tcPr>
            <w:tcW w:w="116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15.55</w:t>
            </w:r>
          </w:p>
        </w:tc>
        <w:tc>
          <w:tcPr>
            <w:tcW w:w="0" w:type="dxa"/>
            <w:vAlign w:val="bottom"/>
          </w:tcPr>
          <w:p>
            <w:pPr>
              <w:spacing w:after="0"/>
              <w:rPr>
                <w:sz w:val="1"/>
                <w:szCs w:val="1"/>
                <w:color w:val="auto"/>
              </w:rPr>
            </w:pPr>
          </w:p>
        </w:tc>
      </w:tr>
      <w:tr>
        <w:trPr>
          <w:trHeight w:val="126"/>
        </w:trPr>
        <w:tc>
          <w:tcPr>
            <w:tcW w:w="1520" w:type="dxa"/>
            <w:vAlign w:val="bottom"/>
            <w:gridSpan w:val="2"/>
          </w:tcPr>
          <w:p>
            <w:pPr>
              <w:spacing w:after="0" w:line="126" w:lineRule="exact"/>
              <w:rPr>
                <w:sz w:val="20"/>
                <w:szCs w:val="20"/>
                <w:color w:val="auto"/>
              </w:rPr>
            </w:pPr>
            <w:r>
              <w:rPr>
                <w:rFonts w:ascii="Arial" w:cs="Arial" w:eastAsia="Arial" w:hAnsi="Arial"/>
                <w:sz w:val="13"/>
                <w:szCs w:val="13"/>
                <w:color w:val="auto"/>
              </w:rPr>
              <w:t>USAO - Springfield</w:t>
            </w:r>
          </w:p>
        </w:tc>
        <w:tc>
          <w:tcPr>
            <w:tcW w:w="2060" w:type="dxa"/>
            <w:vAlign w:val="bottom"/>
          </w:tcPr>
          <w:p>
            <w:pPr>
              <w:ind w:left="140"/>
              <w:spacing w:after="0" w:line="126" w:lineRule="exact"/>
              <w:rPr>
                <w:sz w:val="20"/>
                <w:szCs w:val="20"/>
                <w:color w:val="auto"/>
              </w:rPr>
            </w:pPr>
            <w:r>
              <w:rPr>
                <w:rFonts w:ascii="Arial" w:cs="Arial" w:eastAsia="Arial" w:hAnsi="Arial"/>
                <w:sz w:val="13"/>
                <w:szCs w:val="13"/>
                <w:color w:val="auto"/>
              </w:rPr>
              <w:t>Springfield, IL</w:t>
            </w:r>
          </w:p>
        </w:tc>
        <w:tc>
          <w:tcPr>
            <w:tcW w:w="1440" w:type="dxa"/>
            <w:vAlign w:val="bottom"/>
          </w:tcPr>
          <w:p>
            <w:pPr>
              <w:ind w:left="100"/>
              <w:spacing w:after="0" w:line="126"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26" w:lineRule="exact"/>
              <w:rPr>
                <w:sz w:val="20"/>
                <w:szCs w:val="20"/>
                <w:color w:val="auto"/>
              </w:rPr>
            </w:pPr>
            <w:r>
              <w:rPr>
                <w:rFonts w:ascii="Arial" w:cs="Arial" w:eastAsia="Arial" w:hAnsi="Arial"/>
                <w:sz w:val="13"/>
                <w:szCs w:val="13"/>
                <w:color w:val="auto"/>
                <w:w w:val="96"/>
              </w:rPr>
              <w:t>2038</w:t>
            </w:r>
          </w:p>
        </w:tc>
        <w:tc>
          <w:tcPr>
            <w:tcW w:w="98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6"/>
              </w:rPr>
              <w:t>2002</w:t>
            </w:r>
          </w:p>
        </w:tc>
        <w:tc>
          <w:tcPr>
            <w:tcW w:w="92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43,600</w:t>
            </w:r>
          </w:p>
        </w:tc>
        <w:tc>
          <w:tcPr>
            <w:tcW w:w="980" w:type="dxa"/>
            <w:vAlign w:val="bottom"/>
            <w:gridSpan w:val="2"/>
          </w:tcPr>
          <w:p>
            <w:pPr>
              <w:ind w:left="320"/>
              <w:spacing w:after="0" w:line="126" w:lineRule="exact"/>
              <w:rPr>
                <w:sz w:val="20"/>
                <w:szCs w:val="20"/>
                <w:color w:val="auto"/>
              </w:rPr>
            </w:pPr>
            <w:r>
              <w:rPr>
                <w:rFonts w:ascii="Arial" w:cs="Arial" w:eastAsia="Arial" w:hAnsi="Arial"/>
                <w:sz w:val="13"/>
                <w:szCs w:val="13"/>
                <w:color w:val="auto"/>
              </w:rPr>
              <w:t>1,399,201</w:t>
            </w:r>
          </w:p>
        </w:tc>
        <w:tc>
          <w:tcPr>
            <w:tcW w:w="1100" w:type="dxa"/>
            <w:vAlign w:val="bottom"/>
            <w:gridSpan w:val="2"/>
          </w:tcPr>
          <w:p>
            <w:pPr>
              <w:jc w:val="right"/>
              <w:ind w:right="20"/>
              <w:spacing w:after="0" w:line="126" w:lineRule="exact"/>
              <w:rPr>
                <w:sz w:val="20"/>
                <w:szCs w:val="20"/>
                <w:color w:val="auto"/>
              </w:rPr>
            </w:pPr>
            <w:r>
              <w:rPr>
                <w:rFonts w:ascii="Arial" w:cs="Arial" w:eastAsia="Arial" w:hAnsi="Arial"/>
                <w:sz w:val="13"/>
                <w:szCs w:val="13"/>
                <w:color w:val="auto"/>
              </w:rPr>
              <w:t>0.4%</w:t>
            </w:r>
          </w:p>
        </w:tc>
        <w:tc>
          <w:tcPr>
            <w:tcW w:w="1160" w:type="dxa"/>
            <w:vAlign w:val="bottom"/>
            <w:gridSpan w:val="2"/>
          </w:tcPr>
          <w:p>
            <w:pPr>
              <w:jc w:val="right"/>
              <w:ind w:right="120"/>
              <w:spacing w:after="0" w:line="126" w:lineRule="exact"/>
              <w:rPr>
                <w:sz w:val="20"/>
                <w:szCs w:val="20"/>
                <w:color w:val="auto"/>
              </w:rPr>
            </w:pPr>
            <w:r>
              <w:rPr>
                <w:rFonts w:ascii="Arial" w:cs="Arial" w:eastAsia="Arial" w:hAnsi="Arial"/>
                <w:sz w:val="13"/>
                <w:szCs w:val="13"/>
                <w:color w:val="auto"/>
              </w:rPr>
              <w:t>32.09</w:t>
            </w:r>
          </w:p>
        </w:tc>
        <w:tc>
          <w:tcPr>
            <w:tcW w:w="0" w:type="dxa"/>
            <w:vAlign w:val="bottom"/>
          </w:tcPr>
          <w:p>
            <w:pPr>
              <w:spacing w:after="0"/>
              <w:rPr>
                <w:sz w:val="1"/>
                <w:szCs w:val="1"/>
                <w:color w:val="auto"/>
              </w:rPr>
            </w:pPr>
          </w:p>
        </w:tc>
      </w:tr>
      <w:tr>
        <w:trPr>
          <w:trHeight w:val="225"/>
        </w:trPr>
        <w:tc>
          <w:tcPr>
            <w:tcW w:w="1520" w:type="dxa"/>
            <w:vAlign w:val="bottom"/>
            <w:gridSpan w:val="2"/>
          </w:tcPr>
          <w:p>
            <w:pPr>
              <w:spacing w:after="0"/>
              <w:rPr>
                <w:sz w:val="20"/>
                <w:szCs w:val="20"/>
                <w:color w:val="auto"/>
              </w:rPr>
            </w:pPr>
            <w:r>
              <w:rPr>
                <w:rFonts w:ascii="Arial" w:cs="Arial" w:eastAsia="Arial" w:hAnsi="Arial"/>
                <w:sz w:val="13"/>
                <w:szCs w:val="13"/>
                <w:color w:val="auto"/>
              </w:rPr>
              <w:t>JUD - Council Bluffs</w:t>
            </w:r>
          </w:p>
        </w:tc>
        <w:tc>
          <w:tcPr>
            <w:tcW w:w="2060" w:type="dxa"/>
            <w:vAlign w:val="bottom"/>
          </w:tcPr>
          <w:p>
            <w:pPr>
              <w:ind w:left="140"/>
              <w:spacing w:after="0"/>
              <w:rPr>
                <w:sz w:val="20"/>
                <w:szCs w:val="20"/>
                <w:color w:val="auto"/>
              </w:rPr>
            </w:pPr>
            <w:r>
              <w:rPr>
                <w:rFonts w:ascii="Arial" w:cs="Arial" w:eastAsia="Arial" w:hAnsi="Arial"/>
                <w:sz w:val="13"/>
                <w:szCs w:val="13"/>
                <w:color w:val="auto"/>
              </w:rPr>
              <w:t>Council Bluffs, IA</w:t>
            </w:r>
          </w:p>
        </w:tc>
        <w:tc>
          <w:tcPr>
            <w:tcW w:w="1440" w:type="dxa"/>
            <w:vAlign w:val="bottom"/>
          </w:tcPr>
          <w:p>
            <w:pPr>
              <w:ind w:left="100"/>
              <w:spacing w:after="0"/>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57"/>
              <w:spacing w:after="0"/>
              <w:rPr>
                <w:sz w:val="20"/>
                <w:szCs w:val="20"/>
                <w:color w:val="auto"/>
              </w:rPr>
            </w:pPr>
            <w:r>
              <w:rPr>
                <w:rFonts w:ascii="Arial" w:cs="Arial" w:eastAsia="Arial" w:hAnsi="Arial"/>
                <w:sz w:val="13"/>
                <w:szCs w:val="13"/>
                <w:color w:val="auto"/>
                <w:w w:val="90"/>
              </w:rPr>
              <w:t>2041</w:t>
            </w:r>
            <w:r>
              <w:rPr>
                <w:rFonts w:ascii="Arial" w:cs="Arial" w:eastAsia="Arial" w:hAnsi="Arial"/>
                <w:sz w:val="16"/>
                <w:szCs w:val="16"/>
                <w:color w:val="auto"/>
                <w:w w:val="90"/>
                <w:vertAlign w:val="superscript"/>
              </w:rPr>
              <w:t>(7)</w:t>
            </w:r>
          </w:p>
        </w:tc>
        <w:tc>
          <w:tcPr>
            <w:tcW w:w="980" w:type="dxa"/>
            <w:vAlign w:val="bottom"/>
          </w:tcPr>
          <w:p>
            <w:pPr>
              <w:jc w:val="center"/>
              <w:ind w:right="77"/>
              <w:spacing w:after="0"/>
              <w:rPr>
                <w:sz w:val="20"/>
                <w:szCs w:val="20"/>
                <w:color w:val="auto"/>
              </w:rPr>
            </w:pPr>
            <w:r>
              <w:rPr>
                <w:rFonts w:ascii="Arial" w:cs="Arial" w:eastAsia="Arial" w:hAnsi="Arial"/>
                <w:sz w:val="13"/>
                <w:szCs w:val="13"/>
                <w:color w:val="auto"/>
                <w:w w:val="96"/>
              </w:rPr>
              <w:t>2021</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28,900</w:t>
            </w:r>
          </w:p>
        </w:tc>
        <w:tc>
          <w:tcPr>
            <w:tcW w:w="980" w:type="dxa"/>
            <w:vAlign w:val="bottom"/>
            <w:gridSpan w:val="2"/>
          </w:tcPr>
          <w:p>
            <w:pPr>
              <w:ind w:left="320"/>
              <w:spacing w:after="0"/>
              <w:rPr>
                <w:sz w:val="20"/>
                <w:szCs w:val="20"/>
                <w:color w:val="auto"/>
              </w:rPr>
            </w:pPr>
            <w:r>
              <w:rPr>
                <w:rFonts w:ascii="Arial" w:cs="Arial" w:eastAsia="Arial" w:hAnsi="Arial"/>
                <w:sz w:val="13"/>
                <w:szCs w:val="13"/>
                <w:color w:val="auto"/>
              </w:rPr>
              <w:t>1,369,479</w:t>
            </w:r>
          </w:p>
        </w:tc>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0.3%</w:t>
            </w: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47.39</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32" w:name="page33"/>
    <w:bookmarkEnd w:id="32"/>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Leased Operating Property Overview (Cont.)</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Percentage</w:t>
            </w:r>
          </w:p>
        </w:tc>
        <w:tc>
          <w:tcPr>
            <w:tcW w:w="10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5"/>
              </w:rPr>
              <w:t>Annualized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jc w:val="center"/>
              <w:ind w:left="97"/>
              <w:spacing w:after="0" w:line="142" w:lineRule="exact"/>
              <w:rPr>
                <w:sz w:val="20"/>
                <w:szCs w:val="20"/>
                <w:color w:val="auto"/>
              </w:rPr>
            </w:pPr>
            <w:r>
              <w:rPr>
                <w:rFonts w:ascii="Arial" w:cs="Arial" w:eastAsia="Arial" w:hAnsi="Arial"/>
                <w:sz w:val="13"/>
                <w:szCs w:val="13"/>
                <w:b w:val="1"/>
                <w:bCs w:val="1"/>
                <w:color w:val="auto"/>
                <w:w w:val="98"/>
              </w:rPr>
              <w:t>Tenant</w:t>
            </w: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7"/>
              </w:rPr>
              <w:t>of Total</w:t>
            </w: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7"/>
              </w:rPr>
              <w:t>Lease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b w:val="1"/>
                <w:bCs w:val="1"/>
                <w:color w:val="auto"/>
                <w:w w:val="97"/>
              </w:rPr>
              <w:t>Lease</w:t>
            </w:r>
          </w:p>
        </w:tc>
        <w:tc>
          <w:tcPr>
            <w:tcW w:w="10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100" w:type="dxa"/>
            <w:vAlign w:val="bottom"/>
          </w:tcPr>
          <w:p>
            <w:pPr>
              <w:spacing w:after="0"/>
              <w:rPr>
                <w:sz w:val="12"/>
                <w:szCs w:val="12"/>
                <w:color w:val="auto"/>
              </w:rPr>
            </w:pPr>
          </w:p>
        </w:tc>
        <w:tc>
          <w:tcPr>
            <w:tcW w:w="820" w:type="dxa"/>
            <w:vAlign w:val="bottom"/>
            <w:gridSpan w:val="2"/>
          </w:tcPr>
          <w:p>
            <w:pPr>
              <w:jc w:val="center"/>
              <w:ind w:left="37"/>
              <w:spacing w:after="0" w:line="142" w:lineRule="exact"/>
              <w:rPr>
                <w:sz w:val="20"/>
                <w:szCs w:val="20"/>
                <w:color w:val="auto"/>
              </w:rPr>
            </w:pPr>
            <w:r>
              <w:rPr>
                <w:rFonts w:ascii="Arial" w:cs="Arial" w:eastAsia="Arial" w:hAnsi="Arial"/>
                <w:sz w:val="13"/>
                <w:szCs w:val="13"/>
                <w:b w:val="1"/>
                <w:bCs w:val="1"/>
                <w:color w:val="auto"/>
                <w:w w:val="97"/>
              </w:rPr>
              <w:t>Annualized</w:t>
            </w:r>
          </w:p>
        </w:tc>
        <w:tc>
          <w:tcPr>
            <w:tcW w:w="120" w:type="dxa"/>
            <w:vAlign w:val="bottom"/>
          </w:tcPr>
          <w:p>
            <w:pPr>
              <w:spacing w:after="0"/>
              <w:rPr>
                <w:sz w:val="12"/>
                <w:szCs w:val="12"/>
                <w:color w:val="auto"/>
              </w:rPr>
            </w:pPr>
          </w:p>
        </w:tc>
        <w:tc>
          <w:tcPr>
            <w:tcW w:w="110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5"/>
              </w:rPr>
              <w:t>Annualized</w:t>
            </w:r>
          </w:p>
        </w:tc>
        <w:tc>
          <w:tcPr>
            <w:tcW w:w="1040" w:type="dxa"/>
            <w:vAlign w:val="bottom"/>
            <w:gridSpan w:val="3"/>
          </w:tcPr>
          <w:p>
            <w:pPr>
              <w:jc w:val="center"/>
              <w:ind w:right="20"/>
              <w:spacing w:after="0" w:line="142" w:lineRule="exact"/>
              <w:rPr>
                <w:sz w:val="20"/>
                <w:szCs w:val="20"/>
                <w:color w:val="auto"/>
              </w:rPr>
            </w:pPr>
            <w:r>
              <w:rPr>
                <w:rFonts w:ascii="Arial" w:cs="Arial" w:eastAsia="Arial" w:hAnsi="Arial"/>
                <w:sz w:val="13"/>
                <w:szCs w:val="13"/>
                <w:b w:val="1"/>
                <w:bCs w:val="1"/>
                <w:color w:val="auto"/>
                <w:w w:val="95"/>
              </w:rPr>
              <w:t>Income per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jc w:val="center"/>
              <w:ind w:left="97"/>
              <w:spacing w:after="0" w:line="142" w:lineRule="exact"/>
              <w:rPr>
                <w:sz w:val="20"/>
                <w:szCs w:val="20"/>
                <w:color w:val="auto"/>
              </w:rPr>
            </w:pPr>
            <w:r>
              <w:rPr>
                <w:rFonts w:ascii="Arial" w:cs="Arial" w:eastAsia="Arial" w:hAnsi="Arial"/>
                <w:sz w:val="13"/>
                <w:szCs w:val="13"/>
                <w:b w:val="1"/>
                <w:bCs w:val="1"/>
                <w:color w:val="auto"/>
                <w:w w:val="97"/>
              </w:rPr>
              <w:t>Expiration</w:t>
            </w:r>
          </w:p>
        </w:tc>
        <w:tc>
          <w:tcPr>
            <w:tcW w:w="102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Year Built /</w:t>
            </w: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9"/>
              </w:rPr>
              <w:t>Square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Lease</w:t>
            </w:r>
          </w:p>
        </w:tc>
        <w:tc>
          <w:tcPr>
            <w:tcW w:w="120" w:type="dxa"/>
            <w:vAlign w:val="bottom"/>
          </w:tcPr>
          <w:p>
            <w:pPr>
              <w:spacing w:after="0"/>
              <w:rPr>
                <w:sz w:val="12"/>
                <w:szCs w:val="12"/>
                <w:color w:val="auto"/>
              </w:rPr>
            </w:pPr>
          </w:p>
        </w:tc>
        <w:tc>
          <w:tcPr>
            <w:tcW w:w="110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7"/>
              </w:rPr>
              <w:t>Lease</w:t>
            </w:r>
          </w:p>
        </w:tc>
        <w:tc>
          <w:tcPr>
            <w:tcW w:w="2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50"/>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Property Name</w:t>
            </w:r>
          </w:p>
        </w:tc>
        <w:tc>
          <w:tcPr>
            <w:tcW w:w="2200" w:type="dxa"/>
            <w:vAlign w:val="bottom"/>
          </w:tcPr>
          <w:p>
            <w:pPr>
              <w:ind w:left="220"/>
              <w:spacing w:after="0"/>
              <w:rPr>
                <w:sz w:val="20"/>
                <w:szCs w:val="20"/>
                <w:color w:val="auto"/>
              </w:rPr>
            </w:pPr>
            <w:r>
              <w:rPr>
                <w:rFonts w:ascii="Arial" w:cs="Arial" w:eastAsia="Arial" w:hAnsi="Arial"/>
                <w:sz w:val="13"/>
                <w:szCs w:val="13"/>
                <w:b w:val="1"/>
                <w:bCs w:val="1"/>
                <w:color w:val="auto"/>
              </w:rPr>
              <w:t>Location</w:t>
            </w:r>
          </w:p>
        </w:tc>
        <w:tc>
          <w:tcPr>
            <w:tcW w:w="1400" w:type="dxa"/>
            <w:vAlign w:val="bottom"/>
          </w:tcPr>
          <w:p>
            <w:pPr>
              <w:ind w:left="60"/>
              <w:spacing w:after="0"/>
              <w:rPr>
                <w:sz w:val="20"/>
                <w:szCs w:val="20"/>
                <w:color w:val="auto"/>
              </w:rPr>
            </w:pPr>
            <w:r>
              <w:rPr>
                <w:rFonts w:ascii="Arial" w:cs="Arial" w:eastAsia="Arial" w:hAnsi="Arial"/>
                <w:sz w:val="13"/>
                <w:szCs w:val="13"/>
                <w:b w:val="1"/>
                <w:bCs w:val="1"/>
                <w:color w:val="auto"/>
              </w:rPr>
              <w:t>Property Type</w:t>
            </w:r>
          </w:p>
        </w:tc>
        <w:tc>
          <w:tcPr>
            <w:tcW w:w="1100" w:type="dxa"/>
            <w:vAlign w:val="bottom"/>
          </w:tcPr>
          <w:p>
            <w:pPr>
              <w:jc w:val="center"/>
              <w:ind w:left="97"/>
              <w:spacing w:after="0"/>
              <w:rPr>
                <w:sz w:val="20"/>
                <w:szCs w:val="20"/>
                <w:color w:val="auto"/>
              </w:rPr>
            </w:pPr>
            <w:r>
              <w:rPr>
                <w:rFonts w:ascii="Arial" w:cs="Arial" w:eastAsia="Arial" w:hAnsi="Arial"/>
                <w:sz w:val="13"/>
                <w:szCs w:val="13"/>
                <w:b w:val="1"/>
                <w:bCs w:val="1"/>
                <w:color w:val="auto"/>
                <w:w w:val="92"/>
              </w:rPr>
              <w:t>Year</w:t>
            </w:r>
          </w:p>
        </w:tc>
        <w:tc>
          <w:tcPr>
            <w:tcW w:w="1020" w:type="dxa"/>
            <w:vAlign w:val="bottom"/>
          </w:tcPr>
          <w:p>
            <w:pPr>
              <w:ind w:left="120"/>
              <w:spacing w:after="0"/>
              <w:rPr>
                <w:sz w:val="20"/>
                <w:szCs w:val="20"/>
                <w:color w:val="auto"/>
              </w:rPr>
            </w:pPr>
            <w:r>
              <w:rPr>
                <w:rFonts w:ascii="Arial" w:cs="Arial" w:eastAsia="Arial" w:hAnsi="Arial"/>
                <w:sz w:val="13"/>
                <w:szCs w:val="13"/>
                <w:b w:val="1"/>
                <w:bCs w:val="1"/>
                <w:color w:val="auto"/>
              </w:rPr>
              <w:t>Renovated</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3"/>
                <w:szCs w:val="13"/>
                <w:color w:val="auto"/>
              </w:rPr>
            </w:pPr>
          </w:p>
        </w:tc>
        <w:tc>
          <w:tcPr>
            <w:tcW w:w="11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6"/>
              </w:rPr>
              <w:t>Income</w:t>
            </w:r>
          </w:p>
        </w:tc>
        <w:tc>
          <w:tcPr>
            <w:tcW w:w="10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7"/>
              </w:rPr>
              <w:t>Square Foot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Borders>
              <w:top w:val="single" w:sz="8" w:color="2B4B86"/>
            </w:tcBorders>
          </w:tcPr>
          <w:p>
            <w:pPr>
              <w:spacing w:after="0"/>
              <w:rPr>
                <w:sz w:val="2"/>
                <w:szCs w:val="2"/>
                <w:color w:val="auto"/>
              </w:rPr>
            </w:pPr>
          </w:p>
        </w:tc>
        <w:tc>
          <w:tcPr>
            <w:tcW w:w="2200" w:type="dxa"/>
            <w:vAlign w:val="bottom"/>
            <w:tcBorders>
              <w:top w:val="single" w:sz="8" w:color="2B4B86"/>
            </w:tcBorders>
          </w:tcPr>
          <w:p>
            <w:pPr>
              <w:spacing w:after="0"/>
              <w:rPr>
                <w:sz w:val="2"/>
                <w:szCs w:val="2"/>
                <w:color w:val="auto"/>
              </w:rPr>
            </w:pPr>
          </w:p>
        </w:tc>
        <w:tc>
          <w:tcPr>
            <w:tcW w:w="1400" w:type="dxa"/>
            <w:vAlign w:val="bottom"/>
            <w:tcBorders>
              <w:top w:val="single" w:sz="8" w:color="2B4B86"/>
            </w:tcBorders>
          </w:tcPr>
          <w:p>
            <w:pPr>
              <w:spacing w:after="0"/>
              <w:rPr>
                <w:sz w:val="2"/>
                <w:szCs w:val="2"/>
                <w:color w:val="auto"/>
              </w:rPr>
            </w:pPr>
          </w:p>
        </w:tc>
        <w:tc>
          <w:tcPr>
            <w:tcW w:w="1100" w:type="dxa"/>
            <w:vAlign w:val="bottom"/>
            <w:tcBorders>
              <w:top w:val="single" w:sz="8" w:color="2B4B86"/>
            </w:tcBorders>
          </w:tcPr>
          <w:p>
            <w:pPr>
              <w:spacing w:after="0"/>
              <w:rPr>
                <w:sz w:val="2"/>
                <w:szCs w:val="2"/>
                <w:color w:val="auto"/>
              </w:rPr>
            </w:pPr>
          </w:p>
        </w:tc>
        <w:tc>
          <w:tcPr>
            <w:tcW w:w="1020" w:type="dxa"/>
            <w:vAlign w:val="bottom"/>
            <w:tcBorders>
              <w:top w:val="single" w:sz="8" w:color="2B4B86"/>
            </w:tcBorders>
          </w:tcPr>
          <w:p>
            <w:pPr>
              <w:spacing w:after="0"/>
              <w:rPr>
                <w:sz w:val="2"/>
                <w:szCs w:val="2"/>
                <w:color w:val="auto"/>
              </w:rPr>
            </w:pPr>
          </w:p>
        </w:tc>
        <w:tc>
          <w:tcPr>
            <w:tcW w:w="880" w:type="dxa"/>
            <w:vAlign w:val="bottom"/>
            <w:tcBorders>
              <w:top w:val="single" w:sz="8" w:color="2B4B86"/>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2B4B86"/>
            </w:tcBorders>
          </w:tcPr>
          <w:p>
            <w:pPr>
              <w:spacing w:after="0"/>
              <w:rPr>
                <w:sz w:val="2"/>
                <w:szCs w:val="2"/>
                <w:color w:val="auto"/>
              </w:rPr>
            </w:pPr>
          </w:p>
        </w:tc>
        <w:tc>
          <w:tcPr>
            <w:tcW w:w="62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2B4B86"/>
            </w:tcBorders>
          </w:tcPr>
          <w:p>
            <w:pPr>
              <w:spacing w:after="0"/>
              <w:rPr>
                <w:sz w:val="2"/>
                <w:szCs w:val="2"/>
                <w:color w:val="auto"/>
              </w:rPr>
            </w:pPr>
          </w:p>
        </w:tc>
        <w:tc>
          <w:tcPr>
            <w:tcW w:w="680" w:type="dxa"/>
            <w:vAlign w:val="bottom"/>
            <w:tcBorders>
              <w:top w:val="single" w:sz="8" w:color="2B4B86"/>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6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Wholly Owned U.S. Government Leased Properties (Cont.)</w:t>
            </w:r>
          </w:p>
        </w:tc>
        <w:tc>
          <w:tcPr>
            <w:tcW w:w="1400" w:type="dxa"/>
            <w:vAlign w:val="bottom"/>
            <w:shd w:val="clear" w:color="auto" w:fill="E7E6E6"/>
          </w:tcPr>
          <w:p>
            <w:pPr>
              <w:spacing w:after="0"/>
              <w:rPr>
                <w:sz w:val="12"/>
                <w:szCs w:val="12"/>
                <w:color w:val="auto"/>
              </w:rPr>
            </w:pPr>
          </w:p>
        </w:tc>
        <w:tc>
          <w:tcPr>
            <w:tcW w:w="1100" w:type="dxa"/>
            <w:vAlign w:val="bottom"/>
            <w:shd w:val="clear" w:color="auto" w:fill="E7E6E6"/>
          </w:tcPr>
          <w:p>
            <w:pPr>
              <w:spacing w:after="0"/>
              <w:rPr>
                <w:sz w:val="12"/>
                <w:szCs w:val="12"/>
                <w:color w:val="auto"/>
              </w:rPr>
            </w:pPr>
          </w:p>
        </w:tc>
        <w:tc>
          <w:tcPr>
            <w:tcW w:w="1020" w:type="dxa"/>
            <w:vAlign w:val="bottom"/>
            <w:shd w:val="clear" w:color="auto" w:fill="E7E6E6"/>
          </w:tcPr>
          <w:p>
            <w:pPr>
              <w:spacing w:after="0"/>
              <w:rPr>
                <w:sz w:val="12"/>
                <w:szCs w:val="12"/>
                <w:color w:val="auto"/>
              </w:rPr>
            </w:pPr>
          </w:p>
        </w:tc>
        <w:tc>
          <w:tcPr>
            <w:tcW w:w="88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200" w:type="dxa"/>
            <w:vAlign w:val="bottom"/>
            <w:shd w:val="clear" w:color="auto" w:fill="E7E6E6"/>
          </w:tcPr>
          <w:p>
            <w:pPr>
              <w:spacing w:after="0"/>
              <w:rPr>
                <w:sz w:val="12"/>
                <w:szCs w:val="12"/>
                <w:color w:val="auto"/>
              </w:rPr>
            </w:pPr>
          </w:p>
        </w:tc>
        <w:tc>
          <w:tcPr>
            <w:tcW w:w="62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240" w:type="dxa"/>
            <w:vAlign w:val="bottom"/>
            <w:shd w:val="clear" w:color="auto" w:fill="E7E6E6"/>
          </w:tcPr>
          <w:p>
            <w:pPr>
              <w:spacing w:after="0"/>
              <w:rPr>
                <w:sz w:val="12"/>
                <w:szCs w:val="12"/>
                <w:color w:val="auto"/>
              </w:rPr>
            </w:pPr>
          </w:p>
        </w:tc>
        <w:tc>
          <w:tcPr>
            <w:tcW w:w="6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line="134" w:lineRule="exact"/>
              <w:rPr>
                <w:sz w:val="20"/>
                <w:szCs w:val="20"/>
                <w:color w:val="auto"/>
              </w:rPr>
            </w:pPr>
            <w:r>
              <w:rPr>
                <w:rFonts w:ascii="Arial" w:cs="Arial" w:eastAsia="Arial" w:hAnsi="Arial"/>
                <w:sz w:val="13"/>
                <w:szCs w:val="13"/>
                <w:color w:val="auto"/>
              </w:rPr>
              <w:t>DEA - Birmingham</w:t>
            </w:r>
          </w:p>
        </w:tc>
        <w:tc>
          <w:tcPr>
            <w:tcW w:w="2200" w:type="dxa"/>
            <w:vAlign w:val="bottom"/>
          </w:tcPr>
          <w:p>
            <w:pPr>
              <w:ind w:left="220"/>
              <w:spacing w:after="0" w:line="134" w:lineRule="exact"/>
              <w:rPr>
                <w:sz w:val="20"/>
                <w:szCs w:val="20"/>
                <w:color w:val="auto"/>
              </w:rPr>
            </w:pPr>
            <w:r>
              <w:rPr>
                <w:rFonts w:ascii="Arial" w:cs="Arial" w:eastAsia="Arial" w:hAnsi="Arial"/>
                <w:sz w:val="13"/>
                <w:szCs w:val="13"/>
                <w:color w:val="auto"/>
              </w:rPr>
              <w:t>Birmingham, AL</w:t>
            </w:r>
          </w:p>
        </w:tc>
        <w:tc>
          <w:tcPr>
            <w:tcW w:w="1400" w:type="dxa"/>
            <w:vAlign w:val="bottom"/>
          </w:tcPr>
          <w:p>
            <w:pPr>
              <w:ind w:left="60"/>
              <w:spacing w:after="0" w:line="134"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34" w:lineRule="exact"/>
              <w:rPr>
                <w:sz w:val="20"/>
                <w:szCs w:val="20"/>
                <w:color w:val="auto"/>
              </w:rPr>
            </w:pPr>
            <w:r>
              <w:rPr>
                <w:rFonts w:ascii="Arial" w:cs="Arial" w:eastAsia="Arial" w:hAnsi="Arial"/>
                <w:sz w:val="13"/>
                <w:szCs w:val="13"/>
                <w:color w:val="auto"/>
                <w:w w:val="96"/>
              </w:rPr>
              <w:t>2038</w:t>
            </w:r>
          </w:p>
        </w:tc>
        <w:tc>
          <w:tcPr>
            <w:tcW w:w="1020" w:type="dxa"/>
            <w:vAlign w:val="bottom"/>
          </w:tcPr>
          <w:p>
            <w:pPr>
              <w:jc w:val="center"/>
              <w:ind w:right="77"/>
              <w:spacing w:after="0" w:line="134" w:lineRule="exact"/>
              <w:rPr>
                <w:sz w:val="20"/>
                <w:szCs w:val="20"/>
                <w:color w:val="auto"/>
              </w:rPr>
            </w:pPr>
            <w:r>
              <w:rPr>
                <w:rFonts w:ascii="Arial" w:cs="Arial" w:eastAsia="Arial" w:hAnsi="Arial"/>
                <w:sz w:val="13"/>
                <w:szCs w:val="13"/>
                <w:color w:val="auto"/>
                <w:w w:val="96"/>
              </w:rPr>
              <w:t>2005</w:t>
            </w:r>
          </w:p>
        </w:tc>
        <w:tc>
          <w:tcPr>
            <w:tcW w:w="880" w:type="dxa"/>
            <w:vAlign w:val="bottom"/>
          </w:tcPr>
          <w:p>
            <w:pPr>
              <w:jc w:val="right"/>
              <w:spacing w:after="0" w:line="134" w:lineRule="exact"/>
              <w:rPr>
                <w:sz w:val="20"/>
                <w:szCs w:val="20"/>
                <w:color w:val="auto"/>
              </w:rPr>
            </w:pPr>
            <w:r>
              <w:rPr>
                <w:rFonts w:ascii="Arial" w:cs="Arial" w:eastAsia="Arial" w:hAnsi="Arial"/>
                <w:sz w:val="13"/>
                <w:szCs w:val="13"/>
                <w:color w:val="auto"/>
              </w:rPr>
              <w:t>35,616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color w:val="auto"/>
              </w:rPr>
              <w:t>1,270,359</w:t>
            </w:r>
          </w:p>
        </w:tc>
        <w:tc>
          <w:tcPr>
            <w:tcW w:w="1220" w:type="dxa"/>
            <w:vAlign w:val="bottom"/>
            <w:gridSpan w:val="3"/>
          </w:tcPr>
          <w:p>
            <w:pPr>
              <w:jc w:val="right"/>
              <w:ind w:right="20"/>
              <w:spacing w:after="0" w:line="134" w:lineRule="exact"/>
              <w:rPr>
                <w:sz w:val="20"/>
                <w:szCs w:val="20"/>
                <w:color w:val="auto"/>
              </w:rPr>
            </w:pPr>
            <w:r>
              <w:rPr>
                <w:rFonts w:ascii="Arial" w:cs="Arial" w:eastAsia="Arial" w:hAnsi="Arial"/>
                <w:sz w:val="13"/>
                <w:szCs w:val="13"/>
                <w:color w:val="auto"/>
              </w:rPr>
              <w:t>0.3%</w:t>
            </w:r>
          </w:p>
        </w:tc>
        <w:tc>
          <w:tcPr>
            <w:tcW w:w="2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35.67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DEA - Albany</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Albany, NY</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2042</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2004</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31,976</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1,193,758</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0.3%</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37.33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HSI - Orlando</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Orlando, FL</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2036</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2006</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27,840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1,119,208</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0.3%</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SSA - Dallas</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Dallas, TX</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2035</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2005</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27,200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1,073,581</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0.3%</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39.47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JUD - South Bend</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South Bend, IN</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Federal Courthouse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2027</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8"/>
              </w:rPr>
              <w:t>1996 / 2011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30,119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831,012</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27.59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ICE - Louisville</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Louisville, KY</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2036</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2011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17,420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772,144</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0.2%</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44.33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DEA - San Diego</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San Diego, CA</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Warehouse</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2032</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16,100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565,018</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35.09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DEA - Bakersfield</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Bakersfield, CA</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2038</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2000</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9,800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497,530</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50.77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480" w:type="dxa"/>
            <w:vAlign w:val="bottom"/>
            <w:gridSpan w:val="2"/>
          </w:tcPr>
          <w:p>
            <w:pPr>
              <w:spacing w:after="0"/>
              <w:rPr>
                <w:sz w:val="20"/>
                <w:szCs w:val="20"/>
                <w:color w:val="auto"/>
              </w:rPr>
            </w:pPr>
            <w:r>
              <w:rPr>
                <w:rFonts w:ascii="Arial" w:cs="Arial" w:eastAsia="Arial" w:hAnsi="Arial"/>
                <w:sz w:val="13"/>
                <w:szCs w:val="13"/>
                <w:color w:val="auto"/>
              </w:rPr>
              <w:t>SSA - San Diego</w:t>
            </w:r>
          </w:p>
        </w:tc>
        <w:tc>
          <w:tcPr>
            <w:tcW w:w="2200" w:type="dxa"/>
            <w:vAlign w:val="bottom"/>
          </w:tcPr>
          <w:p>
            <w:pPr>
              <w:ind w:left="220"/>
              <w:spacing w:after="0"/>
              <w:rPr>
                <w:sz w:val="20"/>
                <w:szCs w:val="20"/>
                <w:color w:val="auto"/>
              </w:rPr>
            </w:pPr>
            <w:r>
              <w:rPr>
                <w:rFonts w:ascii="Arial" w:cs="Arial" w:eastAsia="Arial" w:hAnsi="Arial"/>
                <w:sz w:val="13"/>
                <w:szCs w:val="13"/>
                <w:color w:val="auto"/>
              </w:rPr>
              <w:t>San Diego, CA</w:t>
            </w:r>
          </w:p>
        </w:tc>
        <w:tc>
          <w:tcPr>
            <w:tcW w:w="1400" w:type="dxa"/>
            <w:vAlign w:val="bottom"/>
          </w:tcPr>
          <w:p>
            <w:pPr>
              <w:ind w:left="60"/>
              <w:spacing w:after="0"/>
              <w:rPr>
                <w:sz w:val="20"/>
                <w:szCs w:val="20"/>
                <w:color w:val="auto"/>
              </w:rPr>
            </w:pPr>
            <w:r>
              <w:rPr>
                <w:rFonts w:ascii="Arial" w:cs="Arial" w:eastAsia="Arial" w:hAnsi="Arial"/>
                <w:sz w:val="13"/>
                <w:szCs w:val="13"/>
                <w:color w:val="auto"/>
              </w:rPr>
              <w:t>Specialized Facility</w:t>
            </w:r>
          </w:p>
        </w:tc>
        <w:tc>
          <w:tcPr>
            <w:tcW w:w="1100" w:type="dxa"/>
            <w:vAlign w:val="bottom"/>
          </w:tcPr>
          <w:p>
            <w:pPr>
              <w:jc w:val="center"/>
              <w:ind w:left="77"/>
              <w:spacing w:after="0"/>
              <w:rPr>
                <w:sz w:val="20"/>
                <w:szCs w:val="20"/>
                <w:color w:val="auto"/>
              </w:rPr>
            </w:pPr>
            <w:r>
              <w:rPr>
                <w:rFonts w:ascii="Arial" w:cs="Arial" w:eastAsia="Arial" w:hAnsi="Arial"/>
                <w:sz w:val="13"/>
                <w:szCs w:val="13"/>
                <w:color w:val="auto"/>
                <w:w w:val="96"/>
              </w:rPr>
              <w:t>2032</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6"/>
              </w:rPr>
              <w:t>2003</w:t>
            </w:r>
          </w:p>
        </w:tc>
        <w:tc>
          <w:tcPr>
            <w:tcW w:w="880" w:type="dxa"/>
            <w:vAlign w:val="bottom"/>
          </w:tcPr>
          <w:p>
            <w:pPr>
              <w:jc w:val="right"/>
              <w:spacing w:after="0"/>
              <w:rPr>
                <w:sz w:val="20"/>
                <w:szCs w:val="20"/>
                <w:color w:val="auto"/>
              </w:rPr>
            </w:pPr>
            <w:r>
              <w:rPr>
                <w:rFonts w:ascii="Arial" w:cs="Arial" w:eastAsia="Arial" w:hAnsi="Arial"/>
                <w:sz w:val="13"/>
                <w:szCs w:val="13"/>
                <w:color w:val="auto"/>
              </w:rPr>
              <w:t>10,059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458,846</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0.1%</w:t>
            </w:r>
          </w:p>
        </w:tc>
        <w:tc>
          <w:tcPr>
            <w:tcW w:w="2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Subtotal</w:t>
            </w:r>
          </w:p>
        </w:tc>
        <w:tc>
          <w:tcPr>
            <w:tcW w:w="2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292,506,5</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2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8,054,450</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22</w:t>
            </w:r>
          </w:p>
        </w:tc>
        <w:tc>
          <w:tcPr>
            <w:tcW w:w="122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74.3%</w:t>
            </w:r>
          </w:p>
        </w:tc>
        <w:tc>
          <w:tcPr>
            <w:tcW w:w="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36.32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3660" w:type="dxa"/>
            <w:vAlign w:val="bottom"/>
            <w:gridSpan w:val="2"/>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60" w:type="dxa"/>
            <w:vAlign w:val="bottom"/>
            <w:gridSpan w:val="2"/>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7"/>
              </w:rPr>
              <w:t>Wholly Owned State and Local Government Leased Property</w:t>
            </w:r>
          </w:p>
        </w:tc>
        <w:tc>
          <w:tcPr>
            <w:tcW w:w="1400" w:type="dxa"/>
            <w:vAlign w:val="bottom"/>
            <w:shd w:val="clear" w:color="auto" w:fill="E7E6E6"/>
          </w:tcPr>
          <w:p>
            <w:pPr>
              <w:spacing w:after="0"/>
              <w:rPr>
                <w:sz w:val="12"/>
                <w:szCs w:val="12"/>
                <w:color w:val="auto"/>
              </w:rPr>
            </w:pPr>
          </w:p>
        </w:tc>
        <w:tc>
          <w:tcPr>
            <w:tcW w:w="1100" w:type="dxa"/>
            <w:vAlign w:val="bottom"/>
            <w:shd w:val="clear" w:color="auto" w:fill="E7E6E6"/>
          </w:tcPr>
          <w:p>
            <w:pPr>
              <w:spacing w:after="0"/>
              <w:rPr>
                <w:sz w:val="12"/>
                <w:szCs w:val="12"/>
                <w:color w:val="auto"/>
              </w:rPr>
            </w:pPr>
          </w:p>
        </w:tc>
        <w:tc>
          <w:tcPr>
            <w:tcW w:w="1020" w:type="dxa"/>
            <w:vAlign w:val="bottom"/>
            <w:shd w:val="clear" w:color="auto" w:fill="E7E6E6"/>
          </w:tcPr>
          <w:p>
            <w:pPr>
              <w:spacing w:after="0"/>
              <w:rPr>
                <w:sz w:val="12"/>
                <w:szCs w:val="12"/>
                <w:color w:val="auto"/>
              </w:rPr>
            </w:pPr>
          </w:p>
        </w:tc>
        <w:tc>
          <w:tcPr>
            <w:tcW w:w="88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200" w:type="dxa"/>
            <w:vAlign w:val="bottom"/>
            <w:shd w:val="clear" w:color="auto" w:fill="E7E6E6"/>
          </w:tcPr>
          <w:p>
            <w:pPr>
              <w:spacing w:after="0"/>
              <w:rPr>
                <w:sz w:val="12"/>
                <w:szCs w:val="12"/>
                <w:color w:val="auto"/>
              </w:rPr>
            </w:pPr>
          </w:p>
        </w:tc>
        <w:tc>
          <w:tcPr>
            <w:tcW w:w="62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9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240" w:type="dxa"/>
            <w:vAlign w:val="bottom"/>
            <w:shd w:val="clear" w:color="auto" w:fill="E7E6E6"/>
          </w:tcPr>
          <w:p>
            <w:pPr>
              <w:spacing w:after="0"/>
              <w:rPr>
                <w:sz w:val="12"/>
                <w:szCs w:val="12"/>
                <w:color w:val="auto"/>
              </w:rPr>
            </w:pPr>
          </w:p>
        </w:tc>
        <w:tc>
          <w:tcPr>
            <w:tcW w:w="680" w:type="dxa"/>
            <w:vAlign w:val="bottom"/>
            <w:shd w:val="clear" w:color="auto" w:fill="E7E6E6"/>
          </w:tcPr>
          <w:p>
            <w:pPr>
              <w:spacing w:after="0"/>
              <w:rPr>
                <w:sz w:val="12"/>
                <w:szCs w:val="12"/>
                <w:color w:val="auto"/>
              </w:rPr>
            </w:pPr>
          </w:p>
        </w:tc>
        <w:tc>
          <w:tcPr>
            <w:tcW w:w="12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00" w:type="dxa"/>
            <w:vAlign w:val="bottom"/>
            <w:vMerge w:val="restart"/>
          </w:tcPr>
          <w:p>
            <w:pPr>
              <w:jc w:val="center"/>
              <w:ind w:left="97"/>
              <w:spacing w:after="0"/>
              <w:rPr>
                <w:sz w:val="20"/>
                <w:szCs w:val="20"/>
                <w:color w:val="auto"/>
              </w:rPr>
            </w:pPr>
            <w:r>
              <w:rPr>
                <w:rFonts w:ascii="Arial" w:cs="Arial" w:eastAsia="Arial" w:hAnsi="Arial"/>
                <w:sz w:val="13"/>
                <w:szCs w:val="13"/>
                <w:color w:val="auto"/>
                <w:w w:val="94"/>
              </w:rPr>
              <w:t>2026 - 2038</w:t>
            </w:r>
            <w:r>
              <w:rPr>
                <w:rFonts w:ascii="Arial" w:cs="Arial" w:eastAsia="Arial" w:hAnsi="Arial"/>
                <w:sz w:val="16"/>
                <w:szCs w:val="16"/>
                <w:color w:val="auto"/>
                <w:w w:val="94"/>
                <w:vertAlign w:val="superscript"/>
              </w:rPr>
              <w:t>(9)</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color w:val="auto"/>
              </w:rPr>
              <w:t>18,123,28</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DC - Capitol Plaza</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Washington, DC</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Office</w:t>
            </w:r>
          </w:p>
        </w:tc>
        <w:tc>
          <w:tcPr>
            <w:tcW w:w="1100" w:type="dxa"/>
            <w:vAlign w:val="bottom"/>
            <w:vMerge w:val="continue"/>
          </w:tcPr>
          <w:p>
            <w:pPr>
              <w:spacing w:after="0"/>
              <w:rPr>
                <w:sz w:val="12"/>
                <w:szCs w:val="12"/>
                <w:color w:val="auto"/>
              </w:rPr>
            </w:pP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2006</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284,688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5</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4.5%</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63.66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jc w:val="center"/>
              <w:ind w:left="57"/>
              <w:spacing w:after="0" w:line="126" w:lineRule="exact"/>
              <w:rPr>
                <w:sz w:val="20"/>
                <w:szCs w:val="20"/>
                <w:color w:val="auto"/>
              </w:rPr>
            </w:pPr>
            <w:r>
              <w:rPr>
                <w:rFonts w:ascii="Arial" w:cs="Arial" w:eastAsia="Arial" w:hAnsi="Arial"/>
                <w:sz w:val="13"/>
                <w:szCs w:val="13"/>
                <w:color w:val="auto"/>
                <w:w w:val="93"/>
              </w:rPr>
              <w:t>2027 /</w:t>
            </w: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480" w:type="dxa"/>
            <w:vAlign w:val="bottom"/>
            <w:gridSpan w:val="2"/>
          </w:tcPr>
          <w:p>
            <w:pPr>
              <w:spacing w:after="0"/>
              <w:rPr>
                <w:sz w:val="20"/>
                <w:szCs w:val="20"/>
                <w:color w:val="auto"/>
              </w:rPr>
            </w:pPr>
            <w:r>
              <w:rPr>
                <w:rFonts w:ascii="Arial" w:cs="Arial" w:eastAsia="Arial" w:hAnsi="Arial"/>
                <w:sz w:val="13"/>
                <w:szCs w:val="13"/>
                <w:color w:val="auto"/>
              </w:rPr>
              <w:t>Wake County III - Cary</w:t>
            </w:r>
          </w:p>
        </w:tc>
        <w:tc>
          <w:tcPr>
            <w:tcW w:w="2200" w:type="dxa"/>
            <w:vAlign w:val="bottom"/>
          </w:tcPr>
          <w:p>
            <w:pPr>
              <w:ind w:left="220"/>
              <w:spacing w:after="0"/>
              <w:rPr>
                <w:sz w:val="20"/>
                <w:szCs w:val="20"/>
                <w:color w:val="auto"/>
              </w:rPr>
            </w:pPr>
            <w:r>
              <w:rPr>
                <w:rFonts w:ascii="Arial" w:cs="Arial" w:eastAsia="Arial" w:hAnsi="Arial"/>
                <w:sz w:val="13"/>
                <w:szCs w:val="13"/>
                <w:color w:val="auto"/>
              </w:rPr>
              <w:t>Cary, NC</w:t>
            </w:r>
          </w:p>
        </w:tc>
        <w:tc>
          <w:tcPr>
            <w:tcW w:w="1400" w:type="dxa"/>
            <w:vAlign w:val="bottom"/>
          </w:tcPr>
          <w:p>
            <w:pPr>
              <w:ind w:left="60"/>
              <w:spacing w:after="0"/>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line="158" w:lineRule="exact"/>
              <w:rPr>
                <w:sz w:val="20"/>
                <w:szCs w:val="20"/>
                <w:color w:val="auto"/>
              </w:rPr>
            </w:pPr>
            <w:r>
              <w:rPr>
                <w:rFonts w:ascii="Arial" w:cs="Arial" w:eastAsia="Arial" w:hAnsi="Arial"/>
                <w:sz w:val="13"/>
                <w:szCs w:val="13"/>
                <w:color w:val="auto"/>
                <w:w w:val="87"/>
              </w:rPr>
              <w:t>2034</w:t>
            </w:r>
            <w:r>
              <w:rPr>
                <w:rFonts w:ascii="Arial" w:cs="Arial" w:eastAsia="Arial" w:hAnsi="Arial"/>
                <w:sz w:val="16"/>
                <w:szCs w:val="16"/>
                <w:color w:val="auto"/>
                <w:w w:val="87"/>
                <w:vertAlign w:val="superscript"/>
              </w:rPr>
              <w:t>(10)</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6"/>
              </w:rPr>
              <w:t>1997</w:t>
            </w:r>
          </w:p>
        </w:tc>
        <w:tc>
          <w:tcPr>
            <w:tcW w:w="880" w:type="dxa"/>
            <w:vAlign w:val="bottom"/>
          </w:tcPr>
          <w:p>
            <w:pPr>
              <w:jc w:val="right"/>
              <w:spacing w:after="0"/>
              <w:rPr>
                <w:sz w:val="20"/>
                <w:szCs w:val="20"/>
                <w:color w:val="auto"/>
              </w:rPr>
            </w:pPr>
            <w:r>
              <w:rPr>
                <w:rFonts w:ascii="Arial" w:cs="Arial" w:eastAsia="Arial" w:hAnsi="Arial"/>
                <w:sz w:val="13"/>
                <w:szCs w:val="13"/>
                <w:color w:val="auto"/>
              </w:rPr>
              <w:t>113,722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3,500,694</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0.9%</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1480" w:type="dxa"/>
            <w:vAlign w:val="bottom"/>
            <w:gridSpan w:val="2"/>
          </w:tcPr>
          <w:p>
            <w:pPr>
              <w:spacing w:after="0" w:line="126" w:lineRule="exact"/>
              <w:rPr>
                <w:sz w:val="20"/>
                <w:szCs w:val="20"/>
                <w:color w:val="auto"/>
              </w:rPr>
            </w:pPr>
            <w:r>
              <w:rPr>
                <w:rFonts w:ascii="Arial" w:cs="Arial" w:eastAsia="Arial" w:hAnsi="Arial"/>
                <w:sz w:val="13"/>
                <w:szCs w:val="13"/>
                <w:color w:val="auto"/>
              </w:rPr>
              <w:t>CA - Anaheim</w:t>
            </w:r>
          </w:p>
        </w:tc>
        <w:tc>
          <w:tcPr>
            <w:tcW w:w="2200" w:type="dxa"/>
            <w:vAlign w:val="bottom"/>
          </w:tcPr>
          <w:p>
            <w:pPr>
              <w:ind w:left="220"/>
              <w:spacing w:after="0" w:line="126" w:lineRule="exact"/>
              <w:rPr>
                <w:sz w:val="20"/>
                <w:szCs w:val="20"/>
                <w:color w:val="auto"/>
              </w:rPr>
            </w:pPr>
            <w:r>
              <w:rPr>
                <w:rFonts w:ascii="Arial" w:cs="Arial" w:eastAsia="Arial" w:hAnsi="Arial"/>
                <w:sz w:val="13"/>
                <w:szCs w:val="13"/>
                <w:color w:val="auto"/>
              </w:rPr>
              <w:t>Anaheim, CA</w:t>
            </w:r>
          </w:p>
        </w:tc>
        <w:tc>
          <w:tcPr>
            <w:tcW w:w="1400" w:type="dxa"/>
            <w:vAlign w:val="bottom"/>
          </w:tcPr>
          <w:p>
            <w:pPr>
              <w:ind w:left="60"/>
              <w:spacing w:after="0" w:line="126"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line="126" w:lineRule="exact"/>
              <w:rPr>
                <w:sz w:val="20"/>
                <w:szCs w:val="20"/>
                <w:color w:val="auto"/>
              </w:rPr>
            </w:pPr>
            <w:r>
              <w:rPr>
                <w:rFonts w:ascii="Arial" w:cs="Arial" w:eastAsia="Arial" w:hAnsi="Arial"/>
                <w:sz w:val="13"/>
                <w:szCs w:val="13"/>
                <w:color w:val="auto"/>
                <w:w w:val="96"/>
              </w:rPr>
              <w:t>2033 / 2034</w:t>
            </w:r>
          </w:p>
        </w:tc>
        <w:tc>
          <w:tcPr>
            <w:tcW w:w="1020" w:type="dxa"/>
            <w:vAlign w:val="bottom"/>
          </w:tcPr>
          <w:p>
            <w:pPr>
              <w:jc w:val="center"/>
              <w:ind w:right="77"/>
              <w:spacing w:after="0" w:line="126" w:lineRule="exact"/>
              <w:rPr>
                <w:sz w:val="20"/>
                <w:szCs w:val="20"/>
                <w:color w:val="auto"/>
              </w:rPr>
            </w:pPr>
            <w:r>
              <w:rPr>
                <w:rFonts w:ascii="Arial" w:cs="Arial" w:eastAsia="Arial" w:hAnsi="Arial"/>
                <w:sz w:val="13"/>
                <w:szCs w:val="13"/>
                <w:color w:val="auto"/>
                <w:w w:val="98"/>
              </w:rPr>
              <w:t>1991 / 2020</w:t>
            </w:r>
          </w:p>
        </w:tc>
        <w:tc>
          <w:tcPr>
            <w:tcW w:w="880" w:type="dxa"/>
            <w:vAlign w:val="bottom"/>
          </w:tcPr>
          <w:p>
            <w:pPr>
              <w:jc w:val="right"/>
              <w:spacing w:after="0" w:line="126" w:lineRule="exact"/>
              <w:rPr>
                <w:sz w:val="20"/>
                <w:szCs w:val="20"/>
                <w:color w:val="auto"/>
              </w:rPr>
            </w:pPr>
            <w:r>
              <w:rPr>
                <w:rFonts w:ascii="Arial" w:cs="Arial" w:eastAsia="Arial" w:hAnsi="Arial"/>
                <w:sz w:val="13"/>
                <w:szCs w:val="13"/>
                <w:color w:val="auto"/>
              </w:rPr>
              <w:t>95,273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color w:val="auto"/>
              </w:rPr>
              <w:t>3,364,379</w:t>
            </w:r>
          </w:p>
        </w:tc>
        <w:tc>
          <w:tcPr>
            <w:tcW w:w="1220" w:type="dxa"/>
            <w:vAlign w:val="bottom"/>
            <w:gridSpan w:val="3"/>
          </w:tcPr>
          <w:p>
            <w:pPr>
              <w:jc w:val="right"/>
              <w:ind w:right="20"/>
              <w:spacing w:after="0" w:line="126" w:lineRule="exact"/>
              <w:rPr>
                <w:sz w:val="20"/>
                <w:szCs w:val="20"/>
                <w:color w:val="auto"/>
              </w:rPr>
            </w:pPr>
            <w:r>
              <w:rPr>
                <w:rFonts w:ascii="Arial" w:cs="Arial" w:eastAsia="Arial" w:hAnsi="Arial"/>
                <w:sz w:val="13"/>
                <w:szCs w:val="13"/>
                <w:color w:val="auto"/>
              </w:rPr>
              <w:t>0.9%</w:t>
            </w:r>
          </w:p>
        </w:tc>
        <w:tc>
          <w:tcPr>
            <w:tcW w:w="2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Arial" w:cs="Arial" w:eastAsia="Arial" w:hAnsi="Arial"/>
                <w:sz w:val="13"/>
                <w:szCs w:val="13"/>
                <w:color w:val="auto"/>
              </w:rPr>
              <w:t>35.31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SVA - Glen Allen I</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Glen Allen, VA</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0"/>
              </w:rPr>
              <w:t>2034</w:t>
            </w:r>
            <w:r>
              <w:rPr>
                <w:rFonts w:ascii="Arial" w:cs="Arial" w:eastAsia="Arial" w:hAnsi="Arial"/>
                <w:sz w:val="16"/>
                <w:szCs w:val="16"/>
                <w:color w:val="auto"/>
                <w:w w:val="90"/>
                <w:vertAlign w:val="superscript"/>
              </w:rPr>
              <w:t>(7)</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127,500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3,113,404</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24.42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Wake County II - Cary</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Cary, NC</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line="142" w:lineRule="exact"/>
              <w:rPr>
                <w:sz w:val="20"/>
                <w:szCs w:val="20"/>
                <w:color w:val="auto"/>
              </w:rPr>
            </w:pPr>
            <w:r>
              <w:rPr>
                <w:rFonts w:ascii="Arial" w:cs="Arial" w:eastAsia="Arial" w:hAnsi="Arial"/>
                <w:sz w:val="13"/>
                <w:szCs w:val="13"/>
                <w:color w:val="auto"/>
                <w:w w:val="87"/>
              </w:rPr>
              <w:t>2034</w:t>
            </w:r>
            <w:r>
              <w:rPr>
                <w:rFonts w:ascii="Arial" w:cs="Arial" w:eastAsia="Arial" w:hAnsi="Arial"/>
                <w:sz w:val="16"/>
                <w:szCs w:val="16"/>
                <w:color w:val="auto"/>
                <w:w w:val="87"/>
                <w:vertAlign w:val="superscript"/>
              </w:rPr>
              <w:t>(11)</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1994</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98,340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2,967,871</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NM - Albuquerque</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Albuquerque, NM</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line="142" w:lineRule="exact"/>
              <w:rPr>
                <w:sz w:val="20"/>
                <w:szCs w:val="20"/>
                <w:color w:val="auto"/>
              </w:rPr>
            </w:pPr>
            <w:r>
              <w:rPr>
                <w:rFonts w:ascii="Arial" w:cs="Arial" w:eastAsia="Arial" w:hAnsi="Arial"/>
                <w:sz w:val="13"/>
                <w:szCs w:val="13"/>
                <w:color w:val="auto"/>
                <w:w w:val="90"/>
              </w:rPr>
              <w:t>2036</w:t>
            </w:r>
            <w:r>
              <w:rPr>
                <w:rFonts w:ascii="Arial" w:cs="Arial" w:eastAsia="Arial" w:hAnsi="Arial"/>
                <w:sz w:val="16"/>
                <w:szCs w:val="16"/>
                <w:color w:val="auto"/>
                <w:w w:val="90"/>
                <w:vertAlign w:val="superscript"/>
              </w:rPr>
              <w:t>(7)</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2006</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32,534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2,344,699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0.6%</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72.07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gridSpan w:val="2"/>
          </w:tcPr>
          <w:p>
            <w:pPr>
              <w:spacing w:after="0" w:line="142" w:lineRule="exact"/>
              <w:rPr>
                <w:sz w:val="20"/>
                <w:szCs w:val="20"/>
                <w:color w:val="auto"/>
              </w:rPr>
            </w:pPr>
            <w:r>
              <w:rPr>
                <w:rFonts w:ascii="Arial" w:cs="Arial" w:eastAsia="Arial" w:hAnsi="Arial"/>
                <w:sz w:val="13"/>
                <w:szCs w:val="13"/>
                <w:color w:val="auto"/>
              </w:rPr>
              <w:t>Wake County I - Cary</w:t>
            </w:r>
          </w:p>
        </w:tc>
        <w:tc>
          <w:tcPr>
            <w:tcW w:w="2200" w:type="dxa"/>
            <w:vAlign w:val="bottom"/>
          </w:tcPr>
          <w:p>
            <w:pPr>
              <w:ind w:left="220"/>
              <w:spacing w:after="0" w:line="142" w:lineRule="exact"/>
              <w:rPr>
                <w:sz w:val="20"/>
                <w:szCs w:val="20"/>
                <w:color w:val="auto"/>
              </w:rPr>
            </w:pPr>
            <w:r>
              <w:rPr>
                <w:rFonts w:ascii="Arial" w:cs="Arial" w:eastAsia="Arial" w:hAnsi="Arial"/>
                <w:sz w:val="13"/>
                <w:szCs w:val="13"/>
                <w:color w:val="auto"/>
              </w:rPr>
              <w:t>Cary, NC</w:t>
            </w:r>
          </w:p>
        </w:tc>
        <w:tc>
          <w:tcPr>
            <w:tcW w:w="1400" w:type="dxa"/>
            <w:vAlign w:val="bottom"/>
          </w:tcPr>
          <w:p>
            <w:pPr>
              <w:ind w:left="60"/>
              <w:spacing w:after="0" w:line="142" w:lineRule="exact"/>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line="142" w:lineRule="exact"/>
              <w:rPr>
                <w:sz w:val="20"/>
                <w:szCs w:val="20"/>
                <w:color w:val="auto"/>
              </w:rPr>
            </w:pPr>
            <w:r>
              <w:rPr>
                <w:rFonts w:ascii="Arial" w:cs="Arial" w:eastAsia="Arial" w:hAnsi="Arial"/>
                <w:sz w:val="13"/>
                <w:szCs w:val="13"/>
                <w:color w:val="auto"/>
                <w:w w:val="87"/>
              </w:rPr>
              <w:t>2034</w:t>
            </w:r>
            <w:r>
              <w:rPr>
                <w:rFonts w:ascii="Arial" w:cs="Arial" w:eastAsia="Arial" w:hAnsi="Arial"/>
                <w:sz w:val="16"/>
                <w:szCs w:val="16"/>
                <w:color w:val="auto"/>
                <w:w w:val="87"/>
                <w:vertAlign w:val="superscript"/>
              </w:rPr>
              <w:t>(11)</w:t>
            </w:r>
          </w:p>
        </w:tc>
        <w:tc>
          <w:tcPr>
            <w:tcW w:w="10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1991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75,401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2,226,569</w:t>
            </w:r>
          </w:p>
        </w:tc>
        <w:tc>
          <w:tcPr>
            <w:tcW w:w="1220" w:type="dxa"/>
            <w:vAlign w:val="bottom"/>
            <w:gridSpan w:val="3"/>
          </w:tcPr>
          <w:p>
            <w:pPr>
              <w:jc w:val="right"/>
              <w:ind w:right="20"/>
              <w:spacing w:after="0" w:line="142" w:lineRule="exact"/>
              <w:rPr>
                <w:sz w:val="20"/>
                <w:szCs w:val="20"/>
                <w:color w:val="auto"/>
              </w:rPr>
            </w:pPr>
            <w:r>
              <w:rPr>
                <w:rFonts w:ascii="Arial" w:cs="Arial" w:eastAsia="Arial" w:hAnsi="Arial"/>
                <w:sz w:val="13"/>
                <w:szCs w:val="13"/>
                <w:color w:val="auto"/>
              </w:rPr>
              <w:t>0.6%</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29.53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80" w:type="dxa"/>
            <w:vAlign w:val="bottom"/>
            <w:gridSpan w:val="2"/>
          </w:tcPr>
          <w:p>
            <w:pPr>
              <w:spacing w:after="0"/>
              <w:rPr>
                <w:sz w:val="20"/>
                <w:szCs w:val="20"/>
                <w:color w:val="auto"/>
              </w:rPr>
            </w:pPr>
            <w:r>
              <w:rPr>
                <w:rFonts w:ascii="Arial" w:cs="Arial" w:eastAsia="Arial" w:hAnsi="Arial"/>
                <w:sz w:val="13"/>
                <w:szCs w:val="13"/>
                <w:color w:val="auto"/>
              </w:rPr>
              <w:t>SVA - Glen Allen II</w:t>
            </w:r>
          </w:p>
        </w:tc>
        <w:tc>
          <w:tcPr>
            <w:tcW w:w="2200" w:type="dxa"/>
            <w:vAlign w:val="bottom"/>
          </w:tcPr>
          <w:p>
            <w:pPr>
              <w:ind w:left="220"/>
              <w:spacing w:after="0"/>
              <w:rPr>
                <w:sz w:val="20"/>
                <w:szCs w:val="20"/>
                <w:color w:val="auto"/>
              </w:rPr>
            </w:pPr>
            <w:r>
              <w:rPr>
                <w:rFonts w:ascii="Arial" w:cs="Arial" w:eastAsia="Arial" w:hAnsi="Arial"/>
                <w:sz w:val="13"/>
                <w:szCs w:val="13"/>
                <w:color w:val="auto"/>
              </w:rPr>
              <w:t>Glen Allen, VA</w:t>
            </w:r>
          </w:p>
        </w:tc>
        <w:tc>
          <w:tcPr>
            <w:tcW w:w="1400" w:type="dxa"/>
            <w:vAlign w:val="bottom"/>
          </w:tcPr>
          <w:p>
            <w:pPr>
              <w:ind w:left="60"/>
              <w:spacing w:after="0"/>
              <w:rPr>
                <w:sz w:val="20"/>
                <w:szCs w:val="20"/>
                <w:color w:val="auto"/>
              </w:rPr>
            </w:pPr>
            <w:r>
              <w:rPr>
                <w:rFonts w:ascii="Arial" w:cs="Arial" w:eastAsia="Arial" w:hAnsi="Arial"/>
                <w:sz w:val="13"/>
                <w:szCs w:val="13"/>
                <w:color w:val="auto"/>
              </w:rPr>
              <w:t>Office</w:t>
            </w:r>
          </w:p>
        </w:tc>
        <w:tc>
          <w:tcPr>
            <w:tcW w:w="1100" w:type="dxa"/>
            <w:vAlign w:val="bottom"/>
          </w:tcPr>
          <w:p>
            <w:pPr>
              <w:jc w:val="center"/>
              <w:ind w:left="97"/>
              <w:spacing w:after="0"/>
              <w:rPr>
                <w:sz w:val="20"/>
                <w:szCs w:val="20"/>
                <w:color w:val="auto"/>
              </w:rPr>
            </w:pPr>
            <w:r>
              <w:rPr>
                <w:rFonts w:ascii="Arial" w:cs="Arial" w:eastAsia="Arial" w:hAnsi="Arial"/>
                <w:sz w:val="13"/>
                <w:szCs w:val="13"/>
                <w:color w:val="auto"/>
                <w:w w:val="90"/>
              </w:rPr>
              <w:t>2036</w:t>
            </w:r>
            <w:r>
              <w:rPr>
                <w:rFonts w:ascii="Arial" w:cs="Arial" w:eastAsia="Arial" w:hAnsi="Arial"/>
                <w:sz w:val="16"/>
                <w:szCs w:val="16"/>
                <w:color w:val="auto"/>
                <w:w w:val="90"/>
                <w:vertAlign w:val="superscript"/>
              </w:rPr>
              <w:t>(7)</w:t>
            </w:r>
          </w:p>
        </w:tc>
        <w:tc>
          <w:tcPr>
            <w:tcW w:w="1020" w:type="dxa"/>
            <w:vAlign w:val="bottom"/>
          </w:tcPr>
          <w:p>
            <w:pPr>
              <w:jc w:val="center"/>
              <w:ind w:right="77"/>
              <w:spacing w:after="0"/>
              <w:rPr>
                <w:sz w:val="20"/>
                <w:szCs w:val="20"/>
                <w:color w:val="auto"/>
              </w:rPr>
            </w:pPr>
            <w:r>
              <w:rPr>
                <w:rFonts w:ascii="Arial" w:cs="Arial" w:eastAsia="Arial" w:hAnsi="Arial"/>
                <w:sz w:val="13"/>
                <w:szCs w:val="13"/>
                <w:color w:val="auto"/>
                <w:w w:val="96"/>
              </w:rPr>
              <w:t>1999</w:t>
            </w:r>
          </w:p>
        </w:tc>
        <w:tc>
          <w:tcPr>
            <w:tcW w:w="880" w:type="dxa"/>
            <w:vAlign w:val="bottom"/>
          </w:tcPr>
          <w:p>
            <w:pPr>
              <w:jc w:val="right"/>
              <w:spacing w:after="0"/>
              <w:rPr>
                <w:sz w:val="20"/>
                <w:szCs w:val="20"/>
                <w:color w:val="auto"/>
              </w:rPr>
            </w:pPr>
            <w:r>
              <w:rPr>
                <w:rFonts w:ascii="Arial" w:cs="Arial" w:eastAsia="Arial" w:hAnsi="Arial"/>
                <w:sz w:val="13"/>
                <w:szCs w:val="13"/>
                <w:color w:val="auto"/>
              </w:rPr>
              <w:t>46,147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1,089,563</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0.3%</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Subtotal</w:t>
            </w:r>
          </w:p>
        </w:tc>
        <w:tc>
          <w:tcPr>
            <w:tcW w:w="22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jc w:val="right"/>
              <w:spacing w:after="0" w:line="126" w:lineRule="exact"/>
              <w:rPr>
                <w:sz w:val="20"/>
                <w:szCs w:val="20"/>
                <w:color w:val="auto"/>
              </w:rPr>
            </w:pPr>
            <w:r>
              <w:rPr>
                <w:rFonts w:ascii="Arial" w:cs="Arial" w:eastAsia="Arial" w:hAnsi="Arial"/>
                <w:sz w:val="13"/>
                <w:szCs w:val="13"/>
                <w:b w:val="1"/>
                <w:bCs w:val="1"/>
                <w:color w:val="auto"/>
              </w:rPr>
              <w:t>36,730,46</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480" w:type="dxa"/>
            <w:vAlign w:val="bottom"/>
            <w:gridSpan w:val="2"/>
            <w:vMerge w:val="continue"/>
          </w:tcPr>
          <w:p>
            <w:pPr>
              <w:spacing w:after="0"/>
              <w:rPr>
                <w:sz w:val="8"/>
                <w:szCs w:val="8"/>
                <w:color w:val="auto"/>
              </w:rPr>
            </w:pPr>
          </w:p>
        </w:tc>
        <w:tc>
          <w:tcPr>
            <w:tcW w:w="22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873,605</w:t>
            </w:r>
          </w:p>
        </w:tc>
        <w:tc>
          <w:tcPr>
            <w:tcW w:w="3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w:t>
            </w:r>
          </w:p>
        </w:tc>
        <w:tc>
          <w:tcPr>
            <w:tcW w:w="1220" w:type="dxa"/>
            <w:vAlign w:val="bottom"/>
            <w:gridSpan w:val="3"/>
            <w:vMerge w:val="restart"/>
          </w:tcPr>
          <w:p>
            <w:pPr>
              <w:jc w:val="right"/>
              <w:ind w:right="20"/>
              <w:spacing w:after="0"/>
              <w:rPr>
                <w:sz w:val="20"/>
                <w:szCs w:val="20"/>
                <w:color w:val="auto"/>
              </w:rPr>
            </w:pPr>
            <w:r>
              <w:rPr>
                <w:rFonts w:ascii="Arial" w:cs="Arial" w:eastAsia="Arial" w:hAnsi="Arial"/>
                <w:sz w:val="13"/>
                <w:szCs w:val="13"/>
                <w:b w:val="1"/>
                <w:bCs w:val="1"/>
                <w:color w:val="auto"/>
              </w:rPr>
              <w:t>9.4%</w:t>
            </w:r>
          </w:p>
        </w:tc>
        <w:tc>
          <w:tcPr>
            <w:tcW w:w="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42.04</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33" w:name="page34"/>
    <w:bookmarkEnd w:id="33"/>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Leased Operating Property Overview (Cont.)</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6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tcPr>
          <w:p>
            <w:pPr>
              <w:jc w:val="center"/>
              <w:ind w:left="97"/>
              <w:spacing w:after="0"/>
              <w:rPr>
                <w:sz w:val="20"/>
                <w:szCs w:val="20"/>
                <w:color w:val="auto"/>
              </w:rPr>
            </w:pPr>
            <w:r>
              <w:rPr>
                <w:rFonts w:ascii="Arial" w:cs="Arial" w:eastAsia="Arial" w:hAnsi="Arial"/>
                <w:sz w:val="13"/>
                <w:szCs w:val="13"/>
                <w:b w:val="1"/>
                <w:bCs w:val="1"/>
                <w:color w:val="auto"/>
                <w:w w:val="98"/>
              </w:rPr>
              <w:t>Tenant</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b w:val="1"/>
                <w:bCs w:val="1"/>
                <w:color w:val="auto"/>
                <w:w w:val="97"/>
              </w:rPr>
              <w:t>Lease</w:t>
            </w:r>
          </w:p>
        </w:tc>
        <w:tc>
          <w:tcPr>
            <w:tcW w:w="10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Leased</w:t>
            </w: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jc w:val="center"/>
              <w:ind w:left="97"/>
              <w:spacing w:after="0" w:line="142" w:lineRule="exact"/>
              <w:rPr>
                <w:sz w:val="20"/>
                <w:szCs w:val="20"/>
                <w:color w:val="auto"/>
              </w:rPr>
            </w:pPr>
            <w:r>
              <w:rPr>
                <w:rFonts w:ascii="Arial" w:cs="Arial" w:eastAsia="Arial" w:hAnsi="Arial"/>
                <w:sz w:val="13"/>
                <w:szCs w:val="13"/>
                <w:b w:val="1"/>
                <w:bCs w:val="1"/>
                <w:color w:val="auto"/>
                <w:w w:val="97"/>
              </w:rPr>
              <w:t>Expiration</w:t>
            </w:r>
          </w:p>
        </w:tc>
        <w:tc>
          <w:tcPr>
            <w:tcW w:w="1040" w:type="dxa"/>
            <w:vAlign w:val="bottom"/>
          </w:tcPr>
          <w:p>
            <w:pPr>
              <w:ind w:left="120"/>
              <w:spacing w:after="0" w:line="142" w:lineRule="exact"/>
              <w:rPr>
                <w:sz w:val="20"/>
                <w:szCs w:val="20"/>
                <w:color w:val="auto"/>
              </w:rPr>
            </w:pPr>
            <w:r>
              <w:rPr>
                <w:rFonts w:ascii="Arial" w:cs="Arial" w:eastAsia="Arial" w:hAnsi="Arial"/>
                <w:sz w:val="13"/>
                <w:szCs w:val="13"/>
                <w:b w:val="1"/>
                <w:bCs w:val="1"/>
                <w:color w:val="auto"/>
              </w:rPr>
              <w:t>Year Built /</w:t>
            </w: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9"/>
              </w:rPr>
              <w:t>Square</w:t>
            </w:r>
          </w:p>
        </w:tc>
        <w:tc>
          <w:tcPr>
            <w:tcW w:w="0" w:type="dxa"/>
            <w:vAlign w:val="bottom"/>
          </w:tcPr>
          <w:p>
            <w:pPr>
              <w:spacing w:after="0"/>
              <w:rPr>
                <w:sz w:val="1"/>
                <w:szCs w:val="1"/>
                <w:color w:val="auto"/>
              </w:rPr>
            </w:pPr>
          </w:p>
        </w:tc>
      </w:tr>
      <w:tr>
        <w:trPr>
          <w:trHeight w:val="150"/>
        </w:trPr>
        <w:tc>
          <w:tcPr>
            <w:tcW w:w="1600" w:type="dxa"/>
            <w:vAlign w:val="bottom"/>
            <w:tcBorders>
              <w:bottom w:val="single" w:sz="8" w:color="2B4B86"/>
            </w:tcBorders>
          </w:tcPr>
          <w:p>
            <w:pPr>
              <w:spacing w:after="0"/>
              <w:rPr>
                <w:sz w:val="20"/>
                <w:szCs w:val="20"/>
                <w:color w:val="auto"/>
              </w:rPr>
            </w:pPr>
            <w:r>
              <w:rPr>
                <w:rFonts w:ascii="Arial" w:cs="Arial" w:eastAsia="Arial" w:hAnsi="Arial"/>
                <w:sz w:val="13"/>
                <w:szCs w:val="13"/>
                <w:b w:val="1"/>
                <w:bCs w:val="1"/>
                <w:color w:val="auto"/>
              </w:rPr>
              <w:t>Property Name</w:t>
            </w:r>
          </w:p>
        </w:tc>
        <w:tc>
          <w:tcPr>
            <w:tcW w:w="1800" w:type="dxa"/>
            <w:vAlign w:val="bottom"/>
            <w:tcBorders>
              <w:bottom w:val="single" w:sz="8" w:color="2B4B86"/>
            </w:tcBorders>
          </w:tcPr>
          <w:p>
            <w:pPr>
              <w:ind w:left="100"/>
              <w:spacing w:after="0"/>
              <w:rPr>
                <w:sz w:val="20"/>
                <w:szCs w:val="20"/>
                <w:color w:val="auto"/>
              </w:rPr>
            </w:pPr>
            <w:r>
              <w:rPr>
                <w:rFonts w:ascii="Arial" w:cs="Arial" w:eastAsia="Arial" w:hAnsi="Arial"/>
                <w:sz w:val="13"/>
                <w:szCs w:val="13"/>
                <w:b w:val="1"/>
                <w:bCs w:val="1"/>
                <w:color w:val="auto"/>
              </w:rPr>
              <w:t>Location</w:t>
            </w:r>
          </w:p>
        </w:tc>
        <w:tc>
          <w:tcPr>
            <w:tcW w:w="1700" w:type="dxa"/>
            <w:vAlign w:val="bottom"/>
            <w:tcBorders>
              <w:bottom w:val="single" w:sz="8" w:color="2B4B86"/>
            </w:tcBorders>
          </w:tcPr>
          <w:p>
            <w:pPr>
              <w:ind w:left="340"/>
              <w:spacing w:after="0"/>
              <w:rPr>
                <w:sz w:val="20"/>
                <w:szCs w:val="20"/>
                <w:color w:val="auto"/>
              </w:rPr>
            </w:pPr>
            <w:r>
              <w:rPr>
                <w:rFonts w:ascii="Arial" w:cs="Arial" w:eastAsia="Arial" w:hAnsi="Arial"/>
                <w:sz w:val="13"/>
                <w:szCs w:val="13"/>
                <w:b w:val="1"/>
                <w:bCs w:val="1"/>
                <w:color w:val="auto"/>
              </w:rPr>
              <w:t>Property Type</w:t>
            </w:r>
          </w:p>
        </w:tc>
        <w:tc>
          <w:tcPr>
            <w:tcW w:w="1060" w:type="dxa"/>
            <w:vAlign w:val="bottom"/>
            <w:tcBorders>
              <w:bottom w:val="single" w:sz="8" w:color="2B4B86"/>
            </w:tcBorders>
          </w:tcPr>
          <w:p>
            <w:pPr>
              <w:jc w:val="center"/>
              <w:ind w:left="97"/>
              <w:spacing w:after="0"/>
              <w:rPr>
                <w:sz w:val="20"/>
                <w:szCs w:val="20"/>
                <w:color w:val="auto"/>
              </w:rPr>
            </w:pPr>
            <w:r>
              <w:rPr>
                <w:rFonts w:ascii="Arial" w:cs="Arial" w:eastAsia="Arial" w:hAnsi="Arial"/>
                <w:sz w:val="13"/>
                <w:szCs w:val="13"/>
                <w:b w:val="1"/>
                <w:bCs w:val="1"/>
                <w:color w:val="auto"/>
                <w:w w:val="92"/>
              </w:rPr>
              <w:t>Year</w:t>
            </w:r>
          </w:p>
        </w:tc>
        <w:tc>
          <w:tcPr>
            <w:tcW w:w="1040" w:type="dxa"/>
            <w:vAlign w:val="bottom"/>
            <w:tcBorders>
              <w:bottom w:val="single" w:sz="8" w:color="2B4B86"/>
            </w:tcBorders>
          </w:tcPr>
          <w:p>
            <w:pPr>
              <w:ind w:left="140"/>
              <w:spacing w:after="0"/>
              <w:rPr>
                <w:sz w:val="20"/>
                <w:szCs w:val="20"/>
                <w:color w:val="auto"/>
              </w:rPr>
            </w:pPr>
            <w:r>
              <w:rPr>
                <w:rFonts w:ascii="Arial" w:cs="Arial" w:eastAsia="Arial" w:hAnsi="Arial"/>
                <w:sz w:val="13"/>
                <w:szCs w:val="13"/>
                <w:b w:val="1"/>
                <w:bCs w:val="1"/>
                <w:color w:val="auto"/>
              </w:rPr>
              <w:t>Renovated</w:t>
            </w:r>
          </w:p>
        </w:tc>
        <w:tc>
          <w:tcPr>
            <w:tcW w:w="88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Feet</w:t>
            </w:r>
          </w:p>
        </w:tc>
        <w:tc>
          <w:tcPr>
            <w:tcW w:w="0" w:type="dxa"/>
            <w:vAlign w:val="bottom"/>
          </w:tcPr>
          <w:p>
            <w:pPr>
              <w:spacing w:after="0"/>
              <w:rPr>
                <w:sz w:val="1"/>
                <w:szCs w:val="1"/>
                <w:color w:val="auto"/>
              </w:rPr>
            </w:pPr>
          </w:p>
        </w:tc>
      </w:tr>
      <w:tr>
        <w:trPr>
          <w:trHeight w:val="126"/>
        </w:trPr>
        <w:tc>
          <w:tcPr>
            <w:tcW w:w="340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Wholly Owned Privately Leased Property</w:t>
            </w:r>
          </w:p>
        </w:tc>
        <w:tc>
          <w:tcPr>
            <w:tcW w:w="1700" w:type="dxa"/>
            <w:vAlign w:val="bottom"/>
          </w:tcPr>
          <w:p>
            <w:pPr>
              <w:spacing w:after="0"/>
              <w:rPr>
                <w:sz w:val="10"/>
                <w:szCs w:val="10"/>
                <w:color w:val="auto"/>
              </w:rPr>
            </w:pPr>
          </w:p>
        </w:tc>
        <w:tc>
          <w:tcPr>
            <w:tcW w:w="1060" w:type="dxa"/>
            <w:vAlign w:val="bottom"/>
            <w:vMerge w:val="restart"/>
          </w:tcPr>
          <w:p>
            <w:pPr>
              <w:jc w:val="center"/>
              <w:ind w:left="97"/>
              <w:spacing w:after="0"/>
              <w:rPr>
                <w:sz w:val="20"/>
                <w:szCs w:val="20"/>
                <w:color w:val="auto"/>
              </w:rPr>
            </w:pPr>
            <w:r>
              <w:rPr>
                <w:rFonts w:ascii="Arial" w:cs="Arial" w:eastAsia="Arial" w:hAnsi="Arial"/>
                <w:sz w:val="13"/>
                <w:szCs w:val="13"/>
                <w:color w:val="auto"/>
                <w:w w:val="90"/>
              </w:rPr>
              <w:t>2031</w:t>
            </w:r>
            <w:r>
              <w:rPr>
                <w:rFonts w:ascii="Arial" w:cs="Arial" w:eastAsia="Arial" w:hAnsi="Arial"/>
                <w:sz w:val="16"/>
                <w:szCs w:val="16"/>
                <w:color w:val="auto"/>
                <w:w w:val="90"/>
                <w:vertAlign w:val="superscript"/>
              </w:rPr>
              <w:t>(5)</w:t>
            </w: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York Space Systems -</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Greenwood Village, CO</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Specialized Facility</w:t>
            </w:r>
          </w:p>
        </w:tc>
        <w:tc>
          <w:tcPr>
            <w:tcW w:w="106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600" w:type="dxa"/>
            <w:vAlign w:val="bottom"/>
          </w:tcPr>
          <w:p>
            <w:pPr>
              <w:spacing w:after="0"/>
              <w:rPr>
                <w:sz w:val="20"/>
                <w:szCs w:val="20"/>
                <w:color w:val="auto"/>
              </w:rPr>
            </w:pPr>
            <w:r>
              <w:rPr>
                <w:rFonts w:ascii="Arial" w:cs="Arial" w:eastAsia="Arial" w:hAnsi="Arial"/>
                <w:sz w:val="13"/>
                <w:szCs w:val="13"/>
                <w:color w:val="auto"/>
              </w:rPr>
              <w:t>Greenwood Village</w:t>
            </w:r>
          </w:p>
        </w:tc>
        <w:tc>
          <w:tcPr>
            <w:tcW w:w="1800" w:type="dxa"/>
            <w:vAlign w:val="bottom"/>
            <w:vMerge w:val="restart"/>
          </w:tcPr>
          <w:p>
            <w:pPr>
              <w:ind w:left="100"/>
              <w:spacing w:after="0"/>
              <w:rPr>
                <w:sz w:val="20"/>
                <w:szCs w:val="20"/>
                <w:color w:val="auto"/>
              </w:rPr>
            </w:pPr>
            <w:r>
              <w:rPr>
                <w:rFonts w:ascii="Arial" w:cs="Arial" w:eastAsia="Arial" w:hAnsi="Arial"/>
                <w:sz w:val="13"/>
                <w:szCs w:val="13"/>
                <w:color w:val="auto"/>
              </w:rPr>
              <w:t>Glen Allen, VA</w:t>
            </w:r>
          </w:p>
        </w:tc>
        <w:tc>
          <w:tcPr>
            <w:tcW w:w="1700" w:type="dxa"/>
            <w:vAlign w:val="bottom"/>
            <w:vMerge w:val="restart"/>
          </w:tcPr>
          <w:p>
            <w:pPr>
              <w:ind w:left="340"/>
              <w:spacing w:after="0"/>
              <w:rPr>
                <w:sz w:val="20"/>
                <w:szCs w:val="20"/>
                <w:color w:val="auto"/>
              </w:rPr>
            </w:pPr>
            <w:r>
              <w:rPr>
                <w:rFonts w:ascii="Arial" w:cs="Arial" w:eastAsia="Arial" w:hAnsi="Arial"/>
                <w:sz w:val="13"/>
                <w:szCs w:val="13"/>
                <w:color w:val="auto"/>
              </w:rPr>
              <w:t>Office</w:t>
            </w:r>
          </w:p>
        </w:tc>
        <w:tc>
          <w:tcPr>
            <w:tcW w:w="1060" w:type="dxa"/>
            <w:vAlign w:val="bottom"/>
            <w:vMerge w:val="restart"/>
          </w:tcPr>
          <w:p>
            <w:pPr>
              <w:jc w:val="center"/>
              <w:ind w:left="57"/>
              <w:spacing w:after="0"/>
              <w:rPr>
                <w:sz w:val="20"/>
                <w:szCs w:val="20"/>
                <w:color w:val="auto"/>
              </w:rPr>
            </w:pPr>
            <w:r>
              <w:rPr>
                <w:rFonts w:ascii="Arial" w:cs="Arial" w:eastAsia="Arial" w:hAnsi="Arial"/>
                <w:sz w:val="13"/>
                <w:szCs w:val="13"/>
                <w:color w:val="auto"/>
                <w:w w:val="92"/>
              </w:rPr>
              <w:t>2027 -</w:t>
            </w:r>
          </w:p>
        </w:tc>
        <w:tc>
          <w:tcPr>
            <w:tcW w:w="1040" w:type="dxa"/>
            <w:vAlign w:val="bottom"/>
          </w:tcPr>
          <w:p>
            <w:pPr>
              <w:jc w:val="center"/>
              <w:ind w:right="57"/>
              <w:spacing w:after="0"/>
              <w:rPr>
                <w:sz w:val="20"/>
                <w:szCs w:val="20"/>
                <w:color w:val="auto"/>
              </w:rPr>
            </w:pPr>
            <w:r>
              <w:rPr>
                <w:rFonts w:ascii="Arial" w:cs="Arial" w:eastAsia="Arial" w:hAnsi="Arial"/>
                <w:sz w:val="13"/>
                <w:szCs w:val="13"/>
                <w:color w:val="auto"/>
                <w:w w:val="98"/>
              </w:rPr>
              <w:t>1982 / 2020</w:t>
            </w:r>
          </w:p>
        </w:tc>
        <w:tc>
          <w:tcPr>
            <w:tcW w:w="880" w:type="dxa"/>
            <w:vAlign w:val="bottom"/>
          </w:tcPr>
          <w:p>
            <w:pPr>
              <w:jc w:val="right"/>
              <w:spacing w:after="0"/>
              <w:rPr>
                <w:sz w:val="20"/>
                <w:szCs w:val="20"/>
                <w:color w:val="auto"/>
              </w:rPr>
            </w:pPr>
            <w:r>
              <w:rPr>
                <w:rFonts w:ascii="Arial" w:cs="Arial" w:eastAsia="Arial" w:hAnsi="Arial"/>
                <w:sz w:val="13"/>
                <w:szCs w:val="13"/>
                <w:color w:val="auto"/>
              </w:rPr>
              <w:t>138,125</w:t>
            </w:r>
          </w:p>
        </w:tc>
        <w:tc>
          <w:tcPr>
            <w:tcW w:w="0" w:type="dxa"/>
            <w:vAlign w:val="bottom"/>
          </w:tcPr>
          <w:p>
            <w:pPr>
              <w:spacing w:after="0"/>
              <w:rPr>
                <w:sz w:val="1"/>
                <w:szCs w:val="1"/>
                <w:color w:val="auto"/>
              </w:rPr>
            </w:pPr>
          </w:p>
        </w:tc>
      </w:tr>
      <w:tr>
        <w:trPr>
          <w:trHeight w:val="102"/>
        </w:trPr>
        <w:tc>
          <w:tcPr>
            <w:tcW w:w="1600" w:type="dxa"/>
            <w:vAlign w:val="bottom"/>
          </w:tcPr>
          <w:p>
            <w:pPr>
              <w:spacing w:after="0"/>
              <w:rPr>
                <w:sz w:val="8"/>
                <w:szCs w:val="8"/>
                <w:color w:val="auto"/>
              </w:rPr>
            </w:pPr>
          </w:p>
        </w:tc>
        <w:tc>
          <w:tcPr>
            <w:tcW w:w="18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SVA - Glen Allen III</w:t>
            </w: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jc w:val="center"/>
              <w:ind w:left="97"/>
              <w:spacing w:after="0" w:line="142" w:lineRule="exact"/>
              <w:rPr>
                <w:sz w:val="20"/>
                <w:szCs w:val="20"/>
                <w:color w:val="auto"/>
              </w:rPr>
            </w:pPr>
            <w:r>
              <w:rPr>
                <w:rFonts w:ascii="Arial" w:cs="Arial" w:eastAsia="Arial" w:hAnsi="Arial"/>
                <w:sz w:val="13"/>
                <w:szCs w:val="13"/>
                <w:color w:val="auto"/>
                <w:w w:val="87"/>
              </w:rPr>
              <w:t>2031</w:t>
            </w:r>
            <w:r>
              <w:rPr>
                <w:rFonts w:ascii="Arial" w:cs="Arial" w:eastAsia="Arial" w:hAnsi="Arial"/>
                <w:sz w:val="16"/>
                <w:szCs w:val="16"/>
                <w:color w:val="auto"/>
                <w:w w:val="87"/>
                <w:vertAlign w:val="superscript"/>
              </w:rPr>
              <w:t>(12)</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1999</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124,066</w:t>
            </w:r>
          </w:p>
        </w:tc>
        <w:tc>
          <w:tcPr>
            <w:tcW w:w="0" w:type="dxa"/>
            <w:vAlign w:val="bottom"/>
          </w:tcPr>
          <w:p>
            <w:pPr>
              <w:spacing w:after="0"/>
              <w:rPr>
                <w:sz w:val="1"/>
                <w:szCs w:val="1"/>
                <w:color w:val="auto"/>
              </w:rPr>
            </w:pPr>
          </w:p>
        </w:tc>
      </w:tr>
      <w:tr>
        <w:trPr>
          <w:trHeight w:val="158"/>
        </w:trPr>
        <w:tc>
          <w:tcPr>
            <w:tcW w:w="1600" w:type="dxa"/>
            <w:vAlign w:val="bottom"/>
          </w:tcPr>
          <w:p>
            <w:pPr>
              <w:spacing w:after="0"/>
              <w:rPr>
                <w:sz w:val="20"/>
                <w:szCs w:val="20"/>
                <w:color w:val="auto"/>
              </w:rPr>
            </w:pPr>
            <w:r>
              <w:rPr>
                <w:rFonts w:ascii="Arial" w:cs="Arial" w:eastAsia="Arial" w:hAnsi="Arial"/>
                <w:sz w:val="13"/>
                <w:szCs w:val="13"/>
                <w:color w:val="auto"/>
              </w:rPr>
              <w:t>Northrop Grumman -</w:t>
            </w:r>
          </w:p>
        </w:tc>
        <w:tc>
          <w:tcPr>
            <w:tcW w:w="1800" w:type="dxa"/>
            <w:vAlign w:val="bottom"/>
          </w:tcPr>
          <w:p>
            <w:pPr>
              <w:ind w:left="100"/>
              <w:spacing w:after="0"/>
              <w:rPr>
                <w:sz w:val="20"/>
                <w:szCs w:val="20"/>
                <w:color w:val="auto"/>
              </w:rPr>
            </w:pPr>
            <w:r>
              <w:rPr>
                <w:rFonts w:ascii="Arial" w:cs="Arial" w:eastAsia="Arial" w:hAnsi="Arial"/>
                <w:sz w:val="13"/>
                <w:szCs w:val="13"/>
                <w:color w:val="auto"/>
              </w:rPr>
              <w:t>Beavercreek, OH</w:t>
            </w:r>
          </w:p>
        </w:tc>
        <w:tc>
          <w:tcPr>
            <w:tcW w:w="1700" w:type="dxa"/>
            <w:vAlign w:val="bottom"/>
          </w:tcPr>
          <w:p>
            <w:pPr>
              <w:ind w:left="340"/>
              <w:spacing w:after="0"/>
              <w:rPr>
                <w:sz w:val="20"/>
                <w:szCs w:val="20"/>
                <w:color w:val="auto"/>
              </w:rPr>
            </w:pPr>
            <w:r>
              <w:rPr>
                <w:rFonts w:ascii="Arial" w:cs="Arial" w:eastAsia="Arial" w:hAnsi="Arial"/>
                <w:sz w:val="13"/>
                <w:szCs w:val="13"/>
                <w:color w:val="auto"/>
              </w:rPr>
              <w:t>Specialized Facility</w:t>
            </w:r>
          </w:p>
        </w:tc>
        <w:tc>
          <w:tcPr>
            <w:tcW w:w="1060" w:type="dxa"/>
            <w:vAlign w:val="bottom"/>
          </w:tcPr>
          <w:p>
            <w:pPr>
              <w:jc w:val="center"/>
              <w:ind w:left="97"/>
              <w:spacing w:after="0" w:line="158" w:lineRule="exact"/>
              <w:rPr>
                <w:sz w:val="20"/>
                <w:szCs w:val="20"/>
                <w:color w:val="auto"/>
              </w:rPr>
            </w:pPr>
            <w:r>
              <w:rPr>
                <w:rFonts w:ascii="Arial" w:cs="Arial" w:eastAsia="Arial" w:hAnsi="Arial"/>
                <w:sz w:val="13"/>
                <w:szCs w:val="13"/>
                <w:color w:val="auto"/>
                <w:w w:val="90"/>
              </w:rPr>
              <w:t>2029</w:t>
            </w:r>
            <w:r>
              <w:rPr>
                <w:rFonts w:ascii="Arial" w:cs="Arial" w:eastAsia="Arial" w:hAnsi="Arial"/>
                <w:sz w:val="16"/>
                <w:szCs w:val="16"/>
                <w:color w:val="auto"/>
                <w:w w:val="90"/>
                <w:vertAlign w:val="superscript"/>
              </w:rPr>
              <w:t>(7)</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Dayton</w:t>
            </w: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2012</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99,246</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Northrop Grumman -</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Aurora, CO</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Specialized Facility</w:t>
            </w:r>
          </w:p>
        </w:tc>
        <w:tc>
          <w:tcPr>
            <w:tcW w:w="1060" w:type="dxa"/>
            <w:vAlign w:val="bottom"/>
            <w:vMerge w:val="restart"/>
          </w:tcPr>
          <w:p>
            <w:pPr>
              <w:jc w:val="center"/>
              <w:ind w:left="97"/>
              <w:spacing w:after="0"/>
              <w:rPr>
                <w:sz w:val="20"/>
                <w:szCs w:val="20"/>
                <w:color w:val="auto"/>
              </w:rPr>
            </w:pPr>
            <w:r>
              <w:rPr>
                <w:rFonts w:ascii="Arial" w:cs="Arial" w:eastAsia="Arial" w:hAnsi="Arial"/>
                <w:sz w:val="13"/>
                <w:szCs w:val="13"/>
                <w:color w:val="auto"/>
                <w:w w:val="90"/>
              </w:rPr>
              <w:t>2032</w:t>
            </w:r>
            <w:r>
              <w:rPr>
                <w:rFonts w:ascii="Arial" w:cs="Arial" w:eastAsia="Arial" w:hAnsi="Arial"/>
                <w:sz w:val="16"/>
                <w:szCs w:val="16"/>
                <w:color w:val="auto"/>
                <w:w w:val="90"/>
                <w:vertAlign w:val="superscript"/>
              </w:rPr>
              <w:t>(7)</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Aurora</w:t>
            </w: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2002</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104,136</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501 East Hunter Street -</w:t>
            </w:r>
          </w:p>
        </w:tc>
        <w:tc>
          <w:tcPr>
            <w:tcW w:w="18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60" w:type="dxa"/>
            <w:vAlign w:val="bottom"/>
            <w:vMerge w:val="restart"/>
          </w:tcPr>
          <w:p>
            <w:pPr>
              <w:jc w:val="center"/>
              <w:ind w:left="97"/>
              <w:spacing w:after="0"/>
              <w:rPr>
                <w:sz w:val="20"/>
                <w:szCs w:val="20"/>
                <w:color w:val="auto"/>
              </w:rPr>
            </w:pPr>
            <w:r>
              <w:rPr>
                <w:rFonts w:ascii="Arial" w:cs="Arial" w:eastAsia="Arial" w:hAnsi="Arial"/>
                <w:sz w:val="13"/>
                <w:szCs w:val="13"/>
                <w:color w:val="auto"/>
                <w:w w:val="90"/>
              </w:rPr>
              <w:t>2028</w:t>
            </w:r>
            <w:r>
              <w:rPr>
                <w:rFonts w:ascii="Arial" w:cs="Arial" w:eastAsia="Arial" w:hAnsi="Arial"/>
                <w:sz w:val="16"/>
                <w:szCs w:val="16"/>
                <w:color w:val="auto"/>
                <w:w w:val="90"/>
                <w:vertAlign w:val="superscript"/>
              </w:rPr>
              <w:t>(7)</w:t>
            </w:r>
          </w:p>
        </w:tc>
        <w:tc>
          <w:tcPr>
            <w:tcW w:w="1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20"/>
                <w:szCs w:val="20"/>
                <w:color w:val="auto"/>
              </w:rPr>
            </w:pPr>
            <w:r>
              <w:rPr>
                <w:rFonts w:ascii="Arial" w:cs="Arial" w:eastAsia="Arial" w:hAnsi="Arial"/>
                <w:sz w:val="13"/>
                <w:szCs w:val="13"/>
                <w:color w:val="auto"/>
              </w:rPr>
              <w:t>Lummus Corporation</w:t>
            </w:r>
          </w:p>
        </w:tc>
        <w:tc>
          <w:tcPr>
            <w:tcW w:w="1800" w:type="dxa"/>
            <w:vAlign w:val="bottom"/>
          </w:tcPr>
          <w:p>
            <w:pPr>
              <w:ind w:left="100"/>
              <w:spacing w:after="0"/>
              <w:rPr>
                <w:sz w:val="20"/>
                <w:szCs w:val="20"/>
                <w:color w:val="auto"/>
              </w:rPr>
            </w:pPr>
            <w:r>
              <w:rPr>
                <w:rFonts w:ascii="Arial" w:cs="Arial" w:eastAsia="Arial" w:hAnsi="Arial"/>
                <w:sz w:val="13"/>
                <w:szCs w:val="13"/>
                <w:color w:val="auto"/>
              </w:rPr>
              <w:t>Lubbock, TX</w:t>
            </w:r>
          </w:p>
        </w:tc>
        <w:tc>
          <w:tcPr>
            <w:tcW w:w="1700" w:type="dxa"/>
            <w:vAlign w:val="bottom"/>
          </w:tcPr>
          <w:p>
            <w:pPr>
              <w:ind w:left="340"/>
              <w:spacing w:after="0"/>
              <w:rPr>
                <w:sz w:val="20"/>
                <w:szCs w:val="20"/>
                <w:color w:val="auto"/>
              </w:rPr>
            </w:pPr>
            <w:r>
              <w:rPr>
                <w:rFonts w:ascii="Arial" w:cs="Arial" w:eastAsia="Arial" w:hAnsi="Arial"/>
                <w:sz w:val="13"/>
                <w:szCs w:val="13"/>
                <w:color w:val="auto"/>
              </w:rPr>
              <w:t>Warehouse</w:t>
            </w:r>
          </w:p>
        </w:tc>
        <w:tc>
          <w:tcPr>
            <w:tcW w:w="1060" w:type="dxa"/>
            <w:vAlign w:val="bottom"/>
            <w:vMerge w:val="continue"/>
          </w:tcPr>
          <w:p>
            <w:pPr>
              <w:spacing w:after="0"/>
              <w:rPr>
                <w:sz w:val="18"/>
                <w:szCs w:val="18"/>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color w:val="auto"/>
                <w:w w:val="96"/>
              </w:rPr>
              <w:t>2013</w:t>
            </w:r>
          </w:p>
        </w:tc>
        <w:tc>
          <w:tcPr>
            <w:tcW w:w="880" w:type="dxa"/>
            <w:vAlign w:val="bottom"/>
          </w:tcPr>
          <w:p>
            <w:pPr>
              <w:jc w:val="right"/>
              <w:spacing w:after="0"/>
              <w:rPr>
                <w:sz w:val="20"/>
                <w:szCs w:val="20"/>
                <w:color w:val="auto"/>
              </w:rPr>
            </w:pPr>
            <w:r>
              <w:rPr>
                <w:rFonts w:ascii="Arial" w:cs="Arial" w:eastAsia="Arial" w:hAnsi="Arial"/>
                <w:sz w:val="13"/>
                <w:szCs w:val="13"/>
                <w:color w:val="auto"/>
              </w:rPr>
              <w:t>70,078</w:t>
            </w:r>
          </w:p>
        </w:tc>
        <w:tc>
          <w:tcPr>
            <w:tcW w:w="0" w:type="dxa"/>
            <w:vAlign w:val="bottom"/>
          </w:tcPr>
          <w:p>
            <w:pPr>
              <w:spacing w:after="0"/>
              <w:rPr>
                <w:sz w:val="1"/>
                <w:szCs w:val="1"/>
                <w:color w:val="auto"/>
              </w:rPr>
            </w:pPr>
          </w:p>
        </w:tc>
      </w:tr>
      <w:tr>
        <w:trPr>
          <w:trHeight w:val="84"/>
        </w:trPr>
        <w:tc>
          <w:tcPr>
            <w:tcW w:w="160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3"/>
                <w:szCs w:val="13"/>
                <w:b w:val="1"/>
                <w:bCs w:val="1"/>
                <w:color w:val="auto"/>
              </w:rPr>
              <w:t>Subtotal</w:t>
            </w:r>
          </w:p>
        </w:tc>
        <w:tc>
          <w:tcPr>
            <w:tcW w:w="1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535,651</w:t>
            </w:r>
          </w:p>
        </w:tc>
        <w:tc>
          <w:tcPr>
            <w:tcW w:w="0" w:type="dxa"/>
            <w:vAlign w:val="bottom"/>
          </w:tcPr>
          <w:p>
            <w:pPr>
              <w:spacing w:after="0"/>
              <w:rPr>
                <w:sz w:val="1"/>
                <w:szCs w:val="1"/>
                <w:color w:val="auto"/>
              </w:rPr>
            </w:pPr>
          </w:p>
        </w:tc>
      </w:tr>
      <w:tr>
        <w:trPr>
          <w:trHeight w:val="191"/>
        </w:trPr>
        <w:tc>
          <w:tcPr>
            <w:tcW w:w="3400" w:type="dxa"/>
            <w:vAlign w:val="bottom"/>
            <w:tcBorders>
              <w:bottom w:val="single" w:sz="8" w:color="auto"/>
            </w:tcBorders>
            <w:gridSpan w:val="2"/>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400" w:type="dxa"/>
            <w:vAlign w:val="bottom"/>
            <w:gridSpan w:val="2"/>
          </w:tcPr>
          <w:p>
            <w:pPr>
              <w:spacing w:after="0"/>
              <w:rPr>
                <w:sz w:val="20"/>
                <w:szCs w:val="20"/>
                <w:color w:val="auto"/>
              </w:rPr>
            </w:pPr>
            <w:r>
              <w:rPr>
                <w:rFonts w:ascii="Arial" w:cs="Arial" w:eastAsia="Arial" w:hAnsi="Arial"/>
                <w:sz w:val="13"/>
                <w:szCs w:val="13"/>
                <w:b w:val="1"/>
                <w:bCs w:val="1"/>
                <w:color w:val="auto"/>
              </w:rPr>
              <w:t>Wholly Owned Properties Total / Weighted Average</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9,463,706</w:t>
            </w:r>
          </w:p>
        </w:tc>
        <w:tc>
          <w:tcPr>
            <w:tcW w:w="0" w:type="dxa"/>
            <w:vAlign w:val="bottom"/>
          </w:tcPr>
          <w:p>
            <w:pPr>
              <w:spacing w:after="0"/>
              <w:rPr>
                <w:sz w:val="1"/>
                <w:szCs w:val="1"/>
                <w:color w:val="auto"/>
              </w:rPr>
            </w:pPr>
          </w:p>
        </w:tc>
      </w:tr>
      <w:tr>
        <w:trPr>
          <w:trHeight w:val="49"/>
        </w:trPr>
        <w:tc>
          <w:tcPr>
            <w:tcW w:w="5100" w:type="dxa"/>
            <w:vAlign w:val="bottom"/>
            <w:tcBorders>
              <w:bottom w:val="single" w:sz="8" w:color="auto"/>
            </w:tcBorders>
            <w:gridSpan w:val="3"/>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100" w:type="dxa"/>
            <w:vAlign w:val="bottom"/>
            <w:gridSpan w:val="3"/>
          </w:tcPr>
          <w:p>
            <w:pPr>
              <w:spacing w:after="0"/>
              <w:rPr>
                <w:sz w:val="20"/>
                <w:szCs w:val="20"/>
                <w:color w:val="auto"/>
              </w:rPr>
            </w:pPr>
            <w:r>
              <w:rPr>
                <w:rFonts w:ascii="Arial" w:cs="Arial" w:eastAsia="Arial" w:hAnsi="Arial"/>
                <w:sz w:val="13"/>
                <w:szCs w:val="13"/>
                <w:b w:val="1"/>
                <w:bCs w:val="1"/>
                <w:color w:val="auto"/>
              </w:rPr>
              <w:t>U.S Government Leased to Unconsolidated Real Estate Venture</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r>
              <w:rPr>
                <w:rFonts w:ascii="Arial" w:cs="Arial" w:eastAsia="Arial" w:hAnsi="Arial"/>
                <w:sz w:val="13"/>
                <w:szCs w:val="13"/>
                <w:color w:val="auto"/>
              </w:rPr>
              <w:t>VA - Phoenix</w:t>
            </w:r>
            <w:r>
              <w:rPr>
                <w:rFonts w:ascii="Arial" w:cs="Arial" w:eastAsia="Arial" w:hAnsi="Arial"/>
                <w:sz w:val="16"/>
                <w:szCs w:val="16"/>
                <w:color w:val="auto"/>
                <w:vertAlign w:val="superscript"/>
              </w:rPr>
              <w:t>(13)</w:t>
            </w:r>
          </w:p>
        </w:tc>
        <w:tc>
          <w:tcPr>
            <w:tcW w:w="1800" w:type="dxa"/>
            <w:vAlign w:val="bottom"/>
          </w:tcPr>
          <w:p>
            <w:pPr>
              <w:ind w:left="100"/>
              <w:spacing w:after="0"/>
              <w:rPr>
                <w:sz w:val="20"/>
                <w:szCs w:val="20"/>
                <w:color w:val="auto"/>
              </w:rPr>
            </w:pPr>
            <w:r>
              <w:rPr>
                <w:rFonts w:ascii="Arial" w:cs="Arial" w:eastAsia="Arial" w:hAnsi="Arial"/>
                <w:sz w:val="13"/>
                <w:szCs w:val="13"/>
                <w:color w:val="auto"/>
              </w:rPr>
              <w:t>Phoenix, AZ</w:t>
            </w:r>
          </w:p>
        </w:tc>
        <w:tc>
          <w:tcPr>
            <w:tcW w:w="1700" w:type="dxa"/>
            <w:vAlign w:val="bottom"/>
          </w:tcPr>
          <w:p>
            <w:pPr>
              <w:ind w:left="340"/>
              <w:spacing w:after="0"/>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6"/>
              </w:rPr>
              <w:t>2042</w:t>
            </w:r>
          </w:p>
        </w:tc>
        <w:tc>
          <w:tcPr>
            <w:tcW w:w="1040" w:type="dxa"/>
            <w:vAlign w:val="bottom"/>
          </w:tcPr>
          <w:p>
            <w:pPr>
              <w:jc w:val="center"/>
              <w:ind w:right="57"/>
              <w:spacing w:after="0"/>
              <w:rPr>
                <w:sz w:val="20"/>
                <w:szCs w:val="20"/>
                <w:color w:val="auto"/>
              </w:rPr>
            </w:pPr>
            <w:r>
              <w:rPr>
                <w:rFonts w:ascii="Arial" w:cs="Arial" w:eastAsia="Arial" w:hAnsi="Arial"/>
                <w:sz w:val="13"/>
                <w:szCs w:val="13"/>
                <w:color w:val="auto"/>
                <w:w w:val="96"/>
              </w:rPr>
              <w:t>2022</w:t>
            </w:r>
          </w:p>
        </w:tc>
        <w:tc>
          <w:tcPr>
            <w:tcW w:w="880" w:type="dxa"/>
            <w:vAlign w:val="bottom"/>
          </w:tcPr>
          <w:p>
            <w:pPr>
              <w:jc w:val="right"/>
              <w:spacing w:after="0"/>
              <w:rPr>
                <w:sz w:val="20"/>
                <w:szCs w:val="20"/>
                <w:color w:val="auto"/>
              </w:rPr>
            </w:pPr>
            <w:r>
              <w:rPr>
                <w:rFonts w:ascii="Arial" w:cs="Arial" w:eastAsia="Arial" w:hAnsi="Arial"/>
                <w:sz w:val="13"/>
                <w:szCs w:val="13"/>
                <w:color w:val="auto"/>
              </w:rPr>
              <w:t>257,294</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San Antonio</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San Antonio, TX</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226,148</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Jacksonville</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Jacksonville, FL</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2043</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2023</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193,100</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Chattanooga</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Chattanooga, TN</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2035</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2020</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94,566</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Lubbock</w:t>
            </w:r>
            <w:r>
              <w:rPr>
                <w:rFonts w:ascii="Arial" w:cs="Arial" w:eastAsia="Arial" w:hAnsi="Arial"/>
                <w:sz w:val="16"/>
                <w:szCs w:val="16"/>
                <w:color w:val="auto"/>
                <w:vertAlign w:val="superscript"/>
              </w:rPr>
              <w:t>(13)(14)</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Lubbock, TX</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2040</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2020</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120,916</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Marietta</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Marietta, GA</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76,882</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Birmingham</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Irondale, AL</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2041</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2021</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77,128</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Corpus Christi</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Corpus Christi, TX</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2042</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2022</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69,276</w:t>
            </w:r>
          </w:p>
        </w:tc>
        <w:tc>
          <w:tcPr>
            <w:tcW w:w="0" w:type="dxa"/>
            <w:vAlign w:val="bottom"/>
          </w:tcPr>
          <w:p>
            <w:pPr>
              <w:spacing w:after="0"/>
              <w:rPr>
                <w:sz w:val="1"/>
                <w:szCs w:val="1"/>
                <w:color w:val="auto"/>
              </w:rPr>
            </w:pPr>
          </w:p>
        </w:tc>
      </w:tr>
      <w:tr>
        <w:trPr>
          <w:trHeight w:val="142"/>
        </w:trPr>
        <w:tc>
          <w:tcPr>
            <w:tcW w:w="1600" w:type="dxa"/>
            <w:vAlign w:val="bottom"/>
          </w:tcPr>
          <w:p>
            <w:pPr>
              <w:spacing w:after="0" w:line="142" w:lineRule="exact"/>
              <w:rPr>
                <w:sz w:val="20"/>
                <w:szCs w:val="20"/>
                <w:color w:val="auto"/>
              </w:rPr>
            </w:pPr>
            <w:r>
              <w:rPr>
                <w:rFonts w:ascii="Arial" w:cs="Arial" w:eastAsia="Arial" w:hAnsi="Arial"/>
                <w:sz w:val="13"/>
                <w:szCs w:val="13"/>
                <w:color w:val="auto"/>
              </w:rPr>
              <w:t>VA - Columbus</w:t>
            </w:r>
            <w:r>
              <w:rPr>
                <w:rFonts w:ascii="Arial" w:cs="Arial" w:eastAsia="Arial" w:hAnsi="Arial"/>
                <w:sz w:val="16"/>
                <w:szCs w:val="16"/>
                <w:color w:val="auto"/>
                <w:vertAlign w:val="superscript"/>
              </w:rPr>
              <w:t>(13)</w:t>
            </w:r>
          </w:p>
        </w:tc>
        <w:tc>
          <w:tcPr>
            <w:tcW w:w="1800" w:type="dxa"/>
            <w:vAlign w:val="bottom"/>
          </w:tcPr>
          <w:p>
            <w:pPr>
              <w:ind w:left="100"/>
              <w:spacing w:after="0" w:line="142" w:lineRule="exact"/>
              <w:rPr>
                <w:sz w:val="20"/>
                <w:szCs w:val="20"/>
                <w:color w:val="auto"/>
              </w:rPr>
            </w:pPr>
            <w:r>
              <w:rPr>
                <w:rFonts w:ascii="Arial" w:cs="Arial" w:eastAsia="Arial" w:hAnsi="Arial"/>
                <w:sz w:val="13"/>
                <w:szCs w:val="13"/>
                <w:color w:val="auto"/>
              </w:rPr>
              <w:t>Columbus, GA</w:t>
            </w:r>
          </w:p>
        </w:tc>
        <w:tc>
          <w:tcPr>
            <w:tcW w:w="1700" w:type="dxa"/>
            <w:vAlign w:val="bottom"/>
          </w:tcPr>
          <w:p>
            <w:pPr>
              <w:ind w:left="340"/>
              <w:spacing w:after="0" w:line="142" w:lineRule="exact"/>
              <w:rPr>
                <w:sz w:val="20"/>
                <w:szCs w:val="20"/>
                <w:color w:val="auto"/>
              </w:rPr>
            </w:pPr>
            <w:r>
              <w:rPr>
                <w:rFonts w:ascii="Arial" w:cs="Arial" w:eastAsia="Arial" w:hAnsi="Arial"/>
                <w:sz w:val="13"/>
                <w:szCs w:val="13"/>
                <w:color w:val="auto"/>
              </w:rPr>
              <w:t>Outpatient Clinic</w:t>
            </w:r>
          </w:p>
        </w:tc>
        <w:tc>
          <w:tcPr>
            <w:tcW w:w="1060" w:type="dxa"/>
            <w:vAlign w:val="bottom"/>
          </w:tcPr>
          <w:p>
            <w:pPr>
              <w:jc w:val="center"/>
              <w:ind w:left="77"/>
              <w:spacing w:after="0" w:line="142" w:lineRule="exact"/>
              <w:rPr>
                <w:sz w:val="20"/>
                <w:szCs w:val="20"/>
                <w:color w:val="auto"/>
              </w:rPr>
            </w:pPr>
            <w:r>
              <w:rPr>
                <w:rFonts w:ascii="Arial" w:cs="Arial" w:eastAsia="Arial" w:hAnsi="Arial"/>
                <w:sz w:val="13"/>
                <w:szCs w:val="13"/>
                <w:color w:val="auto"/>
                <w:w w:val="96"/>
              </w:rPr>
              <w:t>2042</w:t>
            </w:r>
          </w:p>
        </w:tc>
        <w:tc>
          <w:tcPr>
            <w:tcW w:w="104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6"/>
              </w:rPr>
              <w:t>2022</w:t>
            </w:r>
          </w:p>
        </w:tc>
        <w:tc>
          <w:tcPr>
            <w:tcW w:w="880" w:type="dxa"/>
            <w:vAlign w:val="bottom"/>
          </w:tcPr>
          <w:p>
            <w:pPr>
              <w:jc w:val="right"/>
              <w:spacing w:after="0" w:line="142" w:lineRule="exact"/>
              <w:rPr>
                <w:sz w:val="20"/>
                <w:szCs w:val="20"/>
                <w:color w:val="auto"/>
              </w:rPr>
            </w:pPr>
            <w:r>
              <w:rPr>
                <w:rFonts w:ascii="Arial" w:cs="Arial" w:eastAsia="Arial" w:hAnsi="Arial"/>
                <w:sz w:val="13"/>
                <w:szCs w:val="13"/>
                <w:color w:val="auto"/>
              </w:rPr>
              <w:t>67,793</w:t>
            </w:r>
          </w:p>
        </w:tc>
        <w:tc>
          <w:tcPr>
            <w:tcW w:w="0" w:type="dxa"/>
            <w:vAlign w:val="bottom"/>
          </w:tcPr>
          <w:p>
            <w:pPr>
              <w:spacing w:after="0"/>
              <w:rPr>
                <w:sz w:val="1"/>
                <w:szCs w:val="1"/>
                <w:color w:val="auto"/>
              </w:rPr>
            </w:pPr>
          </w:p>
        </w:tc>
      </w:tr>
      <w:tr>
        <w:trPr>
          <w:trHeight w:val="166"/>
        </w:trPr>
        <w:tc>
          <w:tcPr>
            <w:tcW w:w="1600" w:type="dxa"/>
            <w:vAlign w:val="bottom"/>
            <w:tcBorders>
              <w:bottom w:val="single" w:sz="8" w:color="auto"/>
            </w:tcBorders>
          </w:tcPr>
          <w:p>
            <w:pPr>
              <w:spacing w:after="0" w:line="165" w:lineRule="exact"/>
              <w:rPr>
                <w:sz w:val="20"/>
                <w:szCs w:val="20"/>
                <w:color w:val="auto"/>
              </w:rPr>
            </w:pPr>
            <w:r>
              <w:rPr>
                <w:rFonts w:ascii="Arial" w:cs="Arial" w:eastAsia="Arial" w:hAnsi="Arial"/>
                <w:sz w:val="13"/>
                <w:szCs w:val="13"/>
                <w:color w:val="auto"/>
              </w:rPr>
              <w:t>VA - Lenexa</w:t>
            </w:r>
            <w:r>
              <w:rPr>
                <w:rFonts w:ascii="Arial" w:cs="Arial" w:eastAsia="Arial" w:hAnsi="Arial"/>
                <w:sz w:val="16"/>
                <w:szCs w:val="16"/>
                <w:color w:val="auto"/>
                <w:vertAlign w:val="superscript"/>
              </w:rPr>
              <w:t>(13)</w:t>
            </w:r>
          </w:p>
        </w:tc>
        <w:tc>
          <w:tcPr>
            <w:tcW w:w="180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Lenexa, KS</w:t>
            </w:r>
          </w:p>
        </w:tc>
        <w:tc>
          <w:tcPr>
            <w:tcW w:w="170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Outpatient Clinic</w:t>
            </w:r>
          </w:p>
        </w:tc>
        <w:tc>
          <w:tcPr>
            <w:tcW w:w="1060" w:type="dxa"/>
            <w:vAlign w:val="bottom"/>
            <w:tcBorders>
              <w:bottom w:val="single" w:sz="8" w:color="auto"/>
            </w:tcBorders>
          </w:tcPr>
          <w:p>
            <w:pPr>
              <w:jc w:val="center"/>
              <w:ind w:left="77"/>
              <w:spacing w:after="0"/>
              <w:rPr>
                <w:sz w:val="20"/>
                <w:szCs w:val="20"/>
                <w:color w:val="auto"/>
              </w:rPr>
            </w:pPr>
            <w:r>
              <w:rPr>
                <w:rFonts w:ascii="Arial" w:cs="Arial" w:eastAsia="Arial" w:hAnsi="Arial"/>
                <w:sz w:val="13"/>
                <w:szCs w:val="13"/>
                <w:color w:val="auto"/>
                <w:w w:val="96"/>
              </w:rPr>
              <w:t>2041</w:t>
            </w: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6"/>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31,062</w:t>
            </w:r>
          </w:p>
        </w:tc>
        <w:tc>
          <w:tcPr>
            <w:tcW w:w="0" w:type="dxa"/>
            <w:vAlign w:val="bottom"/>
          </w:tcPr>
          <w:p>
            <w:pPr>
              <w:spacing w:after="0"/>
              <w:rPr>
                <w:sz w:val="1"/>
                <w:szCs w:val="1"/>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3"/>
                <w:szCs w:val="13"/>
                <w:b w:val="1"/>
                <w:bCs w:val="1"/>
                <w:color w:val="auto"/>
              </w:rPr>
              <w:t>Subtotal</w:t>
            </w:r>
          </w:p>
        </w:tc>
        <w:tc>
          <w:tcPr>
            <w:tcW w:w="1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1,214,165</w:t>
            </w:r>
          </w:p>
        </w:tc>
        <w:tc>
          <w:tcPr>
            <w:tcW w:w="0" w:type="dxa"/>
            <w:vAlign w:val="bottom"/>
          </w:tcPr>
          <w:p>
            <w:pPr>
              <w:spacing w:after="0"/>
              <w:rPr>
                <w:sz w:val="1"/>
                <w:szCs w:val="1"/>
                <w:color w:val="auto"/>
              </w:rPr>
            </w:pPr>
          </w:p>
        </w:tc>
      </w:tr>
      <w:tr>
        <w:trPr>
          <w:trHeight w:val="191"/>
        </w:trPr>
        <w:tc>
          <w:tcPr>
            <w:tcW w:w="16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00" w:type="dxa"/>
            <w:vAlign w:val="bottom"/>
          </w:tcPr>
          <w:p>
            <w:pPr>
              <w:spacing w:after="0"/>
              <w:rPr>
                <w:sz w:val="20"/>
                <w:szCs w:val="20"/>
                <w:color w:val="auto"/>
              </w:rPr>
            </w:pPr>
            <w:r>
              <w:rPr>
                <w:rFonts w:ascii="Arial" w:cs="Arial" w:eastAsia="Arial" w:hAnsi="Arial"/>
                <w:sz w:val="13"/>
                <w:szCs w:val="13"/>
                <w:b w:val="1"/>
                <w:bCs w:val="1"/>
                <w:color w:val="auto"/>
              </w:rPr>
              <w:t>Total / Weighted Average</w:t>
            </w:r>
          </w:p>
        </w:tc>
        <w:tc>
          <w:tcPr>
            <w:tcW w:w="18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10,677,871</w:t>
            </w:r>
          </w:p>
        </w:tc>
        <w:tc>
          <w:tcPr>
            <w:tcW w:w="0" w:type="dxa"/>
            <w:vAlign w:val="bottom"/>
          </w:tcPr>
          <w:p>
            <w:pPr>
              <w:spacing w:after="0"/>
              <w:rPr>
                <w:sz w:val="1"/>
                <w:szCs w:val="1"/>
                <w:color w:val="auto"/>
              </w:rPr>
            </w:pPr>
          </w:p>
        </w:tc>
      </w:tr>
      <w:tr>
        <w:trPr>
          <w:trHeight w:val="49"/>
        </w:trPr>
        <w:tc>
          <w:tcPr>
            <w:tcW w:w="3400" w:type="dxa"/>
            <w:vAlign w:val="bottom"/>
            <w:tcBorders>
              <w:bottom w:val="single" w:sz="8" w:color="auto"/>
            </w:tcBorders>
            <w:gridSpan w:val="2"/>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auto"/>
            </w:tcBorders>
            <w:gridSpan w:val="2"/>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400" w:type="dxa"/>
            <w:vAlign w:val="bottom"/>
            <w:tcBorders>
              <w:bottom w:val="single" w:sz="8" w:color="auto"/>
            </w:tcBorders>
            <w:gridSpan w:val="2"/>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7"/>
        </w:trPr>
        <w:tc>
          <w:tcPr>
            <w:tcW w:w="3400" w:type="dxa"/>
            <w:vAlign w:val="bottom"/>
            <w:gridSpan w:val="2"/>
          </w:tcPr>
          <w:p>
            <w:pPr>
              <w:spacing w:after="0"/>
              <w:rPr>
                <w:sz w:val="20"/>
                <w:szCs w:val="20"/>
                <w:color w:val="auto"/>
              </w:rPr>
            </w:pPr>
            <w:r>
              <w:rPr>
                <w:rFonts w:ascii="Arial" w:cs="Arial" w:eastAsia="Arial" w:hAnsi="Arial"/>
                <w:sz w:val="13"/>
                <w:szCs w:val="13"/>
                <w:b w:val="1"/>
                <w:bCs w:val="1"/>
                <w:color w:val="auto"/>
              </w:rPr>
              <w:t>Total / Weighted Average at Easterly's Share</w:t>
            </w:r>
          </w:p>
        </w:tc>
        <w:tc>
          <w:tcPr>
            <w:tcW w:w="1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10,107,212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-3460750</wp:posOffset>
            </wp:positionV>
            <wp:extent cx="7149465" cy="901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901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-1816100</wp:posOffset>
            </wp:positionV>
            <wp:extent cx="7149465" cy="901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901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512889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288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45720</wp:posOffset>
            </wp:positionV>
            <wp:extent cx="512889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2889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left="20"/>
        <w:spacing w:after="0" w:line="276" w:lineRule="auto"/>
        <w:rPr>
          <w:sz w:val="20"/>
          <w:szCs w:val="20"/>
          <w:color w:val="auto"/>
        </w:rPr>
      </w:pPr>
      <w:r>
        <w:rPr>
          <w:rFonts w:ascii="Arial" w:cs="Arial" w:eastAsia="Arial" w:hAnsi="Arial"/>
          <w:sz w:val="12"/>
          <w:szCs w:val="12"/>
          <w:b w:val="1"/>
          <w:bCs w:val="1"/>
          <w:color w:val="auto"/>
        </w:rPr>
        <w:t>Annualized 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-26035</wp:posOffset>
            </wp:positionV>
            <wp:extent cx="52578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5,012,522</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2,774,090</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2,629,161</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2,368,386</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411,207</w:t>
      </w:r>
    </w:p>
    <w:p>
      <w:pPr>
        <w:spacing w:after="0" w:line="24" w:lineRule="exact"/>
        <w:rPr>
          <w:sz w:val="20"/>
          <w:szCs w:val="20"/>
          <w:color w:val="auto"/>
        </w:rPr>
      </w:pPr>
    </w:p>
    <w:p>
      <w:pPr>
        <w:ind w:left="160" w:hanging="155"/>
        <w:spacing w:after="0"/>
        <w:tabs>
          <w:tab w:leader="none" w:pos="160" w:val="left"/>
        </w:tabs>
        <w:numPr>
          <w:ilvl w:val="0"/>
          <w:numId w:val="11"/>
        </w:numPr>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13,195,36</w:t>
      </w:r>
    </w:p>
    <w:p>
      <w:pPr>
        <w:ind w:left="640"/>
        <w:spacing w:after="0"/>
        <w:rPr>
          <w:rFonts w:ascii="Arial" w:cs="Arial" w:eastAsia="Arial" w:hAnsi="Arial"/>
          <w:sz w:val="24"/>
          <w:szCs w:val="24"/>
          <w:b w:val="1"/>
          <w:bCs w:val="1"/>
          <w:color w:val="auto"/>
          <w:vertAlign w:val="subscript"/>
        </w:rPr>
      </w:pPr>
      <w:r>
        <w:rPr>
          <w:rFonts w:ascii="Arial" w:cs="Arial" w:eastAsia="Arial" w:hAnsi="Arial"/>
          <w:sz w:val="13"/>
          <w:szCs w:val="13"/>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-194310</wp:posOffset>
            </wp:positionV>
            <wp:extent cx="52578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ind w:left="160" w:hanging="155"/>
        <w:spacing w:after="0"/>
        <w:tabs>
          <w:tab w:leader="none" w:pos="160" w:val="left"/>
        </w:tabs>
        <w:numPr>
          <w:ilvl w:val="0"/>
          <w:numId w:val="12"/>
        </w:numPr>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342,432,3</w:t>
      </w:r>
    </w:p>
    <w:p>
      <w:pPr>
        <w:ind w:left="580"/>
        <w:spacing w:after="0"/>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-187325</wp:posOffset>
            </wp:positionV>
            <wp:extent cx="52578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578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0</wp:posOffset>
            </wp:positionV>
            <wp:extent cx="52578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10,919,45</w:t>
      </w:r>
    </w:p>
    <w:p>
      <w:pPr>
        <w:jc w:val="right"/>
        <w:spacing w:after="0" w:line="234" w:lineRule="auto"/>
        <w:rPr>
          <w:sz w:val="20"/>
          <w:szCs w:val="20"/>
          <w:color w:val="auto"/>
        </w:rPr>
      </w:pPr>
      <w:r>
        <w:rPr>
          <w:rFonts w:ascii="Arial" w:cs="Arial" w:eastAsia="Arial" w:hAnsi="Arial"/>
          <w:sz w:val="13"/>
          <w:szCs w:val="13"/>
          <w:color w:val="auto"/>
        </w:rPr>
        <w:t>5</w:t>
      </w:r>
    </w:p>
    <w:p>
      <w:pPr>
        <w:jc w:val="right"/>
        <w:spacing w:after="0" w:line="228" w:lineRule="auto"/>
        <w:rPr>
          <w:sz w:val="20"/>
          <w:szCs w:val="20"/>
          <w:color w:val="auto"/>
        </w:rPr>
      </w:pPr>
      <w:r>
        <w:rPr>
          <w:rFonts w:ascii="Arial" w:cs="Arial" w:eastAsia="Arial" w:hAnsi="Arial"/>
          <w:sz w:val="13"/>
          <w:szCs w:val="13"/>
          <w:color w:val="auto"/>
        </w:rPr>
        <w:t>9,233,382</w:t>
      </w:r>
    </w:p>
    <w:p>
      <w:pPr>
        <w:jc w:val="right"/>
        <w:spacing w:after="0" w:line="228" w:lineRule="auto"/>
        <w:rPr>
          <w:sz w:val="20"/>
          <w:szCs w:val="20"/>
          <w:color w:val="auto"/>
        </w:rPr>
      </w:pPr>
      <w:r>
        <w:rPr>
          <w:rFonts w:ascii="Arial" w:cs="Arial" w:eastAsia="Arial" w:hAnsi="Arial"/>
          <w:sz w:val="13"/>
          <w:szCs w:val="13"/>
          <w:color w:val="auto"/>
        </w:rPr>
        <w:t>7,634,166</w:t>
      </w:r>
    </w:p>
    <w:p>
      <w:pPr>
        <w:jc w:val="right"/>
        <w:spacing w:after="0" w:line="228" w:lineRule="auto"/>
        <w:rPr>
          <w:sz w:val="20"/>
          <w:szCs w:val="20"/>
          <w:color w:val="auto"/>
        </w:rPr>
      </w:pPr>
      <w:r>
        <w:rPr>
          <w:rFonts w:ascii="Arial" w:cs="Arial" w:eastAsia="Arial" w:hAnsi="Arial"/>
          <w:sz w:val="13"/>
          <w:szCs w:val="13"/>
          <w:color w:val="auto"/>
        </w:rPr>
        <w:t>4,311,698</w:t>
      </w:r>
    </w:p>
    <w:p>
      <w:pPr>
        <w:jc w:val="right"/>
        <w:spacing w:after="0" w:line="228" w:lineRule="auto"/>
        <w:rPr>
          <w:sz w:val="20"/>
          <w:szCs w:val="20"/>
          <w:color w:val="auto"/>
        </w:rPr>
      </w:pPr>
      <w:r>
        <w:rPr>
          <w:rFonts w:ascii="Arial" w:cs="Arial" w:eastAsia="Arial" w:hAnsi="Arial"/>
          <w:sz w:val="13"/>
          <w:szCs w:val="13"/>
          <w:color w:val="auto"/>
        </w:rPr>
        <w:t>4,272,006</w:t>
      </w:r>
    </w:p>
    <w:p>
      <w:pPr>
        <w:jc w:val="right"/>
        <w:spacing w:after="0" w:line="228" w:lineRule="auto"/>
        <w:rPr>
          <w:sz w:val="20"/>
          <w:szCs w:val="20"/>
          <w:color w:val="auto"/>
        </w:rPr>
      </w:pPr>
      <w:r>
        <w:rPr>
          <w:rFonts w:ascii="Arial" w:cs="Arial" w:eastAsia="Arial" w:hAnsi="Arial"/>
          <w:sz w:val="13"/>
          <w:szCs w:val="13"/>
          <w:color w:val="auto"/>
        </w:rPr>
        <w:t>3,864,206</w:t>
      </w:r>
    </w:p>
    <w:p>
      <w:pPr>
        <w:jc w:val="right"/>
        <w:spacing w:after="0" w:line="227" w:lineRule="auto"/>
        <w:rPr>
          <w:sz w:val="20"/>
          <w:szCs w:val="20"/>
          <w:color w:val="auto"/>
        </w:rPr>
      </w:pPr>
      <w:r>
        <w:rPr>
          <w:rFonts w:ascii="Arial" w:cs="Arial" w:eastAsia="Arial" w:hAnsi="Arial"/>
          <w:sz w:val="13"/>
          <w:szCs w:val="13"/>
          <w:color w:val="auto"/>
        </w:rPr>
        <w:t>3,212,592</w:t>
      </w:r>
    </w:p>
    <w:p>
      <w:pPr>
        <w:jc w:val="right"/>
        <w:spacing w:after="0" w:line="228" w:lineRule="auto"/>
        <w:rPr>
          <w:sz w:val="20"/>
          <w:szCs w:val="20"/>
          <w:color w:val="auto"/>
        </w:rPr>
      </w:pPr>
      <w:r>
        <w:rPr>
          <w:rFonts w:ascii="Arial" w:cs="Arial" w:eastAsia="Arial" w:hAnsi="Arial"/>
          <w:sz w:val="13"/>
          <w:szCs w:val="13"/>
          <w:color w:val="auto"/>
        </w:rPr>
        <w:t>2,994,312</w:t>
      </w:r>
    </w:p>
    <w:p>
      <w:pPr>
        <w:jc w:val="right"/>
        <w:spacing w:after="0" w:line="228" w:lineRule="auto"/>
        <w:rPr>
          <w:sz w:val="20"/>
          <w:szCs w:val="20"/>
          <w:color w:val="auto"/>
        </w:rPr>
      </w:pPr>
      <w:r>
        <w:rPr>
          <w:rFonts w:ascii="Arial" w:cs="Arial" w:eastAsia="Arial" w:hAnsi="Arial"/>
          <w:sz w:val="13"/>
          <w:szCs w:val="13"/>
          <w:color w:val="auto"/>
        </w:rPr>
        <w:t>2,954,810</w:t>
      </w:r>
    </w:p>
    <w:p>
      <w:pPr>
        <w:jc w:val="right"/>
        <w:spacing w:after="0"/>
        <w:rPr>
          <w:sz w:val="20"/>
          <w:szCs w:val="20"/>
          <w:color w:val="auto"/>
        </w:rPr>
      </w:pPr>
      <w:r>
        <w:rPr>
          <w:rFonts w:ascii="Arial" w:cs="Arial" w:eastAsia="Arial" w:hAnsi="Arial"/>
          <w:sz w:val="13"/>
          <w:szCs w:val="13"/>
          <w:color w:val="auto"/>
        </w:rPr>
        <w:t>1,336,514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-6985</wp:posOffset>
            </wp:positionV>
            <wp:extent cx="52578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ind w:left="160" w:hanging="155"/>
        <w:spacing w:after="0" w:line="190" w:lineRule="auto"/>
        <w:tabs>
          <w:tab w:leader="none" w:pos="160" w:val="left"/>
        </w:tabs>
        <w:numPr>
          <w:ilvl w:val="0"/>
          <w:numId w:val="13"/>
        </w:numPr>
        <w:rPr>
          <w:rFonts w:ascii="Arial" w:cs="Arial" w:eastAsia="Arial" w:hAnsi="Arial"/>
          <w:sz w:val="16"/>
          <w:szCs w:val="16"/>
          <w:b w:val="1"/>
          <w:bCs w:val="1"/>
          <w:color w:val="auto"/>
          <w:vertAlign w:val="subscript"/>
        </w:rPr>
      </w:pPr>
      <w:r>
        <w:rPr>
          <w:rFonts w:ascii="Arial" w:cs="Arial" w:eastAsia="Arial" w:hAnsi="Arial"/>
          <w:sz w:val="9"/>
          <w:szCs w:val="9"/>
          <w:b w:val="1"/>
          <w:bCs w:val="1"/>
          <w:color w:val="auto"/>
        </w:rPr>
        <w:t>50,733,14</w:t>
      </w:r>
    </w:p>
    <w:p>
      <w:pPr>
        <w:ind w:left="640"/>
        <w:spacing w:after="0"/>
        <w:rPr>
          <w:rFonts w:ascii="Arial" w:cs="Arial" w:eastAsia="Arial" w:hAnsi="Arial"/>
          <w:sz w:val="16"/>
          <w:szCs w:val="16"/>
          <w:b w:val="1"/>
          <w:bCs w:val="1"/>
          <w:color w:val="auto"/>
          <w:vertAlign w:val="subscript"/>
        </w:rPr>
      </w:pPr>
      <w:r>
        <w:rPr>
          <w:rFonts w:ascii="Arial" w:cs="Arial" w:eastAsia="Arial" w:hAnsi="Arial"/>
          <w:sz w:val="13"/>
          <w:szCs w:val="13"/>
          <w:b w:val="1"/>
          <w:bCs w:val="1"/>
          <w:color w:val="auto"/>
        </w:rPr>
        <w:t>1</w:t>
      </w:r>
    </w:p>
    <w:p>
      <w:pPr>
        <w:spacing w:after="0" w:line="12" w:lineRule="exact"/>
        <w:rPr>
          <w:sz w:val="20"/>
          <w:szCs w:val="20"/>
          <w:color w:val="auto"/>
        </w:rPr>
      </w:pPr>
    </w:p>
    <w:p>
      <w:pPr>
        <w:ind w:left="160" w:hanging="155"/>
        <w:spacing w:after="0"/>
        <w:tabs>
          <w:tab w:leader="none" w:pos="160" w:val="left"/>
        </w:tabs>
        <w:numPr>
          <w:ilvl w:val="0"/>
          <w:numId w:val="14"/>
        </w:numPr>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393,165,4</w:t>
      </w:r>
    </w:p>
    <w:p>
      <w:pPr>
        <w:ind w:left="580"/>
        <w:spacing w:after="0"/>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-187325</wp:posOffset>
            </wp:positionV>
            <wp:extent cx="52578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2578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0</wp:posOffset>
            </wp:positionV>
            <wp:extent cx="52578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578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14605</wp:posOffset>
            </wp:positionV>
            <wp:extent cx="5257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spacing w:after="0" w:line="39" w:lineRule="exact"/>
        <w:rPr>
          <w:sz w:val="20"/>
          <w:szCs w:val="20"/>
          <w:color w:val="auto"/>
        </w:rPr>
      </w:pPr>
    </w:p>
    <w:p>
      <w:pPr>
        <w:ind w:left="160" w:hanging="155"/>
        <w:spacing w:after="0"/>
        <w:tabs>
          <w:tab w:leader="none" w:pos="160" w:val="left"/>
        </w:tabs>
        <w:numPr>
          <w:ilvl w:val="0"/>
          <w:numId w:val="15"/>
        </w:numPr>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369,320,9</w:t>
      </w:r>
    </w:p>
    <w:p>
      <w:pPr>
        <w:ind w:left="580"/>
        <w:spacing w:after="0"/>
        <w:rPr>
          <w:rFonts w:ascii="Arial" w:cs="Arial" w:eastAsia="Arial" w:hAnsi="Arial"/>
          <w:sz w:val="24"/>
          <w:szCs w:val="24"/>
          <w:b w:val="1"/>
          <w:bCs w:val="1"/>
          <w:color w:val="auto"/>
          <w:vertAlign w:val="subscript"/>
        </w:rPr>
      </w:pP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-187325</wp:posOffset>
            </wp:positionV>
            <wp:extent cx="52578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578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0</wp:posOffset>
            </wp:positionV>
            <wp:extent cx="52578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5780" cy="7620"/>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14605</wp:posOffset>
            </wp:positionV>
            <wp:extent cx="52578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57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1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6"/>
              </w:rPr>
              <w:t>Percentage</w:t>
            </w:r>
          </w:p>
        </w:tc>
        <w:tc>
          <w:tcPr>
            <w:tcW w:w="920" w:type="dxa"/>
            <w:vAlign w:val="bottom"/>
            <w:gridSpan w:val="2"/>
          </w:tcPr>
          <w:p>
            <w:pPr>
              <w:jc w:val="center"/>
              <w:ind w:left="37"/>
              <w:spacing w:after="0"/>
              <w:rPr>
                <w:sz w:val="20"/>
                <w:szCs w:val="20"/>
                <w:color w:val="auto"/>
              </w:rPr>
            </w:pPr>
            <w:r>
              <w:rPr>
                <w:rFonts w:ascii="Arial" w:cs="Arial" w:eastAsia="Arial" w:hAnsi="Arial"/>
                <w:sz w:val="13"/>
                <w:szCs w:val="13"/>
                <w:b w:val="1"/>
                <w:bCs w:val="1"/>
                <w:color w:val="auto"/>
                <w:w w:val="95"/>
              </w:rPr>
              <w:t>Annualized</w:t>
            </w:r>
          </w:p>
        </w:tc>
      </w:tr>
      <w:tr>
        <w:trPr>
          <w:trHeight w:val="142"/>
        </w:trPr>
        <w:tc>
          <w:tcPr>
            <w:tcW w:w="110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7"/>
              </w:rPr>
              <w:t>of Total</w:t>
            </w:r>
          </w:p>
        </w:tc>
        <w:tc>
          <w:tcPr>
            <w:tcW w:w="240" w:type="dxa"/>
            <w:vAlign w:val="bottom"/>
          </w:tcPr>
          <w:p>
            <w:pPr>
              <w:spacing w:after="0"/>
              <w:rPr>
                <w:sz w:val="12"/>
                <w:szCs w:val="12"/>
                <w:color w:val="auto"/>
              </w:rPr>
            </w:pPr>
          </w:p>
        </w:tc>
        <w:tc>
          <w:tcPr>
            <w:tcW w:w="680" w:type="dxa"/>
            <w:vAlign w:val="bottom"/>
          </w:tcPr>
          <w:p>
            <w:pPr>
              <w:jc w:val="center"/>
              <w:ind w:right="57"/>
              <w:spacing w:after="0" w:line="142" w:lineRule="exact"/>
              <w:rPr>
                <w:sz w:val="20"/>
                <w:szCs w:val="20"/>
                <w:color w:val="auto"/>
              </w:rPr>
            </w:pPr>
            <w:r>
              <w:rPr>
                <w:rFonts w:ascii="Arial" w:cs="Arial" w:eastAsia="Arial" w:hAnsi="Arial"/>
                <w:sz w:val="13"/>
                <w:szCs w:val="13"/>
                <w:b w:val="1"/>
                <w:bCs w:val="1"/>
                <w:color w:val="auto"/>
                <w:w w:val="97"/>
              </w:rPr>
              <w:t>Lease</w:t>
            </w:r>
          </w:p>
        </w:tc>
      </w:tr>
      <w:tr>
        <w:trPr>
          <w:trHeight w:val="142"/>
        </w:trPr>
        <w:tc>
          <w:tcPr>
            <w:tcW w:w="1100" w:type="dxa"/>
            <w:vAlign w:val="bottom"/>
            <w:gridSpan w:val="2"/>
          </w:tcPr>
          <w:p>
            <w:pPr>
              <w:jc w:val="center"/>
              <w:ind w:right="40"/>
              <w:spacing w:after="0" w:line="142" w:lineRule="exact"/>
              <w:rPr>
                <w:sz w:val="20"/>
                <w:szCs w:val="20"/>
                <w:color w:val="auto"/>
              </w:rPr>
            </w:pPr>
            <w:r>
              <w:rPr>
                <w:rFonts w:ascii="Arial" w:cs="Arial" w:eastAsia="Arial" w:hAnsi="Arial"/>
                <w:sz w:val="13"/>
                <w:szCs w:val="13"/>
                <w:b w:val="1"/>
                <w:bCs w:val="1"/>
                <w:color w:val="auto"/>
                <w:w w:val="95"/>
              </w:rPr>
              <w:t>Annualized</w:t>
            </w:r>
          </w:p>
        </w:tc>
        <w:tc>
          <w:tcPr>
            <w:tcW w:w="920" w:type="dxa"/>
            <w:vAlign w:val="bottom"/>
            <w:gridSpan w:val="2"/>
          </w:tcPr>
          <w:p>
            <w:pPr>
              <w:jc w:val="center"/>
              <w:ind w:left="37"/>
              <w:spacing w:after="0" w:line="142" w:lineRule="exact"/>
              <w:rPr>
                <w:sz w:val="20"/>
                <w:szCs w:val="20"/>
                <w:color w:val="auto"/>
              </w:rPr>
            </w:pPr>
            <w:r>
              <w:rPr>
                <w:rFonts w:ascii="Arial" w:cs="Arial" w:eastAsia="Arial" w:hAnsi="Arial"/>
                <w:sz w:val="13"/>
                <w:szCs w:val="13"/>
                <w:b w:val="1"/>
                <w:bCs w:val="1"/>
                <w:color w:val="auto"/>
                <w:w w:val="95"/>
              </w:rPr>
              <w:t>Income per</w:t>
            </w:r>
          </w:p>
        </w:tc>
      </w:tr>
      <w:tr>
        <w:trPr>
          <w:trHeight w:val="142"/>
        </w:trPr>
        <w:tc>
          <w:tcPr>
            <w:tcW w:w="1100" w:type="dxa"/>
            <w:vAlign w:val="bottom"/>
            <w:gridSpan w:val="2"/>
          </w:tcPr>
          <w:p>
            <w:pPr>
              <w:jc w:val="center"/>
              <w:ind w:right="20"/>
              <w:spacing w:after="0" w:line="142" w:lineRule="exact"/>
              <w:rPr>
                <w:sz w:val="20"/>
                <w:szCs w:val="20"/>
                <w:color w:val="auto"/>
              </w:rPr>
            </w:pPr>
            <w:r>
              <w:rPr>
                <w:rFonts w:ascii="Arial" w:cs="Arial" w:eastAsia="Arial" w:hAnsi="Arial"/>
                <w:sz w:val="13"/>
                <w:szCs w:val="13"/>
                <w:b w:val="1"/>
                <w:bCs w:val="1"/>
                <w:color w:val="auto"/>
                <w:w w:val="97"/>
              </w:rPr>
              <w:t>Lease</w:t>
            </w:r>
          </w:p>
        </w:tc>
        <w:tc>
          <w:tcPr>
            <w:tcW w:w="240" w:type="dxa"/>
            <w:vAlign w:val="bottom"/>
          </w:tcPr>
          <w:p>
            <w:pPr>
              <w:spacing w:after="0"/>
              <w:rPr>
                <w:sz w:val="12"/>
                <w:szCs w:val="12"/>
                <w:color w:val="auto"/>
              </w:rPr>
            </w:pPr>
          </w:p>
        </w:tc>
        <w:tc>
          <w:tcPr>
            <w:tcW w:w="680" w:type="dxa"/>
            <w:vAlign w:val="bottom"/>
          </w:tcPr>
          <w:p>
            <w:pPr>
              <w:jc w:val="center"/>
              <w:ind w:right="57"/>
              <w:spacing w:after="0" w:line="142" w:lineRule="exact"/>
              <w:rPr>
                <w:sz w:val="20"/>
                <w:szCs w:val="20"/>
                <w:color w:val="auto"/>
              </w:rPr>
            </w:pPr>
            <w:r>
              <w:rPr>
                <w:rFonts w:ascii="Arial" w:cs="Arial" w:eastAsia="Arial" w:hAnsi="Arial"/>
                <w:sz w:val="13"/>
                <w:szCs w:val="13"/>
                <w:b w:val="1"/>
                <w:bCs w:val="1"/>
                <w:color w:val="auto"/>
                <w:w w:val="98"/>
              </w:rPr>
              <w:t>Leased</w:t>
            </w:r>
          </w:p>
        </w:tc>
      </w:tr>
      <w:tr>
        <w:trPr>
          <w:trHeight w:val="150"/>
        </w:trPr>
        <w:tc>
          <w:tcPr>
            <w:tcW w:w="980" w:type="dxa"/>
            <w:vAlign w:val="bottom"/>
            <w:tcBorders>
              <w:bottom w:val="single" w:sz="8" w:color="2B4B86"/>
            </w:tcBorders>
          </w:tcPr>
          <w:p>
            <w:pPr>
              <w:jc w:val="center"/>
              <w:ind w:left="37"/>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Pr>
          <w:p>
            <w:pPr>
              <w:spacing w:after="0"/>
              <w:rPr>
                <w:sz w:val="13"/>
                <w:szCs w:val="13"/>
                <w:color w:val="auto"/>
              </w:rPr>
            </w:pPr>
          </w:p>
        </w:tc>
        <w:tc>
          <w:tcPr>
            <w:tcW w:w="920" w:type="dxa"/>
            <w:vAlign w:val="bottom"/>
            <w:tcBorders>
              <w:bottom w:val="single" w:sz="8" w:color="2B4B86"/>
            </w:tcBorders>
            <w:gridSpan w:val="2"/>
          </w:tcPr>
          <w:p>
            <w:pPr>
              <w:jc w:val="center"/>
              <w:ind w:left="37"/>
              <w:spacing w:after="0"/>
              <w:rPr>
                <w:sz w:val="20"/>
                <w:szCs w:val="20"/>
                <w:color w:val="auto"/>
              </w:rPr>
            </w:pPr>
            <w:r>
              <w:rPr>
                <w:rFonts w:ascii="Arial" w:cs="Arial" w:eastAsia="Arial" w:hAnsi="Arial"/>
                <w:sz w:val="13"/>
                <w:szCs w:val="13"/>
                <w:b w:val="1"/>
                <w:bCs w:val="1"/>
                <w:color w:val="auto"/>
                <w:w w:val="97"/>
              </w:rPr>
              <w:t>Square Foot</w:t>
            </w:r>
          </w:p>
        </w:tc>
      </w:tr>
      <w:tr>
        <w:trPr>
          <w:trHeight w:val="434"/>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1.3%</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36.29</w:t>
            </w:r>
          </w:p>
        </w:tc>
      </w:tr>
      <w:tr>
        <w:trPr>
          <w:trHeight w:val="284"/>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22.36</w:t>
            </w:r>
          </w:p>
        </w:tc>
      </w:tr>
      <w:tr>
        <w:trPr>
          <w:trHeight w:val="284"/>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0.7%</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26.49</w:t>
            </w:r>
          </w:p>
        </w:tc>
      </w:tr>
      <w:tr>
        <w:trPr>
          <w:trHeight w:val="284"/>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0.6%</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22.74</w:t>
            </w:r>
          </w:p>
        </w:tc>
      </w:tr>
      <w:tr>
        <w:trPr>
          <w:trHeight w:val="284"/>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0.1%</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5.87</w:t>
            </w:r>
          </w:p>
        </w:tc>
      </w:tr>
      <w:tr>
        <w:trPr>
          <w:trHeight w:val="126"/>
        </w:trPr>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27"/>
        </w:trPr>
        <w:tc>
          <w:tcPr>
            <w:tcW w:w="11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3.4%</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24.63</w:t>
            </w:r>
          </w:p>
        </w:tc>
      </w:tr>
      <w:tr>
        <w:trPr>
          <w:trHeight w:val="191"/>
        </w:trPr>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27"/>
        </w:trPr>
        <w:tc>
          <w:tcPr>
            <w:tcW w:w="11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87.1%</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36.18</w:t>
            </w:r>
          </w:p>
        </w:tc>
      </w:tr>
      <w:tr>
        <w:trPr>
          <w:trHeight w:val="49"/>
        </w:trPr>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552"/>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42.44</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2.3%</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40.83</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39.53</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45.59</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35.33</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50.26</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41.65</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43.22</w:t>
            </w:r>
          </w:p>
        </w:tc>
      </w:tr>
      <w:tr>
        <w:trPr>
          <w:trHeight w:val="142"/>
        </w:trPr>
        <w:tc>
          <w:tcPr>
            <w:tcW w:w="1100" w:type="dxa"/>
            <w:vAlign w:val="bottom"/>
            <w:gridSpan w:val="2"/>
          </w:tcPr>
          <w:p>
            <w:pPr>
              <w:jc w:val="right"/>
              <w:ind w:right="20"/>
              <w:spacing w:after="0" w:line="142" w:lineRule="exact"/>
              <w:rPr>
                <w:sz w:val="20"/>
                <w:szCs w:val="20"/>
                <w:color w:val="auto"/>
              </w:rPr>
            </w:pPr>
            <w:r>
              <w:rPr>
                <w:rFonts w:ascii="Arial" w:cs="Arial" w:eastAsia="Arial" w:hAnsi="Arial"/>
                <w:sz w:val="13"/>
                <w:szCs w:val="13"/>
                <w:color w:val="auto"/>
              </w:rPr>
              <w:t>0.8%</w:t>
            </w:r>
          </w:p>
        </w:tc>
        <w:tc>
          <w:tcPr>
            <w:tcW w:w="2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43.59</w:t>
            </w:r>
          </w:p>
        </w:tc>
      </w:tr>
      <w:tr>
        <w:trPr>
          <w:trHeight w:val="150"/>
        </w:trPr>
        <w:tc>
          <w:tcPr>
            <w:tcW w:w="1100" w:type="dxa"/>
            <w:vAlign w:val="bottom"/>
            <w:gridSpan w:val="2"/>
          </w:tcPr>
          <w:p>
            <w:pPr>
              <w:jc w:val="right"/>
              <w:ind w:right="20"/>
              <w:spacing w:after="0"/>
              <w:rPr>
                <w:sz w:val="20"/>
                <w:szCs w:val="20"/>
                <w:color w:val="auto"/>
              </w:rPr>
            </w:pPr>
            <w:r>
              <w:rPr>
                <w:rFonts w:ascii="Arial" w:cs="Arial" w:eastAsia="Arial" w:hAnsi="Arial"/>
                <w:sz w:val="13"/>
                <w:szCs w:val="13"/>
                <w:color w:val="auto"/>
              </w:rPr>
              <w:t>0.3%</w:t>
            </w:r>
          </w:p>
        </w:tc>
        <w:tc>
          <w:tcPr>
            <w:tcW w:w="2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43.03</w:t>
            </w:r>
          </w:p>
        </w:tc>
      </w:tr>
      <w:tr>
        <w:trPr>
          <w:trHeight w:val="20"/>
        </w:trPr>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7"/>
        </w:trPr>
        <w:tc>
          <w:tcPr>
            <w:tcW w:w="11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12.9%</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41.78</w:t>
            </w:r>
          </w:p>
        </w:tc>
      </w:tr>
      <w:tr>
        <w:trPr>
          <w:trHeight w:val="191"/>
        </w:trPr>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227"/>
        </w:trPr>
        <w:tc>
          <w:tcPr>
            <w:tcW w:w="11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100.0%</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36.82</w:t>
            </w:r>
          </w:p>
        </w:tc>
      </w:tr>
      <w:tr>
        <w:trPr>
          <w:trHeight w:val="49"/>
        </w:trPr>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17"/>
        </w:trPr>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27"/>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36.54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1291590"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91590" cy="22225"/>
                    </a:xfrm>
                    <a:prstGeom prst="rect">
                      <a:avLst/>
                    </a:prstGeom>
                    <a:noFill/>
                  </pic:spPr>
                </pic:pic>
              </a:graphicData>
            </a:graphic>
          </wp:anchor>
        </w:drawing>
      </w:r>
    </w:p>
    <w:p>
      <w:pPr>
        <w:spacing w:after="0" w:line="146" w:lineRule="exact"/>
        <w:rPr>
          <w:sz w:val="20"/>
          <w:szCs w:val="20"/>
          <w:color w:val="auto"/>
        </w:rPr>
      </w:pPr>
    </w:p>
    <w:p>
      <w:pPr>
        <w:sectPr>
          <w:pgSz w:w="11900" w:h="16838" w:orient="portrait"/>
          <w:cols w:equalWidth="0" w:num="3">
            <w:col w:w="8085" w:space="200"/>
            <w:col w:w="720" w:space="120"/>
            <w:col w:w="2140"/>
          </w:cols>
          <w:pgMar w:left="315" w:top="836" w:right="319" w:bottom="1440" w:gutter="0" w:footer="0" w:header="0"/>
          <w:type w:val="continuous"/>
        </w:sectPr>
      </w:pPr>
    </w:p>
    <w:p>
      <w:pPr>
        <w:ind w:left="5" w:right="260" w:hanging="5"/>
        <w:spacing w:after="0" w:line="229" w:lineRule="auto"/>
        <w:tabs>
          <w:tab w:leader="none" w:pos="132" w:val="left"/>
        </w:tabs>
        <w:numPr>
          <w:ilvl w:val="0"/>
          <w:numId w:val="16"/>
        </w:numPr>
        <w:rPr>
          <w:rFonts w:ascii="Arial" w:cs="Arial" w:eastAsia="Arial" w:hAnsi="Arial"/>
          <w:sz w:val="16"/>
          <w:szCs w:val="16"/>
          <w:color w:val="404040"/>
          <w:vertAlign w:val="superscript"/>
        </w:rPr>
      </w:pPr>
      <w:r>
        <w:rPr>
          <w:rFonts w:ascii="Arial" w:cs="Arial" w:eastAsia="Arial" w:hAnsi="Arial"/>
          <w:sz w:val="12"/>
          <w:szCs w:val="12"/>
          <w:color w:val="53565A"/>
        </w:rPr>
        <w:t>316,318 square feet leased to U.S. Citizenship and Immigration Services ("USCIS") will expire on February 19, 2042 and contains two five-year renewal options. 62,165 square feet leased to three private tenants will expire between 2027-2030 and each contains renewal options.</w:t>
      </w:r>
    </w:p>
    <w:p>
      <w:pPr>
        <w:spacing w:after="0" w:line="53" w:lineRule="exact"/>
        <w:rPr>
          <w:rFonts w:ascii="Arial" w:cs="Arial" w:eastAsia="Arial" w:hAnsi="Arial"/>
          <w:sz w:val="16"/>
          <w:szCs w:val="16"/>
          <w:color w:val="404040"/>
          <w:vertAlign w:val="superscript"/>
        </w:rPr>
      </w:pPr>
    </w:p>
    <w:p>
      <w:pPr>
        <w:ind w:left="125" w:hanging="125"/>
        <w:spacing w:after="0"/>
        <w:tabs>
          <w:tab w:leader="none" w:pos="125" w:val="left"/>
        </w:tabs>
        <w:numPr>
          <w:ilvl w:val="0"/>
          <w:numId w:val="16"/>
        </w:numPr>
        <w:rPr>
          <w:rFonts w:ascii="Arial" w:cs="Arial" w:eastAsia="Arial" w:hAnsi="Arial"/>
          <w:sz w:val="15"/>
          <w:szCs w:val="15"/>
          <w:color w:val="53565A"/>
          <w:vertAlign w:val="superscript"/>
        </w:rPr>
      </w:pPr>
      <w:r>
        <w:rPr>
          <w:rFonts w:ascii="Arial" w:cs="Arial" w:eastAsia="Arial" w:hAnsi="Arial"/>
          <w:sz w:val="11"/>
          <w:szCs w:val="11"/>
          <w:color w:val="53565A"/>
        </w:rPr>
        <w:t>Lease contains one five-year renewal option.</w:t>
      </w:r>
    </w:p>
    <w:p>
      <w:pPr>
        <w:spacing w:after="0" w:line="46" w:lineRule="exact"/>
        <w:rPr>
          <w:rFonts w:ascii="Arial" w:cs="Arial" w:eastAsia="Arial" w:hAnsi="Arial"/>
          <w:sz w:val="15"/>
          <w:szCs w:val="15"/>
          <w:color w:val="53565A"/>
          <w:vertAlign w:val="superscript"/>
        </w:rPr>
      </w:pPr>
    </w:p>
    <w:p>
      <w:pPr>
        <w:ind w:left="5" w:right="240" w:hanging="5"/>
        <w:spacing w:after="0" w:line="234" w:lineRule="auto"/>
        <w:tabs>
          <w:tab w:leader="none" w:pos="132" w:val="left"/>
        </w:tabs>
        <w:numPr>
          <w:ilvl w:val="0"/>
          <w:numId w:val="16"/>
        </w:numPr>
        <w:rPr>
          <w:rFonts w:ascii="Arial" w:cs="Arial" w:eastAsia="Arial" w:hAnsi="Arial"/>
          <w:sz w:val="16"/>
          <w:szCs w:val="16"/>
          <w:color w:val="53565A"/>
          <w:vertAlign w:val="superscript"/>
        </w:rPr>
      </w:pPr>
      <w:r>
        <w:rPr>
          <w:rFonts w:ascii="Arial" w:cs="Arial" w:eastAsia="Arial" w:hAnsi="Arial"/>
          <w:sz w:val="12"/>
          <w:szCs w:val="12"/>
          <w:color w:val="53565A"/>
        </w:rPr>
        <w:t>33,407 square feet leased to the U.S. Army Corps of Engineers ("ACOE") will expire on February 19, 2030 and contains one five-year renewal options. 21,646 square feet leased to the Federal Bureau of Investigation ("FBI") will expire on December 31, 2029 and contains one five-year renewal option. 11,061 square feet leased to five private tenants will expire between 2027-2036 and each contains renewal options. 4,846 square feet leased to the Department of Energy ("DOE") will expire on April 14, 2033 and contains one ten-year renewal option.</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type w:val="continuous"/>
        </w:sectPr>
      </w:pPr>
    </w:p>
    <w:bookmarkStart w:id="34" w:name="page35"/>
    <w:bookmarkEnd w:id="34"/>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Leased Operating Property Overview (Cont.)</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324" w:lineRule="exact"/>
        <w:rPr>
          <w:sz w:val="20"/>
          <w:szCs w:val="20"/>
          <w:color w:val="auto"/>
        </w:rPr>
      </w:pPr>
    </w:p>
    <w:p>
      <w:pPr>
        <w:ind w:left="5" w:right="280" w:hanging="5"/>
        <w:spacing w:after="0" w:line="229" w:lineRule="auto"/>
        <w:tabs>
          <w:tab w:leader="none" w:pos="132" w:val="left"/>
        </w:tabs>
        <w:numPr>
          <w:ilvl w:val="0"/>
          <w:numId w:val="17"/>
        </w:numPr>
        <w:rPr>
          <w:rFonts w:ascii="Arial" w:cs="Arial" w:eastAsia="Arial" w:hAnsi="Arial"/>
          <w:sz w:val="16"/>
          <w:szCs w:val="16"/>
          <w:color w:val="53565A"/>
          <w:vertAlign w:val="superscript"/>
        </w:rPr>
      </w:pPr>
      <w:r>
        <w:rPr>
          <w:rFonts w:ascii="Arial" w:cs="Arial" w:eastAsia="Arial" w:hAnsi="Arial"/>
          <w:sz w:val="12"/>
          <w:szCs w:val="12"/>
          <w:color w:val="53565A"/>
        </w:rPr>
        <w:t>80,523 square feet leased to the U.S. Immigration and Customs Enforcement ("ICE") will expire on September 14, 2040. 29,074 square feet leased to a private tenant will expire on September 30, 2032 and contains one five-year renewal option. 25,603 square feet leased to a private tenant will expire on January 31, 2032 and contains one five-year renewal option.</w:t>
      </w:r>
    </w:p>
    <w:p>
      <w:pPr>
        <w:spacing w:after="0" w:line="53" w:lineRule="exact"/>
        <w:rPr>
          <w:rFonts w:ascii="Arial" w:cs="Arial" w:eastAsia="Arial" w:hAnsi="Arial"/>
          <w:sz w:val="16"/>
          <w:szCs w:val="16"/>
          <w:color w:val="53565A"/>
          <w:vertAlign w:val="superscript"/>
        </w:rPr>
      </w:pPr>
    </w:p>
    <w:p>
      <w:pPr>
        <w:ind w:left="125" w:hanging="125"/>
        <w:spacing w:after="0"/>
        <w:tabs>
          <w:tab w:leader="none" w:pos="125" w:val="left"/>
        </w:tabs>
        <w:numPr>
          <w:ilvl w:val="0"/>
          <w:numId w:val="17"/>
        </w:numPr>
        <w:rPr>
          <w:rFonts w:ascii="Arial" w:cs="Arial" w:eastAsia="Arial" w:hAnsi="Arial"/>
          <w:sz w:val="15"/>
          <w:szCs w:val="15"/>
          <w:color w:val="53565A"/>
          <w:vertAlign w:val="superscript"/>
        </w:rPr>
      </w:pPr>
      <w:r>
        <w:rPr>
          <w:rFonts w:ascii="Arial" w:cs="Arial" w:eastAsia="Arial" w:hAnsi="Arial"/>
          <w:sz w:val="11"/>
          <w:szCs w:val="11"/>
          <w:color w:val="53565A"/>
        </w:rPr>
        <w:t>Lease contains one ten-year renewal option.</w:t>
      </w:r>
    </w:p>
    <w:p>
      <w:pPr>
        <w:spacing w:after="0" w:line="46" w:lineRule="exact"/>
        <w:rPr>
          <w:rFonts w:ascii="Arial" w:cs="Arial" w:eastAsia="Arial" w:hAnsi="Arial"/>
          <w:sz w:val="15"/>
          <w:szCs w:val="15"/>
          <w:color w:val="53565A"/>
          <w:vertAlign w:val="superscript"/>
        </w:rPr>
      </w:pPr>
    </w:p>
    <w:p>
      <w:pPr>
        <w:ind w:left="5" w:right="320" w:hanging="5"/>
        <w:spacing w:after="0" w:line="229" w:lineRule="auto"/>
        <w:tabs>
          <w:tab w:leader="none" w:pos="132" w:val="left"/>
        </w:tabs>
        <w:numPr>
          <w:ilvl w:val="0"/>
          <w:numId w:val="17"/>
        </w:numPr>
        <w:rPr>
          <w:rFonts w:ascii="Arial" w:cs="Arial" w:eastAsia="Arial" w:hAnsi="Arial"/>
          <w:sz w:val="16"/>
          <w:szCs w:val="16"/>
          <w:color w:val="53565A"/>
          <w:vertAlign w:val="superscript"/>
        </w:rPr>
      </w:pPr>
      <w:r>
        <w:rPr>
          <w:rFonts w:ascii="Arial" w:cs="Arial" w:eastAsia="Arial" w:hAnsi="Arial"/>
          <w:sz w:val="12"/>
          <w:szCs w:val="12"/>
          <w:color w:val="53565A"/>
        </w:rPr>
        <w:t>29,737 square feet leased to the U.S. Customs and Border Protection ("CBP") will expire on April 30, 2038. 17,373 square feet leased to a private tenant will expire on December 31, 2031 and contains two five-year renewal options. 49,125 square feet leased to the Transportation Security Administration ("TSA") will expire on December 14, 2038 and contains one five-year renewal option.</w:t>
      </w:r>
    </w:p>
    <w:p>
      <w:pPr>
        <w:spacing w:after="0" w:line="41" w:lineRule="exact"/>
        <w:rPr>
          <w:rFonts w:ascii="Arial" w:cs="Arial" w:eastAsia="Arial" w:hAnsi="Arial"/>
          <w:sz w:val="16"/>
          <w:szCs w:val="16"/>
          <w:color w:val="53565A"/>
          <w:vertAlign w:val="superscript"/>
        </w:rPr>
      </w:pPr>
    </w:p>
    <w:p>
      <w:pPr>
        <w:ind w:left="125" w:hanging="125"/>
        <w:spacing w:after="0"/>
        <w:tabs>
          <w:tab w:leader="none" w:pos="125" w:val="left"/>
        </w:tabs>
        <w:numPr>
          <w:ilvl w:val="0"/>
          <w:numId w:val="17"/>
        </w:numPr>
        <w:rPr>
          <w:rFonts w:ascii="Arial" w:cs="Arial" w:eastAsia="Arial" w:hAnsi="Arial"/>
          <w:sz w:val="15"/>
          <w:szCs w:val="15"/>
          <w:color w:val="404040"/>
          <w:vertAlign w:val="superscript"/>
        </w:rPr>
      </w:pPr>
      <w:r>
        <w:rPr>
          <w:rFonts w:ascii="Arial" w:cs="Arial" w:eastAsia="Arial" w:hAnsi="Arial"/>
          <w:sz w:val="11"/>
          <w:szCs w:val="11"/>
          <w:color w:val="53565A"/>
        </w:rPr>
        <w:t>Lease contains two five-year renewal options.</w:t>
      </w:r>
    </w:p>
    <w:p>
      <w:pPr>
        <w:spacing w:after="0" w:line="58" w:lineRule="exact"/>
        <w:rPr>
          <w:rFonts w:ascii="Arial" w:cs="Arial" w:eastAsia="Arial" w:hAnsi="Arial"/>
          <w:sz w:val="15"/>
          <w:szCs w:val="15"/>
          <w:color w:val="404040"/>
          <w:vertAlign w:val="superscript"/>
        </w:rPr>
      </w:pPr>
    </w:p>
    <w:p>
      <w:pPr>
        <w:ind w:left="5" w:right="220" w:hanging="5"/>
        <w:spacing w:after="0" w:line="229" w:lineRule="auto"/>
        <w:tabs>
          <w:tab w:leader="none" w:pos="132" w:val="left"/>
        </w:tabs>
        <w:numPr>
          <w:ilvl w:val="0"/>
          <w:numId w:val="17"/>
        </w:numPr>
        <w:rPr>
          <w:rFonts w:ascii="Arial" w:cs="Arial" w:eastAsia="Arial" w:hAnsi="Arial"/>
          <w:sz w:val="16"/>
          <w:szCs w:val="16"/>
          <w:color w:val="404040"/>
          <w:vertAlign w:val="superscript"/>
        </w:rPr>
      </w:pPr>
      <w:r>
        <w:rPr>
          <w:rFonts w:ascii="Arial" w:cs="Arial" w:eastAsia="Arial" w:hAnsi="Arial"/>
          <w:sz w:val="12"/>
          <w:szCs w:val="12"/>
          <w:color w:val="404040"/>
        </w:rPr>
        <w:t xml:space="preserve">40,502 square feet leased to the U.S. </w:t>
      </w:r>
      <w:r>
        <w:rPr>
          <w:rFonts w:ascii="Arial" w:cs="Arial" w:eastAsia="Arial" w:hAnsi="Arial"/>
          <w:sz w:val="12"/>
          <w:szCs w:val="12"/>
          <w:color w:val="53565A"/>
        </w:rPr>
        <w:t>Immigration and Customs Enforcement ("ICE") will expire on August 31, 2031. 11,402 square feet leased to a private tenant will expire on December 31, 2028</w:t>
      </w:r>
      <w:r>
        <w:rPr>
          <w:rFonts w:ascii="Arial" w:cs="Arial" w:eastAsia="Arial" w:hAnsi="Arial"/>
          <w:sz w:val="12"/>
          <w:szCs w:val="12"/>
          <w:color w:val="404040"/>
        </w:rPr>
        <w:t xml:space="preserve"> </w:t>
      </w:r>
      <w:r>
        <w:rPr>
          <w:rFonts w:ascii="Arial" w:cs="Arial" w:eastAsia="Arial" w:hAnsi="Arial"/>
          <w:sz w:val="12"/>
          <w:szCs w:val="12"/>
          <w:color w:val="53565A"/>
        </w:rPr>
        <w:t>and contains two five-year renewal options. 9,480 square feet leased to the U.S. National Oceanic and Atmospheric Administration ("NOAA") will expire on September 13, 2040.</w:t>
      </w:r>
    </w:p>
    <w:p>
      <w:pPr>
        <w:spacing w:after="0" w:line="47" w:lineRule="exact"/>
        <w:rPr>
          <w:rFonts w:ascii="Arial" w:cs="Arial" w:eastAsia="Arial" w:hAnsi="Arial"/>
          <w:sz w:val="16"/>
          <w:szCs w:val="16"/>
          <w:color w:val="404040"/>
          <w:vertAlign w:val="superscript"/>
        </w:rPr>
      </w:pPr>
    </w:p>
    <w:p>
      <w:pPr>
        <w:ind w:left="5" w:right="140" w:hanging="5"/>
        <w:spacing w:after="0" w:line="229" w:lineRule="auto"/>
        <w:tabs>
          <w:tab w:leader="none" w:pos="132" w:val="left"/>
        </w:tabs>
        <w:numPr>
          <w:ilvl w:val="0"/>
          <w:numId w:val="17"/>
        </w:numPr>
        <w:rPr>
          <w:rFonts w:ascii="Arial" w:cs="Arial" w:eastAsia="Arial" w:hAnsi="Arial"/>
          <w:sz w:val="16"/>
          <w:szCs w:val="16"/>
          <w:color w:val="404040"/>
          <w:vertAlign w:val="superscript"/>
        </w:rPr>
      </w:pPr>
      <w:r>
        <w:rPr>
          <w:rFonts w:ascii="Arial" w:cs="Arial" w:eastAsia="Arial" w:hAnsi="Arial"/>
          <w:sz w:val="12"/>
          <w:szCs w:val="12"/>
          <w:color w:val="404040"/>
        </w:rPr>
        <w:t>237,118 square feet leased to the District of Columbia Government will expire on February 28, 2038 and contains one five-year renewal option. 16,096 square feet leased to three private tenants will expire between 2027-2031 and each contains renewal options</w:t>
      </w:r>
      <w:r>
        <w:rPr>
          <w:rFonts w:ascii="Arial" w:cs="Arial" w:eastAsia="Arial" w:hAnsi="Arial"/>
          <w:sz w:val="12"/>
          <w:szCs w:val="12"/>
          <w:color w:val="53565A"/>
        </w:rPr>
        <w:t>. 26,327 square feet leased to the Internal Revenue Service ("IRS") will expire on December 21, 2029.</w:t>
      </w:r>
    </w:p>
    <w:p>
      <w:pPr>
        <w:spacing w:after="0" w:line="47" w:lineRule="exact"/>
        <w:rPr>
          <w:rFonts w:ascii="Arial" w:cs="Arial" w:eastAsia="Arial" w:hAnsi="Arial"/>
          <w:sz w:val="16"/>
          <w:szCs w:val="16"/>
          <w:color w:val="404040"/>
          <w:vertAlign w:val="superscript"/>
        </w:rPr>
      </w:pPr>
    </w:p>
    <w:p>
      <w:pPr>
        <w:ind w:left="5" w:right="20" w:hanging="5"/>
        <w:spacing w:after="0" w:line="257" w:lineRule="auto"/>
        <w:tabs>
          <w:tab w:leader="none" w:pos="179" w:val="left"/>
        </w:tabs>
        <w:numPr>
          <w:ilvl w:val="0"/>
          <w:numId w:val="17"/>
        </w:numPr>
        <w:rPr>
          <w:rFonts w:ascii="Arial" w:cs="Arial" w:eastAsia="Arial" w:hAnsi="Arial"/>
          <w:sz w:val="15"/>
          <w:szCs w:val="15"/>
          <w:color w:val="404040"/>
          <w:vertAlign w:val="superscript"/>
        </w:rPr>
      </w:pPr>
      <w:r>
        <w:rPr>
          <w:rFonts w:ascii="Arial" w:cs="Arial" w:eastAsia="Arial" w:hAnsi="Arial"/>
          <w:sz w:val="11"/>
          <w:szCs w:val="11"/>
          <w:color w:val="53565A"/>
        </w:rPr>
        <w:t>75,864 square feet leased to Wake County Public School System will expire on June 30, 2034 and contains two eight-year renewal options. 37,858 square feet leased to a private tenant will expire on December 31, 2027 and contains one five-year renewal option.</w:t>
      </w:r>
    </w:p>
    <w:p>
      <w:pPr>
        <w:spacing w:after="0" w:line="40" w:lineRule="exact"/>
        <w:rPr>
          <w:rFonts w:ascii="Arial" w:cs="Arial" w:eastAsia="Arial" w:hAnsi="Arial"/>
          <w:sz w:val="15"/>
          <w:szCs w:val="15"/>
          <w:color w:val="404040"/>
          <w:vertAlign w:val="superscript"/>
        </w:rPr>
      </w:pPr>
    </w:p>
    <w:p>
      <w:pPr>
        <w:ind w:left="185" w:hanging="185"/>
        <w:spacing w:after="0"/>
        <w:tabs>
          <w:tab w:leader="none" w:pos="185" w:val="left"/>
        </w:tabs>
        <w:numPr>
          <w:ilvl w:val="0"/>
          <w:numId w:val="17"/>
        </w:numPr>
        <w:rPr>
          <w:rFonts w:ascii="Arial" w:cs="Arial" w:eastAsia="Arial" w:hAnsi="Arial"/>
          <w:sz w:val="15"/>
          <w:szCs w:val="15"/>
          <w:color w:val="53565A"/>
          <w:vertAlign w:val="superscript"/>
        </w:rPr>
      </w:pPr>
      <w:r>
        <w:rPr>
          <w:rFonts w:ascii="Arial" w:cs="Arial" w:eastAsia="Arial" w:hAnsi="Arial"/>
          <w:sz w:val="11"/>
          <w:szCs w:val="11"/>
          <w:color w:val="53565A"/>
        </w:rPr>
        <w:t>Lease contains two eight-year renewal options.</w:t>
      </w:r>
    </w:p>
    <w:p>
      <w:pPr>
        <w:spacing w:after="0" w:line="46" w:lineRule="exact"/>
        <w:rPr>
          <w:rFonts w:ascii="Arial" w:cs="Arial" w:eastAsia="Arial" w:hAnsi="Arial"/>
          <w:sz w:val="15"/>
          <w:szCs w:val="15"/>
          <w:color w:val="53565A"/>
          <w:vertAlign w:val="superscript"/>
        </w:rPr>
      </w:pPr>
    </w:p>
    <w:p>
      <w:pPr>
        <w:ind w:left="165" w:hanging="165"/>
        <w:spacing w:after="0"/>
        <w:tabs>
          <w:tab w:leader="none" w:pos="165" w:val="left"/>
        </w:tabs>
        <w:numPr>
          <w:ilvl w:val="0"/>
          <w:numId w:val="17"/>
        </w:numPr>
        <w:rPr>
          <w:rFonts w:ascii="Arial" w:cs="Arial" w:eastAsia="Arial" w:hAnsi="Arial"/>
          <w:sz w:val="13"/>
          <w:szCs w:val="13"/>
          <w:color w:val="404040"/>
          <w:vertAlign w:val="superscript"/>
        </w:rPr>
      </w:pPr>
      <w:r>
        <w:rPr>
          <w:rFonts w:ascii="Arial" w:cs="Arial" w:eastAsia="Arial" w:hAnsi="Arial"/>
          <w:sz w:val="10"/>
          <w:szCs w:val="10"/>
          <w:color w:val="404040"/>
        </w:rPr>
        <w:t>124,066 square feet leased to three private tenants will expire between 2027-2031 and each contains renewal options.</w:t>
      </w:r>
    </w:p>
    <w:p>
      <w:pPr>
        <w:spacing w:after="0" w:line="63" w:lineRule="exact"/>
        <w:rPr>
          <w:rFonts w:ascii="Arial" w:cs="Arial" w:eastAsia="Arial" w:hAnsi="Arial"/>
          <w:sz w:val="13"/>
          <w:szCs w:val="13"/>
          <w:color w:val="404040"/>
          <w:vertAlign w:val="superscript"/>
        </w:rPr>
      </w:pPr>
    </w:p>
    <w:p>
      <w:pPr>
        <w:ind w:left="165" w:hanging="165"/>
        <w:spacing w:after="0"/>
        <w:tabs>
          <w:tab w:leader="none" w:pos="165" w:val="left"/>
        </w:tabs>
        <w:numPr>
          <w:ilvl w:val="0"/>
          <w:numId w:val="17"/>
        </w:numPr>
        <w:rPr>
          <w:rFonts w:ascii="Arial" w:cs="Arial" w:eastAsia="Arial" w:hAnsi="Arial"/>
          <w:sz w:val="13"/>
          <w:szCs w:val="13"/>
          <w:color w:val="404040"/>
          <w:vertAlign w:val="superscript"/>
        </w:rPr>
      </w:pPr>
      <w:r>
        <w:rPr>
          <w:rFonts w:ascii="Arial" w:cs="Arial" w:eastAsia="Arial" w:hAnsi="Arial"/>
          <w:sz w:val="10"/>
          <w:szCs w:val="10"/>
          <w:color w:val="53565A"/>
        </w:rPr>
        <w:t>The Company owns 53.0% of the property through an unconsolidated joint venture.</w:t>
      </w:r>
    </w:p>
    <w:p>
      <w:pPr>
        <w:spacing w:after="0" w:line="68" w:lineRule="exact"/>
        <w:rPr>
          <w:rFonts w:ascii="Arial" w:cs="Arial" w:eastAsia="Arial" w:hAnsi="Arial"/>
          <w:sz w:val="13"/>
          <w:szCs w:val="13"/>
          <w:color w:val="404040"/>
          <w:vertAlign w:val="superscript"/>
        </w:rPr>
      </w:pPr>
    </w:p>
    <w:p>
      <w:pPr>
        <w:ind w:left="185" w:hanging="185"/>
        <w:spacing w:after="0"/>
        <w:tabs>
          <w:tab w:leader="none" w:pos="185" w:val="left"/>
        </w:tabs>
        <w:numPr>
          <w:ilvl w:val="0"/>
          <w:numId w:val="17"/>
        </w:numPr>
        <w:rPr>
          <w:rFonts w:ascii="Arial" w:cs="Arial" w:eastAsia="Arial" w:hAnsi="Arial"/>
          <w:sz w:val="15"/>
          <w:szCs w:val="15"/>
          <w:color w:val="53565A"/>
          <w:vertAlign w:val="superscript"/>
        </w:rPr>
      </w:pPr>
      <w:r>
        <w:rPr>
          <w:rFonts w:ascii="Arial" w:cs="Arial" w:eastAsia="Arial" w:hAnsi="Arial"/>
          <w:sz w:val="11"/>
          <w:szCs w:val="11"/>
          <w:color w:val="53565A"/>
        </w:rPr>
        <w:t>Asset is subject to a ground lease where the unconsolidated joint venture is the lessee.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bookmarkStart w:id="35" w:name="page36"/>
    <w:bookmarkEnd w:id="35"/>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Tenants</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40" w:type="dxa"/>
            <w:vAlign w:val="bottom"/>
          </w:tcPr>
          <w:p>
            <w:pPr>
              <w:jc w:val="center"/>
              <w:ind w:left="277"/>
              <w:spacing w:after="0" w:line="142" w:lineRule="exact"/>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7"/>
              </w:rPr>
              <w:t>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940" w:type="dxa"/>
            <w:vAlign w:val="bottom"/>
          </w:tcPr>
          <w:p>
            <w:pPr>
              <w:jc w:val="center"/>
              <w:ind w:left="297"/>
              <w:spacing w:after="0" w:line="142" w:lineRule="exact"/>
              <w:rPr>
                <w:sz w:val="20"/>
                <w:szCs w:val="20"/>
                <w:color w:val="auto"/>
              </w:rPr>
            </w:pPr>
            <w:r>
              <w:rPr>
                <w:rFonts w:ascii="Arial" w:cs="Arial" w:eastAsia="Arial" w:hAnsi="Arial"/>
                <w:sz w:val="13"/>
                <w:szCs w:val="13"/>
                <w:b w:val="1"/>
                <w:bCs w:val="1"/>
                <w:color w:val="auto"/>
                <w:w w:val="97"/>
              </w:rPr>
              <w:t>Average</w:t>
            </w:r>
          </w:p>
        </w:tc>
        <w:tc>
          <w:tcPr>
            <w:tcW w:w="1340" w:type="dxa"/>
            <w:vAlign w:val="bottom"/>
          </w:tcPr>
          <w:p>
            <w:pPr>
              <w:spacing w:after="0"/>
              <w:rPr>
                <w:sz w:val="12"/>
                <w:szCs w:val="12"/>
                <w:color w:val="auto"/>
              </w:rPr>
            </w:pPr>
          </w:p>
        </w:tc>
        <w:tc>
          <w:tcPr>
            <w:tcW w:w="1300" w:type="dxa"/>
            <w:vAlign w:val="bottom"/>
          </w:tcPr>
          <w:p>
            <w:pPr>
              <w:jc w:val="center"/>
              <w:ind w:right="157"/>
              <w:spacing w:after="0" w:line="142" w:lineRule="exact"/>
              <w:rPr>
                <w:sz w:val="20"/>
                <w:szCs w:val="20"/>
                <w:color w:val="auto"/>
              </w:rPr>
            </w:pPr>
            <w:r>
              <w:rPr>
                <w:rFonts w:ascii="Arial" w:cs="Arial" w:eastAsia="Arial" w:hAnsi="Arial"/>
                <w:sz w:val="13"/>
                <w:szCs w:val="13"/>
                <w:b w:val="1"/>
                <w:bCs w:val="1"/>
                <w:color w:val="auto"/>
                <w:w w:val="96"/>
              </w:rPr>
              <w:t>Percentage</w:t>
            </w:r>
          </w:p>
        </w:tc>
        <w:tc>
          <w:tcPr>
            <w:tcW w:w="1360" w:type="dxa"/>
            <w:vAlign w:val="bottom"/>
          </w:tcPr>
          <w:p>
            <w:pPr>
              <w:spacing w:after="0"/>
              <w:rPr>
                <w:sz w:val="12"/>
                <w:szCs w:val="12"/>
                <w:color w:val="auto"/>
              </w:rPr>
            </w:pP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Annualized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940" w:type="dxa"/>
            <w:vAlign w:val="bottom"/>
          </w:tcPr>
          <w:p>
            <w:pPr>
              <w:jc w:val="center"/>
              <w:ind w:left="277"/>
              <w:spacing w:after="0" w:line="126" w:lineRule="exact"/>
              <w:rPr>
                <w:sz w:val="20"/>
                <w:szCs w:val="20"/>
                <w:color w:val="auto"/>
              </w:rPr>
            </w:pPr>
            <w:r>
              <w:rPr>
                <w:rFonts w:ascii="Arial" w:cs="Arial" w:eastAsia="Arial" w:hAnsi="Arial"/>
                <w:sz w:val="13"/>
                <w:szCs w:val="13"/>
                <w:b w:val="1"/>
                <w:bCs w:val="1"/>
                <w:color w:val="auto"/>
                <w:w w:val="96"/>
              </w:rPr>
              <w:t>Remaining</w:t>
            </w:r>
          </w:p>
        </w:tc>
        <w:tc>
          <w:tcPr>
            <w:tcW w:w="1340" w:type="dxa"/>
            <w:vAlign w:val="bottom"/>
          </w:tcPr>
          <w:p>
            <w:pPr>
              <w:jc w:val="right"/>
              <w:ind w:right="517"/>
              <w:spacing w:after="0" w:line="126" w:lineRule="exact"/>
              <w:rPr>
                <w:sz w:val="20"/>
                <w:szCs w:val="20"/>
                <w:color w:val="auto"/>
              </w:rPr>
            </w:pPr>
            <w:r>
              <w:rPr>
                <w:rFonts w:ascii="Arial" w:cs="Arial" w:eastAsia="Arial" w:hAnsi="Arial"/>
                <w:sz w:val="13"/>
                <w:szCs w:val="13"/>
                <w:b w:val="1"/>
                <w:bCs w:val="1"/>
                <w:color w:val="auto"/>
              </w:rPr>
              <w:t>Leased</w:t>
            </w:r>
          </w:p>
        </w:tc>
        <w:tc>
          <w:tcPr>
            <w:tcW w:w="1300" w:type="dxa"/>
            <w:vAlign w:val="bottom"/>
          </w:tcPr>
          <w:p>
            <w:pPr>
              <w:jc w:val="center"/>
              <w:ind w:right="157"/>
              <w:spacing w:after="0" w:line="126" w:lineRule="exact"/>
              <w:rPr>
                <w:sz w:val="20"/>
                <w:szCs w:val="20"/>
                <w:color w:val="auto"/>
              </w:rPr>
            </w:pPr>
            <w:r>
              <w:rPr>
                <w:rFonts w:ascii="Arial" w:cs="Arial" w:eastAsia="Arial" w:hAnsi="Arial"/>
                <w:sz w:val="13"/>
                <w:szCs w:val="13"/>
                <w:b w:val="1"/>
                <w:bCs w:val="1"/>
                <w:color w:val="auto"/>
                <w:w w:val="98"/>
              </w:rPr>
              <w:t>of Leased</w:t>
            </w:r>
          </w:p>
        </w:tc>
        <w:tc>
          <w:tcPr>
            <w:tcW w:w="1360" w:type="dxa"/>
            <w:vAlign w:val="bottom"/>
          </w:tcPr>
          <w:p>
            <w:pPr>
              <w:jc w:val="right"/>
              <w:ind w:right="397"/>
              <w:spacing w:after="0" w:line="126" w:lineRule="exact"/>
              <w:rPr>
                <w:sz w:val="20"/>
                <w:szCs w:val="20"/>
                <w:color w:val="auto"/>
              </w:rPr>
            </w:pPr>
            <w:r>
              <w:rPr>
                <w:rFonts w:ascii="Arial" w:cs="Arial" w:eastAsia="Arial" w:hAnsi="Arial"/>
                <w:sz w:val="13"/>
                <w:szCs w:val="13"/>
                <w:b w:val="1"/>
                <w:bCs w:val="1"/>
                <w:color w:val="auto"/>
              </w:rPr>
              <w:t>Annualized</w:t>
            </w:r>
          </w:p>
        </w:tc>
        <w:tc>
          <w:tcPr>
            <w:tcW w:w="114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2"/>
              </w:rPr>
              <w:t>Lease</w:t>
            </w:r>
          </w:p>
        </w:tc>
        <w:tc>
          <w:tcPr>
            <w:tcW w:w="0" w:type="dxa"/>
            <w:vAlign w:val="bottom"/>
          </w:tcPr>
          <w:p>
            <w:pPr>
              <w:spacing w:after="0"/>
              <w:rPr>
                <w:sz w:val="1"/>
                <w:szCs w:val="1"/>
                <w:color w:val="auto"/>
              </w:rPr>
            </w:pPr>
          </w:p>
        </w:tc>
      </w:tr>
      <w:tr>
        <w:trPr>
          <w:trHeight w:val="166"/>
        </w:trPr>
        <w:tc>
          <w:tcPr>
            <w:tcW w:w="4180" w:type="dxa"/>
            <w:vAlign w:val="bottom"/>
            <w:gridSpan w:val="2"/>
          </w:tcPr>
          <w:p>
            <w:pPr>
              <w:spacing w:after="0"/>
              <w:rPr>
                <w:sz w:val="20"/>
                <w:szCs w:val="20"/>
                <w:color w:val="auto"/>
              </w:rPr>
            </w:pPr>
            <w:r>
              <w:rPr>
                <w:rFonts w:ascii="Arial" w:cs="Arial" w:eastAsia="Arial" w:hAnsi="Arial"/>
                <w:sz w:val="13"/>
                <w:szCs w:val="13"/>
                <w:b w:val="1"/>
                <w:bCs w:val="1"/>
                <w:color w:val="auto"/>
              </w:rPr>
              <w:t>Tenant</w:t>
            </w:r>
          </w:p>
        </w:tc>
        <w:tc>
          <w:tcPr>
            <w:tcW w:w="1940" w:type="dxa"/>
            <w:vAlign w:val="bottom"/>
          </w:tcPr>
          <w:p>
            <w:pPr>
              <w:jc w:val="center"/>
              <w:ind w:left="277"/>
              <w:spacing w:after="0" w:line="165" w:lineRule="exact"/>
              <w:rPr>
                <w:sz w:val="20"/>
                <w:szCs w:val="20"/>
                <w:color w:val="auto"/>
              </w:rPr>
            </w:pPr>
            <w:r>
              <w:rPr>
                <w:rFonts w:ascii="Arial" w:cs="Arial" w:eastAsia="Arial" w:hAnsi="Arial"/>
                <w:sz w:val="13"/>
                <w:szCs w:val="13"/>
                <w:b w:val="1"/>
                <w:bCs w:val="1"/>
                <w:color w:val="auto"/>
                <w:w w:val="93"/>
              </w:rPr>
              <w:t>Lease Term</w:t>
            </w:r>
            <w:r>
              <w:rPr>
                <w:rFonts w:ascii="Arial" w:cs="Arial" w:eastAsia="Arial" w:hAnsi="Arial"/>
                <w:sz w:val="16"/>
                <w:szCs w:val="16"/>
                <w:b w:val="1"/>
                <w:bCs w:val="1"/>
                <w:color w:val="auto"/>
                <w:w w:val="93"/>
                <w:vertAlign w:val="superscript"/>
              </w:rPr>
              <w:t>(1)</w:t>
            </w:r>
          </w:p>
        </w:tc>
        <w:tc>
          <w:tcPr>
            <w:tcW w:w="1340" w:type="dxa"/>
            <w:vAlign w:val="bottom"/>
          </w:tcPr>
          <w:p>
            <w:pPr>
              <w:jc w:val="right"/>
              <w:ind w:right="357"/>
              <w:spacing w:after="0"/>
              <w:rPr>
                <w:sz w:val="20"/>
                <w:szCs w:val="20"/>
                <w:color w:val="auto"/>
              </w:rPr>
            </w:pPr>
            <w:r>
              <w:rPr>
                <w:rFonts w:ascii="Arial" w:cs="Arial" w:eastAsia="Arial" w:hAnsi="Arial"/>
                <w:sz w:val="13"/>
                <w:szCs w:val="13"/>
                <w:b w:val="1"/>
                <w:bCs w:val="1"/>
                <w:color w:val="auto"/>
              </w:rPr>
              <w:t>Square Feet</w:t>
            </w:r>
          </w:p>
        </w:tc>
        <w:tc>
          <w:tcPr>
            <w:tcW w:w="130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Square Feet</w:t>
            </w:r>
          </w:p>
        </w:tc>
        <w:tc>
          <w:tcPr>
            <w:tcW w:w="1360" w:type="dxa"/>
            <w:vAlign w:val="bottom"/>
          </w:tcPr>
          <w:p>
            <w:pPr>
              <w:jc w:val="right"/>
              <w:ind w:right="317"/>
              <w:spacing w:after="0"/>
              <w:rPr>
                <w:sz w:val="20"/>
                <w:szCs w:val="20"/>
                <w:color w:val="auto"/>
              </w:rPr>
            </w:pPr>
            <w:r>
              <w:rPr>
                <w:rFonts w:ascii="Arial" w:cs="Arial" w:eastAsia="Arial" w:hAnsi="Arial"/>
                <w:sz w:val="13"/>
                <w:szCs w:val="13"/>
                <w:b w:val="1"/>
                <w:bCs w:val="1"/>
                <w:color w:val="auto"/>
              </w:rPr>
              <w:t>Lease Income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Borders>
              <w:top w:val="single" w:sz="8" w:color="2B4B86"/>
            </w:tcBorders>
          </w:tcPr>
          <w:p>
            <w:pPr>
              <w:spacing w:after="0"/>
              <w:rPr>
                <w:sz w:val="2"/>
                <w:szCs w:val="2"/>
                <w:color w:val="auto"/>
              </w:rPr>
            </w:pPr>
          </w:p>
        </w:tc>
        <w:tc>
          <w:tcPr>
            <w:tcW w:w="1940" w:type="dxa"/>
            <w:vAlign w:val="bottom"/>
            <w:tcBorders>
              <w:top w:val="single" w:sz="8" w:color="2B4B86"/>
            </w:tcBorders>
          </w:tcPr>
          <w:p>
            <w:pPr>
              <w:spacing w:after="0"/>
              <w:rPr>
                <w:sz w:val="2"/>
                <w:szCs w:val="2"/>
                <w:color w:val="auto"/>
              </w:rPr>
            </w:pPr>
          </w:p>
        </w:tc>
        <w:tc>
          <w:tcPr>
            <w:tcW w:w="1340" w:type="dxa"/>
            <w:vAlign w:val="bottom"/>
            <w:tcBorders>
              <w:top w:val="single" w:sz="8" w:color="2B4B86"/>
            </w:tcBorders>
          </w:tcPr>
          <w:p>
            <w:pPr>
              <w:spacing w:after="0"/>
              <w:rPr>
                <w:sz w:val="2"/>
                <w:szCs w:val="2"/>
                <w:color w:val="auto"/>
              </w:rPr>
            </w:pPr>
          </w:p>
        </w:tc>
        <w:tc>
          <w:tcPr>
            <w:tcW w:w="1300" w:type="dxa"/>
            <w:vAlign w:val="bottom"/>
            <w:tcBorders>
              <w:top w:val="single" w:sz="8" w:color="2B4B86"/>
            </w:tcBorders>
          </w:tcPr>
          <w:p>
            <w:pPr>
              <w:spacing w:after="0"/>
              <w:rPr>
                <w:sz w:val="2"/>
                <w:szCs w:val="2"/>
                <w:color w:val="auto"/>
              </w:rPr>
            </w:pPr>
          </w:p>
        </w:tc>
        <w:tc>
          <w:tcPr>
            <w:tcW w:w="1360" w:type="dxa"/>
            <w:vAlign w:val="bottom"/>
            <w:tcBorders>
              <w:top w:val="single" w:sz="8" w:color="2B4B86"/>
            </w:tcBorders>
          </w:tcPr>
          <w:p>
            <w:pPr>
              <w:spacing w:after="0"/>
              <w:rPr>
                <w:sz w:val="2"/>
                <w:szCs w:val="2"/>
                <w:color w:val="auto"/>
              </w:rPr>
            </w:pPr>
          </w:p>
        </w:tc>
        <w:tc>
          <w:tcPr>
            <w:tcW w:w="1140" w:type="dxa"/>
            <w:vAlign w:val="bottom"/>
            <w:tcBorders>
              <w:top w:val="single" w:sz="8" w:color="2B4B86"/>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6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U.S. Government</w:t>
            </w:r>
          </w:p>
        </w:tc>
        <w:tc>
          <w:tcPr>
            <w:tcW w:w="194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60" w:type="dxa"/>
            <w:vAlign w:val="bottom"/>
          </w:tcPr>
          <w:p>
            <w:pPr>
              <w:spacing w:after="0" w:line="134" w:lineRule="exact"/>
              <w:rPr>
                <w:sz w:val="20"/>
                <w:szCs w:val="20"/>
                <w:color w:val="auto"/>
              </w:rPr>
            </w:pPr>
            <w:r>
              <w:rPr>
                <w:rFonts w:ascii="Arial" w:cs="Arial" w:eastAsia="Arial" w:hAnsi="Arial"/>
                <w:sz w:val="13"/>
                <w:szCs w:val="13"/>
                <w:color w:val="auto"/>
              </w:rPr>
              <w:t>Department of Veteran Affairs ("VA")</w:t>
            </w:r>
          </w:p>
        </w:tc>
        <w:tc>
          <w:tcPr>
            <w:tcW w:w="19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13.2</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2,251,131</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21.1%</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$96,644,400</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Federal Bureau of Investigation ("FBI")</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1,498,607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14.0%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55,308,327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Drug Enforcement Administration ("DEA")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607,290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28,951,777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Judiciary of the U.S. ("JUD")</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399,825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3.7%</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16,991,295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Food and Drug Administration ("FDA")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17.1</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291,314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2.7%</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16,376,301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Citizenship and Immigration Services ("USCIS")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520,807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4.9%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16,095,876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Immigration and Customs Enforcement ("ICE")</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7.1</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388,386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15,075,284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Internal Revenue Service ("IRS")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359,661</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12,057,531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Environmental Protection Agency ("EPA")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225,418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9,355,991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Joint Staff Command ("JSC")</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403,737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3.8%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8,556,069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Federal Aviation Administration ("FAA")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0.6</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188,768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7,925,559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Bureau of the Fiscal Service ("BFS")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266,176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2.5%</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7,075,384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Social Security Administration ("SSA")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192,185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5,690,720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Patent and Trademark Office ("PTO")</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190,546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5,393,537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Federal Emergency Management Agency ("FEMA")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210,373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4,668,336</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Attorney Office ("USAO")</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110,776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4,164,818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Department of Transportation ("DOT")</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116,046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3,585,870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Forest Service ("USFS")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98,720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3,578,032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Customs and Border Protection ("CBP")</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64,737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3,247,340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Archives and Records Administration ("NARA")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6.1</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161,730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1.5%</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2,697,002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Weather Service ("NWS")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94,378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2,180,188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Department of Agriculture ("USDA")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60,257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1,891,648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Park Service ("NPS")</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62,772</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1,873,659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Coast Guard ("USCG")</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59,547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1,646,454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National Oceanic and Atmospheric Administration ("NOAA")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33,403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1,415,899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Transportation Security Administration ("TSA")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44,075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1,180,378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Homeland Security Investigations ("HSI")</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10.0</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27,840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1,119,208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Small Business Administration ("SBA")</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44,969</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1,034,938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U.S. Army Corps of Engineers ("ACOE")</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33,407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972,321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180" w:type="dxa"/>
            <w:vAlign w:val="bottom"/>
            <w:gridSpan w:val="2"/>
          </w:tcPr>
          <w:p>
            <w:pPr>
              <w:spacing w:after="0" w:line="142" w:lineRule="exact"/>
              <w:rPr>
                <w:sz w:val="20"/>
                <w:szCs w:val="20"/>
                <w:color w:val="auto"/>
              </w:rPr>
            </w:pPr>
            <w:r>
              <w:rPr>
                <w:rFonts w:ascii="Arial" w:cs="Arial" w:eastAsia="Arial" w:hAnsi="Arial"/>
                <w:sz w:val="13"/>
                <w:szCs w:val="13"/>
                <w:color w:val="auto"/>
              </w:rPr>
              <w:t>General Services Administration - Other</w:t>
            </w:r>
          </w:p>
        </w:tc>
        <w:tc>
          <w:tcPr>
            <w:tcW w:w="19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33,365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840,955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6"/>
        </w:trPr>
        <w:tc>
          <w:tcPr>
            <w:tcW w:w="4180" w:type="dxa"/>
            <w:vAlign w:val="bottom"/>
            <w:gridSpan w:val="2"/>
          </w:tcPr>
          <w:p>
            <w:pPr>
              <w:spacing w:after="0"/>
              <w:rPr>
                <w:sz w:val="20"/>
                <w:szCs w:val="20"/>
                <w:color w:val="auto"/>
              </w:rPr>
            </w:pPr>
            <w:r>
              <w:rPr>
                <w:rFonts w:ascii="Arial" w:cs="Arial" w:eastAsia="Arial" w:hAnsi="Arial"/>
                <w:sz w:val="13"/>
                <w:szCs w:val="13"/>
                <w:color w:val="auto"/>
              </w:rPr>
              <w:t>Bureau of Alcohol, Tobacco, Firearms and Explosives ("ATF")</w:t>
            </w:r>
          </w:p>
        </w:tc>
        <w:tc>
          <w:tcPr>
            <w:tcW w:w="1940" w:type="dxa"/>
            <w:vAlign w:val="bottom"/>
          </w:tcPr>
          <w:p>
            <w:pPr>
              <w:jc w:val="right"/>
              <w:ind w:right="137"/>
              <w:spacing w:after="0"/>
              <w:rPr>
                <w:sz w:val="20"/>
                <w:szCs w:val="20"/>
                <w:color w:val="auto"/>
              </w:rPr>
            </w:pPr>
            <w:r>
              <w:rPr>
                <w:rFonts w:ascii="Arial" w:cs="Arial" w:eastAsia="Arial" w:hAnsi="Arial"/>
                <w:sz w:val="13"/>
                <w:szCs w:val="13"/>
                <w:color w:val="auto"/>
              </w:rPr>
              <w:t>6.9</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23,775</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733,654</w:t>
            </w:r>
          </w:p>
        </w:tc>
        <w:tc>
          <w:tcPr>
            <w:tcW w:w="114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36" w:name="page37"/>
    <w:bookmarkEnd w:id="36"/>
    <w:p>
      <w:pPr>
        <w:ind w:left="60"/>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Tenants (Cont.)</w:t>
      </w:r>
    </w:p>
    <w:p>
      <w:pPr>
        <w:spacing w:after="0" w:line="31" w:lineRule="exact"/>
        <w:rPr>
          <w:sz w:val="20"/>
          <w:szCs w:val="20"/>
          <w:color w:val="auto"/>
        </w:rPr>
      </w:pPr>
    </w:p>
    <w:p>
      <w:pPr>
        <w:ind w:left="60"/>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49465" cy="22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120" w:type="dxa"/>
            <w:vAlign w:val="bottom"/>
          </w:tcPr>
          <w:p>
            <w:pPr>
              <w:jc w:val="center"/>
              <w:ind w:left="457"/>
              <w:spacing w:after="0" w:line="142" w:lineRule="exact"/>
              <w:rPr>
                <w:sz w:val="20"/>
                <w:szCs w:val="20"/>
                <w:color w:val="auto"/>
              </w:rPr>
            </w:pPr>
            <w:r>
              <w:rPr>
                <w:rFonts w:ascii="Arial" w:cs="Arial" w:eastAsia="Arial" w:hAnsi="Arial"/>
                <w:sz w:val="13"/>
                <w:szCs w:val="13"/>
                <w:b w:val="1"/>
                <w:bCs w:val="1"/>
                <w:color w:val="auto"/>
                <w:w w:val="95"/>
              </w:rPr>
              <w:t>Weighted</w:t>
            </w:r>
          </w:p>
        </w:tc>
        <w:tc>
          <w:tcPr>
            <w:tcW w:w="1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7"/>
              </w:rPr>
              <w:t>of 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120" w:type="dxa"/>
            <w:vAlign w:val="bottom"/>
          </w:tcPr>
          <w:p>
            <w:pPr>
              <w:jc w:val="center"/>
              <w:ind w:left="477"/>
              <w:spacing w:after="0" w:line="142" w:lineRule="exact"/>
              <w:rPr>
                <w:sz w:val="20"/>
                <w:szCs w:val="20"/>
                <w:color w:val="auto"/>
              </w:rPr>
            </w:pPr>
            <w:r>
              <w:rPr>
                <w:rFonts w:ascii="Arial" w:cs="Arial" w:eastAsia="Arial" w:hAnsi="Arial"/>
                <w:sz w:val="13"/>
                <w:szCs w:val="13"/>
                <w:b w:val="1"/>
                <w:bCs w:val="1"/>
                <w:color w:val="auto"/>
                <w:w w:val="97"/>
              </w:rPr>
              <w:t>Average</w:t>
            </w:r>
          </w:p>
        </w:tc>
        <w:tc>
          <w:tcPr>
            <w:tcW w:w="1340" w:type="dxa"/>
            <w:vAlign w:val="bottom"/>
          </w:tcPr>
          <w:p>
            <w:pPr>
              <w:spacing w:after="0"/>
              <w:rPr>
                <w:sz w:val="12"/>
                <w:szCs w:val="12"/>
                <w:color w:val="auto"/>
              </w:rPr>
            </w:pPr>
          </w:p>
        </w:tc>
        <w:tc>
          <w:tcPr>
            <w:tcW w:w="1300" w:type="dxa"/>
            <w:vAlign w:val="bottom"/>
          </w:tcPr>
          <w:p>
            <w:pPr>
              <w:jc w:val="center"/>
              <w:ind w:right="157"/>
              <w:spacing w:after="0" w:line="142" w:lineRule="exact"/>
              <w:rPr>
                <w:sz w:val="20"/>
                <w:szCs w:val="20"/>
                <w:color w:val="auto"/>
              </w:rPr>
            </w:pPr>
            <w:r>
              <w:rPr>
                <w:rFonts w:ascii="Arial" w:cs="Arial" w:eastAsia="Arial" w:hAnsi="Arial"/>
                <w:sz w:val="13"/>
                <w:szCs w:val="13"/>
                <w:b w:val="1"/>
                <w:bCs w:val="1"/>
                <w:color w:val="auto"/>
                <w:w w:val="96"/>
              </w:rPr>
              <w:t>Percentage</w:t>
            </w:r>
          </w:p>
        </w:tc>
        <w:tc>
          <w:tcPr>
            <w:tcW w:w="1360" w:type="dxa"/>
            <w:vAlign w:val="bottom"/>
          </w:tcPr>
          <w:p>
            <w:pPr>
              <w:spacing w:after="0"/>
              <w:rPr>
                <w:sz w:val="12"/>
                <w:szCs w:val="12"/>
                <w:color w:val="auto"/>
              </w:rPr>
            </w:pPr>
          </w:p>
        </w:tc>
        <w:tc>
          <w:tcPr>
            <w:tcW w:w="11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Annualized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120" w:type="dxa"/>
            <w:vAlign w:val="bottom"/>
          </w:tcPr>
          <w:p>
            <w:pPr>
              <w:jc w:val="center"/>
              <w:ind w:left="457"/>
              <w:spacing w:after="0" w:line="126" w:lineRule="exact"/>
              <w:rPr>
                <w:sz w:val="20"/>
                <w:szCs w:val="20"/>
                <w:color w:val="auto"/>
              </w:rPr>
            </w:pPr>
            <w:r>
              <w:rPr>
                <w:rFonts w:ascii="Arial" w:cs="Arial" w:eastAsia="Arial" w:hAnsi="Arial"/>
                <w:sz w:val="13"/>
                <w:szCs w:val="13"/>
                <w:b w:val="1"/>
                <w:bCs w:val="1"/>
                <w:color w:val="auto"/>
                <w:w w:val="96"/>
              </w:rPr>
              <w:t>Remaining</w:t>
            </w:r>
          </w:p>
        </w:tc>
        <w:tc>
          <w:tcPr>
            <w:tcW w:w="1340" w:type="dxa"/>
            <w:vAlign w:val="bottom"/>
          </w:tcPr>
          <w:p>
            <w:pPr>
              <w:jc w:val="right"/>
              <w:ind w:right="517"/>
              <w:spacing w:after="0" w:line="126" w:lineRule="exact"/>
              <w:rPr>
                <w:sz w:val="20"/>
                <w:szCs w:val="20"/>
                <w:color w:val="auto"/>
              </w:rPr>
            </w:pPr>
            <w:r>
              <w:rPr>
                <w:rFonts w:ascii="Arial" w:cs="Arial" w:eastAsia="Arial" w:hAnsi="Arial"/>
                <w:sz w:val="13"/>
                <w:szCs w:val="13"/>
                <w:b w:val="1"/>
                <w:bCs w:val="1"/>
                <w:color w:val="auto"/>
              </w:rPr>
              <w:t>Leased</w:t>
            </w:r>
          </w:p>
        </w:tc>
        <w:tc>
          <w:tcPr>
            <w:tcW w:w="1300" w:type="dxa"/>
            <w:vAlign w:val="bottom"/>
          </w:tcPr>
          <w:p>
            <w:pPr>
              <w:jc w:val="center"/>
              <w:ind w:right="157"/>
              <w:spacing w:after="0" w:line="126" w:lineRule="exact"/>
              <w:rPr>
                <w:sz w:val="20"/>
                <w:szCs w:val="20"/>
                <w:color w:val="auto"/>
              </w:rPr>
            </w:pPr>
            <w:r>
              <w:rPr>
                <w:rFonts w:ascii="Arial" w:cs="Arial" w:eastAsia="Arial" w:hAnsi="Arial"/>
                <w:sz w:val="13"/>
                <w:szCs w:val="13"/>
                <w:b w:val="1"/>
                <w:bCs w:val="1"/>
                <w:color w:val="auto"/>
                <w:w w:val="98"/>
              </w:rPr>
              <w:t>of Leased</w:t>
            </w:r>
          </w:p>
        </w:tc>
        <w:tc>
          <w:tcPr>
            <w:tcW w:w="1360" w:type="dxa"/>
            <w:vAlign w:val="bottom"/>
          </w:tcPr>
          <w:p>
            <w:pPr>
              <w:jc w:val="right"/>
              <w:ind w:right="397"/>
              <w:spacing w:after="0" w:line="126" w:lineRule="exact"/>
              <w:rPr>
                <w:sz w:val="20"/>
                <w:szCs w:val="20"/>
                <w:color w:val="auto"/>
              </w:rPr>
            </w:pPr>
            <w:r>
              <w:rPr>
                <w:rFonts w:ascii="Arial" w:cs="Arial" w:eastAsia="Arial" w:hAnsi="Arial"/>
                <w:sz w:val="13"/>
                <w:szCs w:val="13"/>
                <w:b w:val="1"/>
                <w:bCs w:val="1"/>
                <w:color w:val="auto"/>
              </w:rPr>
              <w:t>Annualized</w:t>
            </w:r>
          </w:p>
        </w:tc>
        <w:tc>
          <w:tcPr>
            <w:tcW w:w="114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2"/>
              </w:rPr>
              <w:t>Lease</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Tenant</w:t>
            </w:r>
          </w:p>
        </w:tc>
        <w:tc>
          <w:tcPr>
            <w:tcW w:w="2120" w:type="dxa"/>
            <w:vAlign w:val="bottom"/>
          </w:tcPr>
          <w:p>
            <w:pPr>
              <w:jc w:val="center"/>
              <w:ind w:left="457"/>
              <w:spacing w:after="0" w:line="165" w:lineRule="exact"/>
              <w:rPr>
                <w:sz w:val="20"/>
                <w:szCs w:val="20"/>
                <w:color w:val="auto"/>
              </w:rPr>
            </w:pPr>
            <w:r>
              <w:rPr>
                <w:rFonts w:ascii="Arial" w:cs="Arial" w:eastAsia="Arial" w:hAnsi="Arial"/>
                <w:sz w:val="13"/>
                <w:szCs w:val="13"/>
                <w:b w:val="1"/>
                <w:bCs w:val="1"/>
                <w:color w:val="auto"/>
                <w:w w:val="93"/>
              </w:rPr>
              <w:t>Lease Term</w:t>
            </w:r>
            <w:r>
              <w:rPr>
                <w:rFonts w:ascii="Arial" w:cs="Arial" w:eastAsia="Arial" w:hAnsi="Arial"/>
                <w:sz w:val="16"/>
                <w:szCs w:val="16"/>
                <w:b w:val="1"/>
                <w:bCs w:val="1"/>
                <w:color w:val="auto"/>
                <w:w w:val="93"/>
                <w:vertAlign w:val="superscript"/>
              </w:rPr>
              <w:t>(1)</w:t>
            </w:r>
          </w:p>
        </w:tc>
        <w:tc>
          <w:tcPr>
            <w:tcW w:w="1340" w:type="dxa"/>
            <w:vAlign w:val="bottom"/>
          </w:tcPr>
          <w:p>
            <w:pPr>
              <w:jc w:val="right"/>
              <w:ind w:right="357"/>
              <w:spacing w:after="0"/>
              <w:rPr>
                <w:sz w:val="20"/>
                <w:szCs w:val="20"/>
                <w:color w:val="auto"/>
              </w:rPr>
            </w:pPr>
            <w:r>
              <w:rPr>
                <w:rFonts w:ascii="Arial" w:cs="Arial" w:eastAsia="Arial" w:hAnsi="Arial"/>
                <w:sz w:val="13"/>
                <w:szCs w:val="13"/>
                <w:b w:val="1"/>
                <w:bCs w:val="1"/>
                <w:color w:val="auto"/>
              </w:rPr>
              <w:t>Square Feet</w:t>
            </w:r>
          </w:p>
        </w:tc>
        <w:tc>
          <w:tcPr>
            <w:tcW w:w="130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Square Feet</w:t>
            </w:r>
          </w:p>
        </w:tc>
        <w:tc>
          <w:tcPr>
            <w:tcW w:w="1360" w:type="dxa"/>
            <w:vAlign w:val="bottom"/>
          </w:tcPr>
          <w:p>
            <w:pPr>
              <w:jc w:val="right"/>
              <w:ind w:right="317"/>
              <w:spacing w:after="0"/>
              <w:rPr>
                <w:sz w:val="20"/>
                <w:szCs w:val="20"/>
                <w:color w:val="auto"/>
              </w:rPr>
            </w:pPr>
            <w:r>
              <w:rPr>
                <w:rFonts w:ascii="Arial" w:cs="Arial" w:eastAsia="Arial" w:hAnsi="Arial"/>
                <w:sz w:val="13"/>
                <w:szCs w:val="13"/>
                <w:b w:val="1"/>
                <w:bCs w:val="1"/>
                <w:color w:val="auto"/>
              </w:rPr>
              <w:t>Lease Income</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Income</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980" w:type="dxa"/>
            <w:vAlign w:val="bottom"/>
            <w:tcBorders>
              <w:top w:val="single" w:sz="8" w:color="2B4B86"/>
            </w:tcBorders>
          </w:tcPr>
          <w:p>
            <w:pPr>
              <w:spacing w:after="0"/>
              <w:rPr>
                <w:sz w:val="11"/>
                <w:szCs w:val="11"/>
                <w:color w:val="auto"/>
              </w:rPr>
            </w:pPr>
          </w:p>
        </w:tc>
        <w:tc>
          <w:tcPr>
            <w:tcW w:w="2120" w:type="dxa"/>
            <w:vAlign w:val="bottom"/>
            <w:tcBorders>
              <w:top w:val="single" w:sz="8" w:color="2B4B86"/>
            </w:tcBorders>
          </w:tcPr>
          <w:p>
            <w:pPr>
              <w:spacing w:after="0"/>
              <w:rPr>
                <w:sz w:val="11"/>
                <w:szCs w:val="11"/>
                <w:color w:val="auto"/>
              </w:rPr>
            </w:pPr>
          </w:p>
        </w:tc>
        <w:tc>
          <w:tcPr>
            <w:tcW w:w="1340" w:type="dxa"/>
            <w:vAlign w:val="bottom"/>
            <w:tcBorders>
              <w:top w:val="single" w:sz="8" w:color="2B4B86"/>
            </w:tcBorders>
          </w:tcPr>
          <w:p>
            <w:pPr>
              <w:spacing w:after="0"/>
              <w:rPr>
                <w:sz w:val="11"/>
                <w:szCs w:val="11"/>
                <w:color w:val="auto"/>
              </w:rPr>
            </w:pPr>
          </w:p>
        </w:tc>
        <w:tc>
          <w:tcPr>
            <w:tcW w:w="1300" w:type="dxa"/>
            <w:vAlign w:val="bottom"/>
            <w:tcBorders>
              <w:top w:val="single" w:sz="8" w:color="2B4B86"/>
            </w:tcBorders>
          </w:tcPr>
          <w:p>
            <w:pPr>
              <w:spacing w:after="0"/>
              <w:rPr>
                <w:sz w:val="11"/>
                <w:szCs w:val="11"/>
                <w:color w:val="auto"/>
              </w:rPr>
            </w:pPr>
          </w:p>
        </w:tc>
        <w:tc>
          <w:tcPr>
            <w:tcW w:w="1360" w:type="dxa"/>
            <w:vAlign w:val="bottom"/>
            <w:tcBorders>
              <w:top w:val="single" w:sz="8" w:color="2B4B86"/>
            </w:tcBorders>
          </w:tcPr>
          <w:p>
            <w:pPr>
              <w:spacing w:after="0"/>
              <w:rPr>
                <w:sz w:val="11"/>
                <w:szCs w:val="11"/>
                <w:color w:val="auto"/>
              </w:rPr>
            </w:pPr>
          </w:p>
        </w:tc>
        <w:tc>
          <w:tcPr>
            <w:tcW w:w="1140" w:type="dxa"/>
            <w:vAlign w:val="bottom"/>
            <w:tcBorders>
              <w:top w:val="single" w:sz="8" w:color="2B4B86"/>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U.S. Government (Cont.)</w:t>
            </w:r>
          </w:p>
        </w:tc>
        <w:tc>
          <w:tcPr>
            <w:tcW w:w="212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tcPr>
          <w:p>
            <w:pPr>
              <w:spacing w:after="0" w:line="134" w:lineRule="exact"/>
              <w:rPr>
                <w:sz w:val="20"/>
                <w:szCs w:val="20"/>
                <w:color w:val="auto"/>
              </w:rPr>
            </w:pPr>
            <w:r>
              <w:rPr>
                <w:rFonts w:ascii="Arial" w:cs="Arial" w:eastAsia="Arial" w:hAnsi="Arial"/>
                <w:sz w:val="13"/>
                <w:szCs w:val="13"/>
                <w:color w:val="auto"/>
              </w:rPr>
              <w:t>Department of Energy ("DOE")</w:t>
            </w:r>
          </w:p>
        </w:tc>
        <w:tc>
          <w:tcPr>
            <w:tcW w:w="212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7.0</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4,846</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0.0%</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277,782</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Federal Energy Regulatory Commission ("FERC")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13.4</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6,214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243,661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U.S. Probation Office ("USPO")</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12.8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6,621</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0.1%</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183,960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U.S. Marshals Service ("USMS")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0.8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1,054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0.0%</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48,789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Department of Labor ("DOL")</w:t>
            </w:r>
          </w:p>
        </w:tc>
        <w:tc>
          <w:tcPr>
            <w:tcW w:w="2120" w:type="dxa"/>
            <w:vAlign w:val="bottom"/>
          </w:tcPr>
          <w:p>
            <w:pPr>
              <w:jc w:val="right"/>
              <w:ind w:right="137"/>
              <w:spacing w:after="0"/>
              <w:rPr>
                <w:sz w:val="20"/>
                <w:szCs w:val="20"/>
                <w:color w:val="auto"/>
              </w:rPr>
            </w:pPr>
            <w:r>
              <w:rPr>
                <w:rFonts w:ascii="Arial" w:cs="Arial" w:eastAsia="Arial" w:hAnsi="Arial"/>
                <w:sz w:val="13"/>
                <w:szCs w:val="13"/>
                <w:color w:val="auto"/>
              </w:rPr>
              <w:t>12.8</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574</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0.0%</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15,954</w:t>
            </w:r>
          </w:p>
        </w:tc>
        <w:tc>
          <w:tcPr>
            <w:tcW w:w="1140" w:type="dxa"/>
            <w:vAlign w:val="bottom"/>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9.9</w:t>
            </w: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rPr>
              <w:t>9,083,330</w:t>
            </w:r>
          </w:p>
        </w:tc>
        <w:tc>
          <w:tcPr>
            <w:tcW w:w="1300" w:type="dxa"/>
            <w:vAlign w:val="bottom"/>
          </w:tcPr>
          <w:p>
            <w:pPr>
              <w:jc w:val="right"/>
              <w:ind w:right="97"/>
              <w:spacing w:after="0"/>
              <w:rPr>
                <w:sz w:val="20"/>
                <w:szCs w:val="20"/>
                <w:color w:val="auto"/>
              </w:rPr>
            </w:pPr>
            <w:r>
              <w:rPr>
                <w:rFonts w:ascii="Arial" w:cs="Arial" w:eastAsia="Arial" w:hAnsi="Arial"/>
                <w:sz w:val="13"/>
                <w:szCs w:val="13"/>
                <w:b w:val="1"/>
                <w:bCs w:val="1"/>
                <w:color w:val="auto"/>
              </w:rPr>
              <w:t>85.1%</w:t>
            </w:r>
          </w:p>
        </w:tc>
        <w:tc>
          <w:tcPr>
            <w:tcW w:w="1360" w:type="dxa"/>
            <w:vAlign w:val="bottom"/>
          </w:tcPr>
          <w:p>
            <w:pPr>
              <w:jc w:val="right"/>
              <w:ind w:right="137"/>
              <w:spacing w:after="0"/>
              <w:rPr>
                <w:sz w:val="20"/>
                <w:szCs w:val="20"/>
                <w:color w:val="auto"/>
              </w:rPr>
            </w:pPr>
            <w:r>
              <w:rPr>
                <w:rFonts w:ascii="Arial" w:cs="Arial" w:eastAsia="Arial" w:hAnsi="Arial"/>
                <w:sz w:val="13"/>
                <w:szCs w:val="13"/>
                <w:b w:val="1"/>
                <w:bCs w:val="1"/>
                <w:color w:val="auto"/>
              </w:rPr>
              <w:t>$339,098,897</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86.2%</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State and Local Government</w:t>
            </w:r>
          </w:p>
        </w:tc>
        <w:tc>
          <w:tcPr>
            <w:tcW w:w="212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tcPr>
          <w:p>
            <w:pPr>
              <w:spacing w:after="0" w:line="134" w:lineRule="exact"/>
              <w:rPr>
                <w:sz w:val="20"/>
                <w:szCs w:val="20"/>
                <w:color w:val="auto"/>
              </w:rPr>
            </w:pPr>
            <w:r>
              <w:rPr>
                <w:rFonts w:ascii="Arial" w:cs="Arial" w:eastAsia="Arial" w:hAnsi="Arial"/>
                <w:sz w:val="13"/>
                <w:szCs w:val="13"/>
                <w:color w:val="auto"/>
              </w:rPr>
              <w:t>District of Columbia Government</w:t>
            </w:r>
          </w:p>
        </w:tc>
        <w:tc>
          <w:tcPr>
            <w:tcW w:w="212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11.9</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238,062</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2.2%</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15,095,874</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Wake County Public Schools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249,605</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7,565,595</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Commonwealth of Virginia</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173,647</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4,202,967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State of New Mexico Health Care Authority</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32,534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2,344,699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State of California Employee Development Department</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7.9</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65,133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2,296,631</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State of California Department of Industrial Relations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7.6</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30,140</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1,067,748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New York State Court of Claims</w:t>
            </w:r>
          </w:p>
        </w:tc>
        <w:tc>
          <w:tcPr>
            <w:tcW w:w="2120" w:type="dxa"/>
            <w:vAlign w:val="bottom"/>
          </w:tcPr>
          <w:p>
            <w:pPr>
              <w:jc w:val="right"/>
              <w:ind w:right="137"/>
              <w:spacing w:after="0"/>
              <w:rPr>
                <w:sz w:val="20"/>
                <w:szCs w:val="20"/>
                <w:color w:val="auto"/>
              </w:rPr>
            </w:pPr>
            <w:r>
              <w:rPr>
                <w:rFonts w:ascii="Arial" w:cs="Arial" w:eastAsia="Arial" w:hAnsi="Arial"/>
                <w:sz w:val="13"/>
                <w:szCs w:val="13"/>
                <w:color w:val="auto"/>
              </w:rPr>
              <w:t>0.5</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14,274</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377,008</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9.4</w:t>
            </w: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rPr>
              <w:t>803,395</w:t>
            </w:r>
          </w:p>
        </w:tc>
        <w:tc>
          <w:tcPr>
            <w:tcW w:w="1300" w:type="dxa"/>
            <w:vAlign w:val="bottom"/>
          </w:tcPr>
          <w:p>
            <w:pPr>
              <w:jc w:val="right"/>
              <w:ind w:right="97"/>
              <w:spacing w:after="0"/>
              <w:rPr>
                <w:sz w:val="20"/>
                <w:szCs w:val="20"/>
                <w:color w:val="auto"/>
              </w:rPr>
            </w:pPr>
            <w:r>
              <w:rPr>
                <w:rFonts w:ascii="Arial" w:cs="Arial" w:eastAsia="Arial" w:hAnsi="Arial"/>
                <w:sz w:val="13"/>
                <w:szCs w:val="13"/>
                <w:b w:val="1"/>
                <w:bCs w:val="1"/>
                <w:color w:val="auto"/>
              </w:rPr>
              <w:t>7.4%</w:t>
            </w:r>
          </w:p>
        </w:tc>
        <w:tc>
          <w:tcPr>
            <w:tcW w:w="1360" w:type="dxa"/>
            <w:vAlign w:val="bottom"/>
          </w:tcPr>
          <w:p>
            <w:pPr>
              <w:jc w:val="right"/>
              <w:ind w:right="137"/>
              <w:spacing w:after="0"/>
              <w:rPr>
                <w:sz w:val="20"/>
                <w:szCs w:val="20"/>
                <w:color w:val="auto"/>
              </w:rPr>
            </w:pPr>
            <w:r>
              <w:rPr>
                <w:rFonts w:ascii="Arial" w:cs="Arial" w:eastAsia="Arial" w:hAnsi="Arial"/>
                <w:sz w:val="13"/>
                <w:szCs w:val="13"/>
                <w:b w:val="1"/>
                <w:bCs w:val="1"/>
                <w:color w:val="auto"/>
              </w:rPr>
              <w:t>$32,950,522</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8.4%</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9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rPr>
              <w:t>Private Tenants</w:t>
            </w:r>
          </w:p>
        </w:tc>
        <w:tc>
          <w:tcPr>
            <w:tcW w:w="2120" w:type="dxa"/>
            <w:vAlign w:val="bottom"/>
            <w:shd w:val="clear" w:color="auto" w:fill="E7E6E6"/>
          </w:tcPr>
          <w:p>
            <w:pPr>
              <w:spacing w:after="0"/>
              <w:rPr>
                <w:sz w:val="12"/>
                <w:szCs w:val="12"/>
                <w:color w:val="auto"/>
              </w:rPr>
            </w:pPr>
          </w:p>
        </w:tc>
        <w:tc>
          <w:tcPr>
            <w:tcW w:w="1340" w:type="dxa"/>
            <w:vAlign w:val="bottom"/>
            <w:shd w:val="clear" w:color="auto" w:fill="E7E6E6"/>
          </w:tcPr>
          <w:p>
            <w:pPr>
              <w:spacing w:after="0"/>
              <w:rPr>
                <w:sz w:val="12"/>
                <w:szCs w:val="12"/>
                <w:color w:val="auto"/>
              </w:rPr>
            </w:pPr>
          </w:p>
        </w:tc>
        <w:tc>
          <w:tcPr>
            <w:tcW w:w="1300" w:type="dxa"/>
            <w:vAlign w:val="bottom"/>
            <w:shd w:val="clear" w:color="auto" w:fill="E7E6E6"/>
          </w:tcPr>
          <w:p>
            <w:pPr>
              <w:spacing w:after="0"/>
              <w:rPr>
                <w:sz w:val="12"/>
                <w:szCs w:val="12"/>
                <w:color w:val="auto"/>
              </w:rPr>
            </w:pPr>
          </w:p>
        </w:tc>
        <w:tc>
          <w:tcPr>
            <w:tcW w:w="136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80" w:type="dxa"/>
            <w:vAlign w:val="bottom"/>
          </w:tcPr>
          <w:p>
            <w:pPr>
              <w:spacing w:after="0" w:line="134" w:lineRule="exact"/>
              <w:rPr>
                <w:sz w:val="20"/>
                <w:szCs w:val="20"/>
                <w:color w:val="auto"/>
              </w:rPr>
            </w:pPr>
            <w:r>
              <w:rPr>
                <w:rFonts w:ascii="Arial" w:cs="Arial" w:eastAsia="Arial" w:hAnsi="Arial"/>
                <w:sz w:val="13"/>
                <w:szCs w:val="13"/>
                <w:color w:val="auto"/>
              </w:rPr>
              <w:t>York Space Systems</w:t>
            </w:r>
          </w:p>
        </w:tc>
        <w:tc>
          <w:tcPr>
            <w:tcW w:w="212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5.8</w:t>
            </w:r>
          </w:p>
        </w:tc>
        <w:tc>
          <w:tcPr>
            <w:tcW w:w="134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138,125</w:t>
            </w:r>
          </w:p>
        </w:tc>
        <w:tc>
          <w:tcPr>
            <w:tcW w:w="1300" w:type="dxa"/>
            <w:vAlign w:val="bottom"/>
          </w:tcPr>
          <w:p>
            <w:pPr>
              <w:jc w:val="right"/>
              <w:ind w:right="97"/>
              <w:spacing w:after="0" w:line="134" w:lineRule="exact"/>
              <w:rPr>
                <w:sz w:val="20"/>
                <w:szCs w:val="20"/>
                <w:color w:val="auto"/>
              </w:rPr>
            </w:pPr>
            <w:r>
              <w:rPr>
                <w:rFonts w:ascii="Arial" w:cs="Arial" w:eastAsia="Arial" w:hAnsi="Arial"/>
                <w:sz w:val="13"/>
                <w:szCs w:val="13"/>
                <w:color w:val="auto"/>
              </w:rPr>
              <w:t>1.3%</w:t>
            </w:r>
          </w:p>
        </w:tc>
        <w:tc>
          <w:tcPr>
            <w:tcW w:w="1360" w:type="dxa"/>
            <w:vAlign w:val="bottom"/>
          </w:tcPr>
          <w:p>
            <w:pPr>
              <w:jc w:val="right"/>
              <w:ind w:right="137"/>
              <w:spacing w:after="0" w:line="134" w:lineRule="exact"/>
              <w:rPr>
                <w:sz w:val="20"/>
                <w:szCs w:val="20"/>
                <w:color w:val="auto"/>
              </w:rPr>
            </w:pPr>
            <w:r>
              <w:rPr>
                <w:rFonts w:ascii="Arial" w:cs="Arial" w:eastAsia="Arial" w:hAnsi="Arial"/>
                <w:sz w:val="13"/>
                <w:szCs w:val="13"/>
                <w:color w:val="auto"/>
              </w:rPr>
              <w:t>5,012,522</w:t>
            </w:r>
          </w:p>
        </w:tc>
        <w:tc>
          <w:tcPr>
            <w:tcW w:w="114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Northrop Grumman Systems Corporation</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4.7</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203,382</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4,997,547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Other Private Tenants</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69,203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0.6%</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2,587,320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ChemTreat</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94,456</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0.9%</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1,965,372</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Caremark, L.L.C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4.3</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41,462</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1,371,194</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Jacobs Engineering Group, Inc.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37,858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0.4%</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1,129,539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HUB International Midwest Limited</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6.5</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29,074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849,149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Pate Rehabilitation Endeavors, LLC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5.8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25,603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0.2%</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822,658</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Intercontinental Exchange</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27,488</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751,587</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Saint Luke's Health System, Inc.</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1.8</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32,043</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0.3%</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748,780</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42"/>
        </w:trPr>
        <w:tc>
          <w:tcPr>
            <w:tcW w:w="4000" w:type="dxa"/>
            <w:vAlign w:val="bottom"/>
            <w:gridSpan w:val="2"/>
          </w:tcPr>
          <w:p>
            <w:pPr>
              <w:spacing w:after="0" w:line="142" w:lineRule="exact"/>
              <w:rPr>
                <w:sz w:val="20"/>
                <w:szCs w:val="20"/>
                <w:color w:val="auto"/>
              </w:rPr>
            </w:pPr>
            <w:r>
              <w:rPr>
                <w:rFonts w:ascii="Arial" w:cs="Arial" w:eastAsia="Arial" w:hAnsi="Arial"/>
                <w:sz w:val="13"/>
                <w:szCs w:val="13"/>
                <w:color w:val="auto"/>
              </w:rPr>
              <w:t>University of Central Missouri</w:t>
            </w:r>
          </w:p>
        </w:tc>
        <w:tc>
          <w:tcPr>
            <w:tcW w:w="212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6.2</w:t>
            </w:r>
          </w:p>
        </w:tc>
        <w:tc>
          <w:tcPr>
            <w:tcW w:w="134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22,374</w:t>
            </w:r>
          </w:p>
        </w:tc>
        <w:tc>
          <w:tcPr>
            <w:tcW w:w="130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0.2%</w:t>
            </w:r>
          </w:p>
        </w:tc>
        <w:tc>
          <w:tcPr>
            <w:tcW w:w="1360" w:type="dxa"/>
            <w:vAlign w:val="bottom"/>
          </w:tcPr>
          <w:p>
            <w:pPr>
              <w:jc w:val="right"/>
              <w:ind w:right="137"/>
              <w:spacing w:after="0" w:line="142" w:lineRule="exact"/>
              <w:rPr>
                <w:sz w:val="20"/>
                <w:szCs w:val="20"/>
                <w:color w:val="auto"/>
              </w:rPr>
            </w:pPr>
            <w:r>
              <w:rPr>
                <w:rFonts w:ascii="Arial" w:cs="Arial" w:eastAsia="Arial" w:hAnsi="Arial"/>
                <w:sz w:val="13"/>
                <w:szCs w:val="13"/>
                <w:color w:val="auto"/>
              </w:rPr>
              <w:t>469,199</w:t>
            </w:r>
          </w:p>
        </w:tc>
        <w:tc>
          <w:tcPr>
            <w:tcW w:w="1140" w:type="dxa"/>
            <w:vAlign w:val="bottom"/>
          </w:tcPr>
          <w:p>
            <w:pPr>
              <w:jc w:val="right"/>
              <w:spacing w:after="0" w:line="142" w:lineRule="exact"/>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6"/>
        </w:trPr>
        <w:tc>
          <w:tcPr>
            <w:tcW w:w="4000" w:type="dxa"/>
            <w:vAlign w:val="bottom"/>
            <w:gridSpan w:val="2"/>
          </w:tcPr>
          <w:p>
            <w:pPr>
              <w:spacing w:after="0"/>
              <w:rPr>
                <w:sz w:val="20"/>
                <w:szCs w:val="20"/>
                <w:color w:val="auto"/>
              </w:rPr>
            </w:pPr>
            <w:r>
              <w:rPr>
                <w:rFonts w:ascii="Arial" w:cs="Arial" w:eastAsia="Arial" w:hAnsi="Arial"/>
                <w:sz w:val="13"/>
                <w:szCs w:val="13"/>
                <w:color w:val="auto"/>
              </w:rPr>
              <w:t>Lummus Corporation</w:t>
            </w:r>
          </w:p>
        </w:tc>
        <w:tc>
          <w:tcPr>
            <w:tcW w:w="2120" w:type="dxa"/>
            <w:vAlign w:val="bottom"/>
          </w:tcPr>
          <w:p>
            <w:pPr>
              <w:jc w:val="right"/>
              <w:ind w:right="137"/>
              <w:spacing w:after="0"/>
              <w:rPr>
                <w:sz w:val="20"/>
                <w:szCs w:val="20"/>
                <w:color w:val="auto"/>
              </w:rPr>
            </w:pPr>
            <w:r>
              <w:rPr>
                <w:rFonts w:ascii="Arial" w:cs="Arial" w:eastAsia="Arial" w:hAnsi="Arial"/>
                <w:sz w:val="13"/>
                <w:szCs w:val="13"/>
                <w:color w:val="auto"/>
              </w:rPr>
              <w:t>2.3</w:t>
            </w:r>
          </w:p>
        </w:tc>
        <w:tc>
          <w:tcPr>
            <w:tcW w:w="1340" w:type="dxa"/>
            <w:vAlign w:val="bottom"/>
          </w:tcPr>
          <w:p>
            <w:pPr>
              <w:jc w:val="right"/>
              <w:ind w:right="137"/>
              <w:spacing w:after="0"/>
              <w:rPr>
                <w:sz w:val="20"/>
                <w:szCs w:val="20"/>
                <w:color w:val="auto"/>
              </w:rPr>
            </w:pPr>
            <w:r>
              <w:rPr>
                <w:rFonts w:ascii="Arial" w:cs="Arial" w:eastAsia="Arial" w:hAnsi="Arial"/>
                <w:sz w:val="13"/>
                <w:szCs w:val="13"/>
                <w:color w:val="auto"/>
              </w:rPr>
              <w:t>70,078</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0.7%</w:t>
            </w:r>
          </w:p>
        </w:tc>
        <w:tc>
          <w:tcPr>
            <w:tcW w:w="1360" w:type="dxa"/>
            <w:vAlign w:val="bottom"/>
          </w:tcPr>
          <w:p>
            <w:pPr>
              <w:jc w:val="right"/>
              <w:ind w:right="137"/>
              <w:spacing w:after="0"/>
              <w:rPr>
                <w:sz w:val="20"/>
                <w:szCs w:val="20"/>
                <w:color w:val="auto"/>
              </w:rPr>
            </w:pPr>
            <w:r>
              <w:rPr>
                <w:rFonts w:ascii="Arial" w:cs="Arial" w:eastAsia="Arial" w:hAnsi="Arial"/>
                <w:sz w:val="13"/>
                <w:szCs w:val="13"/>
                <w:color w:val="auto"/>
              </w:rPr>
              <w:t>411,207</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26"/>
        </w:trPr>
        <w:tc>
          <w:tcPr>
            <w:tcW w:w="4000" w:type="dxa"/>
            <w:vAlign w:val="bottom"/>
            <w:tcBorders>
              <w:bottom w:val="single" w:sz="8" w:color="auto"/>
            </w:tcBorders>
            <w:gridSpan w:val="2"/>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Subtotal</w:t>
            </w: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4.5</w:t>
            </w:r>
          </w:p>
        </w:tc>
        <w:tc>
          <w:tcPr>
            <w:tcW w:w="1340" w:type="dxa"/>
            <w:vAlign w:val="bottom"/>
          </w:tcPr>
          <w:p>
            <w:pPr>
              <w:jc w:val="right"/>
              <w:ind w:right="137"/>
              <w:spacing w:after="0"/>
              <w:rPr>
                <w:sz w:val="20"/>
                <w:szCs w:val="20"/>
                <w:color w:val="auto"/>
              </w:rPr>
            </w:pPr>
            <w:r>
              <w:rPr>
                <w:rFonts w:ascii="Arial" w:cs="Arial" w:eastAsia="Arial" w:hAnsi="Arial"/>
                <w:sz w:val="13"/>
                <w:szCs w:val="13"/>
                <w:b w:val="1"/>
                <w:bCs w:val="1"/>
                <w:color w:val="auto"/>
              </w:rPr>
              <w:t>791,146</w:t>
            </w:r>
          </w:p>
        </w:tc>
        <w:tc>
          <w:tcPr>
            <w:tcW w:w="1300" w:type="dxa"/>
            <w:vAlign w:val="bottom"/>
          </w:tcPr>
          <w:p>
            <w:pPr>
              <w:jc w:val="right"/>
              <w:ind w:right="97"/>
              <w:spacing w:after="0"/>
              <w:rPr>
                <w:sz w:val="20"/>
                <w:szCs w:val="20"/>
                <w:color w:val="auto"/>
              </w:rPr>
            </w:pPr>
            <w:r>
              <w:rPr>
                <w:rFonts w:ascii="Arial" w:cs="Arial" w:eastAsia="Arial" w:hAnsi="Arial"/>
                <w:sz w:val="13"/>
                <w:szCs w:val="13"/>
                <w:b w:val="1"/>
                <w:bCs w:val="1"/>
                <w:color w:val="auto"/>
              </w:rPr>
              <w:t>7.5%</w:t>
            </w:r>
          </w:p>
        </w:tc>
        <w:tc>
          <w:tcPr>
            <w:tcW w:w="1360" w:type="dxa"/>
            <w:vAlign w:val="bottom"/>
          </w:tcPr>
          <w:p>
            <w:pPr>
              <w:jc w:val="right"/>
              <w:ind w:right="137"/>
              <w:spacing w:after="0"/>
              <w:rPr>
                <w:sz w:val="20"/>
                <w:szCs w:val="20"/>
                <w:color w:val="auto"/>
              </w:rPr>
            </w:pPr>
            <w:r>
              <w:rPr>
                <w:rFonts w:ascii="Arial" w:cs="Arial" w:eastAsia="Arial" w:hAnsi="Arial"/>
                <w:sz w:val="13"/>
                <w:szCs w:val="13"/>
                <w:b w:val="1"/>
                <w:bCs w:val="1"/>
                <w:color w:val="auto"/>
              </w:rPr>
              <w:t>$21,116,074</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rPr>
              <w:t>5.4%</w:t>
            </w:r>
          </w:p>
        </w:tc>
        <w:tc>
          <w:tcPr>
            <w:tcW w:w="0" w:type="dxa"/>
            <w:vAlign w:val="bottom"/>
          </w:tcPr>
          <w:p>
            <w:pPr>
              <w:spacing w:after="0"/>
              <w:rPr>
                <w:sz w:val="1"/>
                <w:szCs w:val="1"/>
                <w:color w:val="auto"/>
              </w:rPr>
            </w:pPr>
          </w:p>
        </w:tc>
      </w:tr>
      <w:tr>
        <w:trPr>
          <w:trHeight w:val="112"/>
        </w:trPr>
        <w:tc>
          <w:tcPr>
            <w:tcW w:w="400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00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Total / Weighted Average</w:t>
            </w:r>
          </w:p>
        </w:tc>
        <w:tc>
          <w:tcPr>
            <w:tcW w:w="212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9.4</w:t>
            </w:r>
          </w:p>
        </w:tc>
        <w:tc>
          <w:tcPr>
            <w:tcW w:w="134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10,677,871</w:t>
            </w:r>
          </w:p>
        </w:tc>
        <w:tc>
          <w:tcPr>
            <w:tcW w:w="130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100.0%</w:t>
            </w:r>
          </w:p>
        </w:tc>
        <w:tc>
          <w:tcPr>
            <w:tcW w:w="1360" w:type="dxa"/>
            <w:vAlign w:val="bottom"/>
            <w:tcBorders>
              <w:bottom w:val="single" w:sz="8" w:color="auto"/>
            </w:tcBorders>
          </w:tcPr>
          <w:p>
            <w:pPr>
              <w:jc w:val="right"/>
              <w:ind w:right="137"/>
              <w:spacing w:after="0" w:line="134" w:lineRule="exact"/>
              <w:rPr>
                <w:sz w:val="20"/>
                <w:szCs w:val="20"/>
                <w:color w:val="auto"/>
              </w:rPr>
            </w:pPr>
            <w:r>
              <w:rPr>
                <w:rFonts w:ascii="Arial" w:cs="Arial" w:eastAsia="Arial" w:hAnsi="Arial"/>
                <w:sz w:val="13"/>
                <w:szCs w:val="13"/>
                <w:b w:val="1"/>
                <w:bCs w:val="1"/>
                <w:color w:val="auto"/>
              </w:rPr>
              <w:t>$393,165,493</w:t>
            </w:r>
          </w:p>
        </w:tc>
        <w:tc>
          <w:tcPr>
            <w:tcW w:w="1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4000" w:type="dxa"/>
            <w:vAlign w:val="bottom"/>
            <w:gridSpan w:val="2"/>
          </w:tcPr>
          <w:p>
            <w:pPr>
              <w:spacing w:after="0"/>
              <w:rPr>
                <w:sz w:val="20"/>
                <w:szCs w:val="20"/>
                <w:color w:val="auto"/>
              </w:rPr>
            </w:pPr>
            <w:r>
              <w:rPr>
                <w:rFonts w:ascii="Arial" w:cs="Arial" w:eastAsia="Arial" w:hAnsi="Arial"/>
                <w:sz w:val="16"/>
                <w:szCs w:val="16"/>
                <w:color w:val="53565A"/>
                <w:vertAlign w:val="superscript"/>
              </w:rPr>
              <w:t>(1)</w:t>
            </w:r>
            <w:r>
              <w:rPr>
                <w:rFonts w:ascii="Arial" w:cs="Arial" w:eastAsia="Arial" w:hAnsi="Arial"/>
                <w:sz w:val="13"/>
                <w:szCs w:val="13"/>
                <w:color w:val="53565A"/>
              </w:rPr>
              <w:t xml:space="preserve"> Weighted based on leased square feet.</w:t>
            </w:r>
          </w:p>
        </w:tc>
        <w:tc>
          <w:tcPr>
            <w:tcW w:w="2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412750</wp:posOffset>
            </wp:positionV>
            <wp:extent cx="717486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36" w:right="319" w:bottom="1440" w:gutter="0" w:footer="0" w:header="0"/>
        </w:sectPr>
      </w:pPr>
    </w:p>
    <w:bookmarkStart w:id="37" w:name="page38"/>
    <w:bookmarkEnd w:id="37"/>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 Expirations</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5" w:type="dxa"/>
        <w:tblCellMar>
          <w:top w:w="0" w:type="dxa"/>
          <w:left w:w="0" w:type="dxa"/>
          <w:bottom w:w="0" w:type="dxa"/>
          <w:right w:w="0" w:type="dxa"/>
        </w:tblCellMar>
      </w:tblPr>
      <w:tr>
        <w:trPr>
          <w:trHeight w:val="149"/>
        </w:trPr>
        <w:tc>
          <w:tcPr>
            <w:tcW w:w="19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74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Percentage of</w:t>
            </w:r>
          </w:p>
        </w:tc>
        <w:tc>
          <w:tcPr>
            <w:tcW w:w="1560" w:type="dxa"/>
            <w:vAlign w:val="bottom"/>
          </w:tcPr>
          <w:p>
            <w:pPr>
              <w:spacing w:after="0"/>
              <w:rPr>
                <w:sz w:val="13"/>
                <w:szCs w:val="13"/>
                <w:color w:val="auto"/>
              </w:rPr>
            </w:pPr>
          </w:p>
        </w:tc>
        <w:tc>
          <w:tcPr>
            <w:tcW w:w="152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Percentage of</w:t>
            </w:r>
          </w:p>
        </w:tc>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7"/>
              </w:rPr>
              <w:t>Annualized</w:t>
            </w: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5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8"/>
              </w:rPr>
              <w:t>Number of</w:t>
            </w:r>
          </w:p>
        </w:tc>
        <w:tc>
          <w:tcPr>
            <w:tcW w:w="13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Leased Square</w:t>
            </w:r>
          </w:p>
        </w:tc>
        <w:tc>
          <w:tcPr>
            <w:tcW w:w="1740" w:type="dxa"/>
            <w:vAlign w:val="bottom"/>
          </w:tcPr>
          <w:p>
            <w:pPr>
              <w:jc w:val="center"/>
              <w:ind w:right="37"/>
              <w:spacing w:after="0" w:line="142" w:lineRule="exact"/>
              <w:rPr>
                <w:sz w:val="20"/>
                <w:szCs w:val="20"/>
                <w:color w:val="auto"/>
              </w:rPr>
            </w:pPr>
            <w:r>
              <w:rPr>
                <w:rFonts w:ascii="Arial" w:cs="Arial" w:eastAsia="Arial" w:hAnsi="Arial"/>
                <w:sz w:val="13"/>
                <w:szCs w:val="13"/>
                <w:b w:val="1"/>
                <w:bCs w:val="1"/>
                <w:color w:val="auto"/>
                <w:w w:val="97"/>
              </w:rPr>
              <w:t>Total Leased Square</w:t>
            </w:r>
          </w:p>
        </w:tc>
        <w:tc>
          <w:tcPr>
            <w:tcW w:w="1560" w:type="dxa"/>
            <w:vAlign w:val="bottom"/>
          </w:tcPr>
          <w:p>
            <w:pPr>
              <w:jc w:val="center"/>
              <w:ind w:right="197"/>
              <w:spacing w:after="0" w:line="142" w:lineRule="exact"/>
              <w:rPr>
                <w:sz w:val="20"/>
                <w:szCs w:val="20"/>
                <w:color w:val="auto"/>
              </w:rPr>
            </w:pPr>
            <w:r>
              <w:rPr>
                <w:rFonts w:ascii="Arial" w:cs="Arial" w:eastAsia="Arial" w:hAnsi="Arial"/>
                <w:sz w:val="13"/>
                <w:szCs w:val="13"/>
                <w:b w:val="1"/>
                <w:bCs w:val="1"/>
                <w:color w:val="auto"/>
                <w:w w:val="95"/>
              </w:rPr>
              <w:t>Annualized</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96"/>
              </w:rPr>
              <w:t>Total Annualized</w:t>
            </w:r>
          </w:p>
        </w:tc>
        <w:tc>
          <w:tcPr>
            <w:tcW w:w="1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Lease Income</w:t>
            </w:r>
          </w:p>
        </w:tc>
        <w:tc>
          <w:tcPr>
            <w:tcW w:w="0" w:type="dxa"/>
            <w:vAlign w:val="bottom"/>
          </w:tcPr>
          <w:p>
            <w:pPr>
              <w:spacing w:after="0"/>
              <w:rPr>
                <w:sz w:val="1"/>
                <w:szCs w:val="1"/>
                <w:color w:val="auto"/>
              </w:rPr>
            </w:pPr>
          </w:p>
        </w:tc>
      </w:tr>
      <w:tr>
        <w:trPr>
          <w:trHeight w:val="142"/>
        </w:trPr>
        <w:tc>
          <w:tcPr>
            <w:tcW w:w="194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Year of Lease Expiration </w:t>
            </w:r>
            <w:r>
              <w:rPr>
                <w:rFonts w:ascii="Arial" w:cs="Arial" w:eastAsia="Arial" w:hAnsi="Arial"/>
                <w:sz w:val="16"/>
                <w:szCs w:val="16"/>
                <w:b w:val="1"/>
                <w:bCs w:val="1"/>
                <w:color w:val="auto"/>
                <w:vertAlign w:val="superscript"/>
              </w:rPr>
              <w:t>(1)</w:t>
            </w:r>
          </w:p>
        </w:tc>
        <w:tc>
          <w:tcPr>
            <w:tcW w:w="1520" w:type="dxa"/>
            <w:vAlign w:val="bottom"/>
          </w:tcPr>
          <w:p>
            <w:pPr>
              <w:jc w:val="center"/>
              <w:ind w:right="137"/>
              <w:spacing w:after="0" w:line="142" w:lineRule="exact"/>
              <w:rPr>
                <w:sz w:val="20"/>
                <w:szCs w:val="20"/>
                <w:color w:val="auto"/>
              </w:rPr>
            </w:pPr>
            <w:r>
              <w:rPr>
                <w:rFonts w:ascii="Arial" w:cs="Arial" w:eastAsia="Arial" w:hAnsi="Arial"/>
                <w:sz w:val="13"/>
                <w:szCs w:val="13"/>
                <w:b w:val="1"/>
                <w:bCs w:val="1"/>
                <w:color w:val="auto"/>
                <w:w w:val="99"/>
              </w:rPr>
              <w:t>Leases</w:t>
            </w:r>
          </w:p>
        </w:tc>
        <w:tc>
          <w:tcPr>
            <w:tcW w:w="13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4"/>
              </w:rPr>
              <w:t>Footage</w:t>
            </w:r>
          </w:p>
        </w:tc>
        <w:tc>
          <w:tcPr>
            <w:tcW w:w="17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8"/>
              </w:rPr>
              <w:t>Footage</w:t>
            </w:r>
          </w:p>
        </w:tc>
        <w:tc>
          <w:tcPr>
            <w:tcW w:w="156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97"/>
              </w:rPr>
              <w:t>Lease Income</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b w:val="1"/>
                <w:bCs w:val="1"/>
                <w:color w:val="auto"/>
                <w:w w:val="97"/>
              </w:rPr>
              <w:t>Lease Income</w:t>
            </w:r>
          </w:p>
        </w:tc>
        <w:tc>
          <w:tcPr>
            <w:tcW w:w="1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per Leased</w:t>
            </w:r>
          </w:p>
        </w:tc>
        <w:tc>
          <w:tcPr>
            <w:tcW w:w="0" w:type="dxa"/>
            <w:vAlign w:val="bottom"/>
          </w:tcPr>
          <w:p>
            <w:pPr>
              <w:spacing w:after="0"/>
              <w:rPr>
                <w:sz w:val="1"/>
                <w:szCs w:val="1"/>
                <w:color w:val="auto"/>
              </w:rPr>
            </w:pPr>
          </w:p>
        </w:tc>
      </w:tr>
      <w:tr>
        <w:trPr>
          <w:trHeight w:val="150"/>
        </w:trPr>
        <w:tc>
          <w:tcPr>
            <w:tcW w:w="1940" w:type="dxa"/>
            <w:vAlign w:val="bottom"/>
            <w:tcBorders>
              <w:bottom w:val="single" w:sz="8" w:color="2B4B86"/>
            </w:tcBorders>
            <w:vMerge w:val="continue"/>
          </w:tcPr>
          <w:p>
            <w:pPr>
              <w:spacing w:after="0"/>
              <w:rPr>
                <w:sz w:val="13"/>
                <w:szCs w:val="13"/>
                <w:color w:val="auto"/>
              </w:rPr>
            </w:pPr>
          </w:p>
        </w:tc>
        <w:tc>
          <w:tcPr>
            <w:tcW w:w="1520" w:type="dxa"/>
            <w:vAlign w:val="bottom"/>
            <w:tcBorders>
              <w:bottom w:val="single" w:sz="8" w:color="2B4B86"/>
            </w:tcBorders>
          </w:tcPr>
          <w:p>
            <w:pPr>
              <w:jc w:val="center"/>
              <w:ind w:right="97"/>
              <w:spacing w:after="0"/>
              <w:rPr>
                <w:sz w:val="20"/>
                <w:szCs w:val="20"/>
                <w:color w:val="auto"/>
              </w:rPr>
            </w:pPr>
            <w:r>
              <w:rPr>
                <w:rFonts w:ascii="Arial" w:cs="Arial" w:eastAsia="Arial" w:hAnsi="Arial"/>
                <w:sz w:val="13"/>
                <w:szCs w:val="13"/>
                <w:b w:val="1"/>
                <w:bCs w:val="1"/>
                <w:color w:val="auto"/>
                <w:w w:val="99"/>
              </w:rPr>
              <w:t>Expiring</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Expiring</w:t>
            </w:r>
          </w:p>
        </w:tc>
        <w:tc>
          <w:tcPr>
            <w:tcW w:w="1740" w:type="dxa"/>
            <w:vAlign w:val="bottom"/>
            <w:tcBorders>
              <w:bottom w:val="single" w:sz="8" w:color="2B4B86"/>
            </w:tcBorders>
          </w:tcPr>
          <w:p>
            <w:pPr>
              <w:jc w:val="center"/>
              <w:ind w:right="17"/>
              <w:spacing w:after="0"/>
              <w:rPr>
                <w:sz w:val="20"/>
                <w:szCs w:val="20"/>
                <w:color w:val="auto"/>
              </w:rPr>
            </w:pPr>
            <w:r>
              <w:rPr>
                <w:rFonts w:ascii="Arial" w:cs="Arial" w:eastAsia="Arial" w:hAnsi="Arial"/>
                <w:sz w:val="13"/>
                <w:szCs w:val="13"/>
                <w:b w:val="1"/>
                <w:bCs w:val="1"/>
                <w:color w:val="auto"/>
                <w:w w:val="96"/>
              </w:rPr>
              <w:t>Expiring</w:t>
            </w:r>
          </w:p>
        </w:tc>
        <w:tc>
          <w:tcPr>
            <w:tcW w:w="1560" w:type="dxa"/>
            <w:vAlign w:val="bottom"/>
            <w:tcBorders>
              <w:bottom w:val="single" w:sz="8" w:color="2B4B86"/>
            </w:tcBorders>
          </w:tcPr>
          <w:p>
            <w:pPr>
              <w:jc w:val="center"/>
              <w:ind w:right="157"/>
              <w:spacing w:after="0"/>
              <w:rPr>
                <w:sz w:val="20"/>
                <w:szCs w:val="20"/>
                <w:color w:val="auto"/>
              </w:rPr>
            </w:pPr>
            <w:r>
              <w:rPr>
                <w:rFonts w:ascii="Arial" w:cs="Arial" w:eastAsia="Arial" w:hAnsi="Arial"/>
                <w:sz w:val="13"/>
                <w:szCs w:val="13"/>
                <w:b w:val="1"/>
                <w:bCs w:val="1"/>
                <w:color w:val="auto"/>
                <w:w w:val="96"/>
              </w:rPr>
              <w:t>Expiring</w:t>
            </w:r>
          </w:p>
        </w:tc>
        <w:tc>
          <w:tcPr>
            <w:tcW w:w="1520" w:type="dxa"/>
            <w:vAlign w:val="bottom"/>
            <w:tcBorders>
              <w:bottom w:val="single" w:sz="8" w:color="2B4B86"/>
            </w:tcBorders>
          </w:tcPr>
          <w:p>
            <w:pPr>
              <w:jc w:val="center"/>
              <w:ind w:right="77"/>
              <w:spacing w:after="0"/>
              <w:rPr>
                <w:sz w:val="20"/>
                <w:szCs w:val="20"/>
                <w:color w:val="auto"/>
              </w:rPr>
            </w:pPr>
            <w:r>
              <w:rPr>
                <w:rFonts w:ascii="Arial" w:cs="Arial" w:eastAsia="Arial" w:hAnsi="Arial"/>
                <w:sz w:val="13"/>
                <w:szCs w:val="13"/>
                <w:b w:val="1"/>
                <w:bCs w:val="1"/>
                <w:color w:val="auto"/>
                <w:w w:val="96"/>
              </w:rPr>
              <w:t>Expiring</w:t>
            </w:r>
          </w:p>
        </w:tc>
        <w:tc>
          <w:tcPr>
            <w:tcW w:w="1600" w:type="dxa"/>
            <w:vAlign w:val="bottom"/>
            <w:tcBorders>
              <w:bottom w:val="single" w:sz="8" w:color="2B4B86"/>
            </w:tcBorders>
          </w:tcPr>
          <w:p>
            <w:pPr>
              <w:jc w:val="center"/>
              <w:spacing w:after="0"/>
              <w:rPr>
                <w:sz w:val="20"/>
                <w:szCs w:val="20"/>
                <w:color w:val="auto"/>
              </w:rPr>
            </w:pPr>
            <w:r>
              <w:rPr>
                <w:rFonts w:ascii="Arial" w:cs="Arial" w:eastAsia="Arial" w:hAnsi="Arial"/>
                <w:sz w:val="13"/>
                <w:szCs w:val="13"/>
                <w:b w:val="1"/>
                <w:bCs w:val="1"/>
                <w:color w:val="auto"/>
                <w:w w:val="97"/>
              </w:rPr>
              <w:t>Square Foot Expiring</w:t>
            </w:r>
          </w:p>
        </w:tc>
        <w:tc>
          <w:tcPr>
            <w:tcW w:w="0" w:type="dxa"/>
            <w:vAlign w:val="bottom"/>
          </w:tcPr>
          <w:p>
            <w:pPr>
              <w:spacing w:after="0"/>
              <w:rPr>
                <w:sz w:val="1"/>
                <w:szCs w:val="1"/>
                <w:color w:val="auto"/>
              </w:rPr>
            </w:pPr>
          </w:p>
        </w:tc>
      </w:tr>
      <w:tr>
        <w:trPr>
          <w:trHeight w:val="126"/>
        </w:trPr>
        <w:tc>
          <w:tcPr>
            <w:tcW w:w="1940" w:type="dxa"/>
            <w:vAlign w:val="bottom"/>
          </w:tcPr>
          <w:p>
            <w:pPr>
              <w:spacing w:after="0" w:line="126" w:lineRule="exact"/>
              <w:rPr>
                <w:sz w:val="20"/>
                <w:szCs w:val="20"/>
                <w:color w:val="auto"/>
              </w:rPr>
            </w:pPr>
            <w:r>
              <w:rPr>
                <w:rFonts w:ascii="Arial" w:cs="Arial" w:eastAsia="Arial" w:hAnsi="Arial"/>
                <w:sz w:val="13"/>
                <w:szCs w:val="13"/>
                <w:color w:val="auto"/>
              </w:rPr>
              <w:t>2026</w:t>
            </w:r>
          </w:p>
        </w:tc>
        <w:tc>
          <w:tcPr>
            <w:tcW w:w="1520" w:type="dxa"/>
            <w:vAlign w:val="bottom"/>
          </w:tcPr>
          <w:p>
            <w:pPr>
              <w:jc w:val="center"/>
              <w:ind w:right="97"/>
              <w:spacing w:after="0" w:line="126" w:lineRule="exact"/>
              <w:rPr>
                <w:sz w:val="20"/>
                <w:szCs w:val="20"/>
                <w:color w:val="auto"/>
              </w:rPr>
            </w:pPr>
            <w:r>
              <w:rPr>
                <w:rFonts w:ascii="Arial" w:cs="Arial" w:eastAsia="Arial" w:hAnsi="Arial"/>
                <w:sz w:val="13"/>
                <w:szCs w:val="13"/>
                <w:color w:val="auto"/>
              </w:rPr>
              <w:t>4</w:t>
            </w:r>
          </w:p>
        </w:tc>
        <w:tc>
          <w:tcPr>
            <w:tcW w:w="1380" w:type="dxa"/>
            <w:vAlign w:val="bottom"/>
          </w:tcPr>
          <w:p>
            <w:pPr>
              <w:jc w:val="right"/>
              <w:spacing w:after="0" w:line="126" w:lineRule="exact"/>
              <w:rPr>
                <w:sz w:val="20"/>
                <w:szCs w:val="20"/>
                <w:color w:val="auto"/>
              </w:rPr>
            </w:pPr>
            <w:r>
              <w:rPr>
                <w:rFonts w:ascii="Arial" w:cs="Arial" w:eastAsia="Arial" w:hAnsi="Arial"/>
                <w:sz w:val="13"/>
                <w:szCs w:val="13"/>
                <w:color w:val="auto"/>
              </w:rPr>
              <w:t>344,916</w:t>
            </w:r>
          </w:p>
        </w:tc>
        <w:tc>
          <w:tcPr>
            <w:tcW w:w="1740" w:type="dxa"/>
            <w:vAlign w:val="bottom"/>
          </w:tcPr>
          <w:p>
            <w:pPr>
              <w:jc w:val="right"/>
              <w:ind w:right="177"/>
              <w:spacing w:after="0" w:line="126" w:lineRule="exact"/>
              <w:rPr>
                <w:sz w:val="20"/>
                <w:szCs w:val="20"/>
                <w:color w:val="auto"/>
              </w:rPr>
            </w:pPr>
            <w:r>
              <w:rPr>
                <w:rFonts w:ascii="Arial" w:cs="Arial" w:eastAsia="Arial" w:hAnsi="Arial"/>
                <w:sz w:val="13"/>
                <w:szCs w:val="13"/>
                <w:color w:val="auto"/>
              </w:rPr>
              <w:t>3.2%</w:t>
            </w:r>
          </w:p>
        </w:tc>
        <w:tc>
          <w:tcPr>
            <w:tcW w:w="1560" w:type="dxa"/>
            <w:vAlign w:val="bottom"/>
          </w:tcPr>
          <w:p>
            <w:pPr>
              <w:jc w:val="right"/>
              <w:ind w:right="97"/>
              <w:spacing w:after="0" w:line="126" w:lineRule="exact"/>
              <w:rPr>
                <w:sz w:val="20"/>
                <w:szCs w:val="20"/>
                <w:color w:val="auto"/>
              </w:rPr>
            </w:pPr>
            <w:r>
              <w:rPr>
                <w:rFonts w:ascii="Arial" w:cs="Arial" w:eastAsia="Arial" w:hAnsi="Arial"/>
                <w:sz w:val="13"/>
                <w:szCs w:val="13"/>
                <w:color w:val="auto"/>
              </w:rPr>
              <w:t>13,729,244</w:t>
            </w:r>
          </w:p>
        </w:tc>
        <w:tc>
          <w:tcPr>
            <w:tcW w:w="1520" w:type="dxa"/>
            <w:vAlign w:val="bottom"/>
          </w:tcPr>
          <w:p>
            <w:pPr>
              <w:jc w:val="right"/>
              <w:ind w:right="97"/>
              <w:spacing w:after="0" w:line="126" w:lineRule="exact"/>
              <w:rPr>
                <w:sz w:val="20"/>
                <w:szCs w:val="20"/>
                <w:color w:val="auto"/>
              </w:rPr>
            </w:pPr>
            <w:r>
              <w:rPr>
                <w:rFonts w:ascii="Arial" w:cs="Arial" w:eastAsia="Arial" w:hAnsi="Arial"/>
                <w:sz w:val="13"/>
                <w:szCs w:val="13"/>
                <w:color w:val="auto"/>
              </w:rPr>
              <w:t>3.5%</w:t>
            </w:r>
          </w:p>
        </w:tc>
        <w:tc>
          <w:tcPr>
            <w:tcW w:w="1600" w:type="dxa"/>
            <w:vAlign w:val="bottom"/>
          </w:tcPr>
          <w:p>
            <w:pPr>
              <w:jc w:val="right"/>
              <w:spacing w:after="0" w:line="126" w:lineRule="exact"/>
              <w:rPr>
                <w:sz w:val="20"/>
                <w:szCs w:val="20"/>
                <w:color w:val="auto"/>
              </w:rPr>
            </w:pPr>
            <w:r>
              <w:rPr>
                <w:rFonts w:ascii="Arial" w:cs="Arial" w:eastAsia="Arial" w:hAnsi="Arial"/>
                <w:sz w:val="13"/>
                <w:szCs w:val="13"/>
                <w:color w:val="auto"/>
              </w:rPr>
              <w:t>39.80</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2027</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12</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572,603</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5.4%</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20,791,493</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5.3%</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36.31</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2028</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13</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906,740</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8.5%</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22,256,040</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24.55</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2029</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10</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757,363</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7.1%</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24,853,554</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6.3%</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32.82</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2030</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color w:val="auto"/>
              </w:rPr>
              <w:t>6</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95,888</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0.9%</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2,610,150</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0.7%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27.22</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2031</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color w:val="auto"/>
              </w:rPr>
              <w:t>8</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533,104</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5.0%</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18,472,816</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4.7%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34.65</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2032</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11</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712,188</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6.7%</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22,295,921</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31.31</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2033</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10</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566,197</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5.3%</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22,427,093</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5.7%</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39.61</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2034</w:t>
            </w:r>
          </w:p>
        </w:tc>
        <w:tc>
          <w:tcPr>
            <w:tcW w:w="1520" w:type="dxa"/>
            <w:vAlign w:val="bottom"/>
          </w:tcPr>
          <w:p>
            <w:pPr>
              <w:jc w:val="center"/>
              <w:ind w:right="77"/>
              <w:spacing w:after="0" w:line="142" w:lineRule="exact"/>
              <w:rPr>
                <w:sz w:val="20"/>
                <w:szCs w:val="20"/>
                <w:color w:val="auto"/>
              </w:rPr>
            </w:pPr>
            <w:r>
              <w:rPr>
                <w:rFonts w:ascii="Arial" w:cs="Arial" w:eastAsia="Arial" w:hAnsi="Arial"/>
                <w:sz w:val="13"/>
                <w:szCs w:val="13"/>
                <w:color w:val="auto"/>
                <w:w w:val="96"/>
              </w:rPr>
              <w:t>11</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635,293</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5.9%</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24,461,298</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6.2%</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38.50</w:t>
            </w:r>
          </w:p>
        </w:tc>
        <w:tc>
          <w:tcPr>
            <w:tcW w:w="0" w:type="dxa"/>
            <w:vAlign w:val="bottom"/>
          </w:tcPr>
          <w:p>
            <w:pPr>
              <w:spacing w:after="0"/>
              <w:rPr>
                <w:sz w:val="1"/>
                <w:szCs w:val="1"/>
                <w:color w:val="auto"/>
              </w:rPr>
            </w:pPr>
          </w:p>
        </w:tc>
      </w:tr>
      <w:tr>
        <w:trPr>
          <w:trHeight w:val="142"/>
        </w:trPr>
        <w:tc>
          <w:tcPr>
            <w:tcW w:w="1940" w:type="dxa"/>
            <w:vAlign w:val="bottom"/>
          </w:tcPr>
          <w:p>
            <w:pPr>
              <w:spacing w:after="0" w:line="142" w:lineRule="exact"/>
              <w:rPr>
                <w:sz w:val="20"/>
                <w:szCs w:val="20"/>
                <w:color w:val="auto"/>
              </w:rPr>
            </w:pPr>
            <w:r>
              <w:rPr>
                <w:rFonts w:ascii="Arial" w:cs="Arial" w:eastAsia="Arial" w:hAnsi="Arial"/>
                <w:sz w:val="13"/>
                <w:szCs w:val="13"/>
                <w:color w:val="auto"/>
              </w:rPr>
              <w:t>2035</w:t>
            </w:r>
          </w:p>
        </w:tc>
        <w:tc>
          <w:tcPr>
            <w:tcW w:w="1520" w:type="dxa"/>
            <w:vAlign w:val="bottom"/>
          </w:tcPr>
          <w:p>
            <w:pPr>
              <w:jc w:val="center"/>
              <w:ind w:right="97"/>
              <w:spacing w:after="0" w:line="142" w:lineRule="exact"/>
              <w:rPr>
                <w:sz w:val="20"/>
                <w:szCs w:val="20"/>
                <w:color w:val="auto"/>
              </w:rPr>
            </w:pPr>
            <w:r>
              <w:rPr>
                <w:rFonts w:ascii="Arial" w:cs="Arial" w:eastAsia="Arial" w:hAnsi="Arial"/>
                <w:sz w:val="13"/>
                <w:szCs w:val="13"/>
                <w:color w:val="auto"/>
              </w:rPr>
              <w:t>7</w:t>
            </w:r>
          </w:p>
        </w:tc>
        <w:tc>
          <w:tcPr>
            <w:tcW w:w="1380" w:type="dxa"/>
            <w:vAlign w:val="bottom"/>
          </w:tcPr>
          <w:p>
            <w:pPr>
              <w:jc w:val="right"/>
              <w:spacing w:after="0" w:line="142" w:lineRule="exact"/>
              <w:rPr>
                <w:sz w:val="20"/>
                <w:szCs w:val="20"/>
                <w:color w:val="auto"/>
              </w:rPr>
            </w:pPr>
            <w:r>
              <w:rPr>
                <w:rFonts w:ascii="Arial" w:cs="Arial" w:eastAsia="Arial" w:hAnsi="Arial"/>
                <w:sz w:val="13"/>
                <w:szCs w:val="13"/>
                <w:color w:val="auto"/>
              </w:rPr>
              <w:t>440,450</w:t>
            </w:r>
          </w:p>
        </w:tc>
        <w:tc>
          <w:tcPr>
            <w:tcW w:w="174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4.1%</w:t>
            </w:r>
          </w:p>
        </w:tc>
        <w:tc>
          <w:tcPr>
            <w:tcW w:w="1560" w:type="dxa"/>
            <w:vAlign w:val="bottom"/>
          </w:tcPr>
          <w:p>
            <w:pPr>
              <w:jc w:val="right"/>
              <w:ind w:right="97"/>
              <w:spacing w:after="0" w:line="142" w:lineRule="exact"/>
              <w:rPr>
                <w:sz w:val="20"/>
                <w:szCs w:val="20"/>
                <w:color w:val="auto"/>
              </w:rPr>
            </w:pPr>
            <w:r>
              <w:rPr>
                <w:rFonts w:ascii="Arial" w:cs="Arial" w:eastAsia="Arial" w:hAnsi="Arial"/>
                <w:sz w:val="13"/>
                <w:szCs w:val="13"/>
                <w:color w:val="auto"/>
              </w:rPr>
              <w:t>17,598,695</w:t>
            </w:r>
          </w:p>
        </w:tc>
        <w:tc>
          <w:tcPr>
            <w:tcW w:w="1520" w:type="dxa"/>
            <w:vAlign w:val="bottom"/>
          </w:tcPr>
          <w:p>
            <w:pPr>
              <w:jc w:val="right"/>
              <w:ind w:right="97"/>
              <w:spacing w:after="0" w:line="142" w:lineRule="exact"/>
              <w:rPr>
                <w:sz w:val="20"/>
                <w:szCs w:val="20"/>
                <w:color w:val="auto"/>
              </w:rPr>
            </w:pPr>
            <w:r>
              <w:rPr>
                <w:rFonts w:ascii="Arial" w:cs="Arial" w:eastAsia="Arial" w:hAnsi="Arial"/>
                <w:sz w:val="13"/>
                <w:szCs w:val="13"/>
                <w:color w:val="auto"/>
              </w:rPr>
              <w:t>4.5%</w:t>
            </w: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39.96</w:t>
            </w:r>
          </w:p>
        </w:tc>
        <w:tc>
          <w:tcPr>
            <w:tcW w:w="0" w:type="dxa"/>
            <w:vAlign w:val="bottom"/>
          </w:tcPr>
          <w:p>
            <w:pPr>
              <w:spacing w:after="0"/>
              <w:rPr>
                <w:sz w:val="1"/>
                <w:szCs w:val="1"/>
                <w:color w:val="auto"/>
              </w:rPr>
            </w:pPr>
          </w:p>
        </w:tc>
      </w:tr>
      <w:tr>
        <w:trPr>
          <w:trHeight w:val="150"/>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Thereafter</w:t>
            </w:r>
          </w:p>
        </w:tc>
        <w:tc>
          <w:tcPr>
            <w:tcW w:w="15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96"/>
              </w:rPr>
              <w:t>56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5,113,129</w:t>
            </w:r>
          </w:p>
        </w:tc>
        <w:tc>
          <w:tcPr>
            <w:tcW w:w="17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47.9%</w:t>
            </w:r>
          </w:p>
        </w:tc>
        <w:tc>
          <w:tcPr>
            <w:tcW w:w="1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203,669,189</w:t>
            </w:r>
          </w:p>
        </w:tc>
        <w:tc>
          <w:tcPr>
            <w:tcW w:w="15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51.7%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34"/>
        </w:trPr>
        <w:tc>
          <w:tcPr>
            <w:tcW w:w="19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Total / Weighted Average</w:t>
            </w:r>
          </w:p>
        </w:tc>
        <w:tc>
          <w:tcPr>
            <w:tcW w:w="1520" w:type="dxa"/>
            <w:vAlign w:val="bottom"/>
            <w:tcBorders>
              <w:bottom w:val="single" w:sz="8" w:color="auto"/>
            </w:tcBorders>
          </w:tcPr>
          <w:p>
            <w:pPr>
              <w:jc w:val="center"/>
              <w:ind w:right="97"/>
              <w:spacing w:after="0" w:line="134" w:lineRule="exact"/>
              <w:rPr>
                <w:sz w:val="20"/>
                <w:szCs w:val="20"/>
                <w:color w:val="auto"/>
              </w:rPr>
            </w:pPr>
            <w:r>
              <w:rPr>
                <w:rFonts w:ascii="Arial" w:cs="Arial" w:eastAsia="Arial" w:hAnsi="Arial"/>
                <w:sz w:val="13"/>
                <w:szCs w:val="13"/>
                <w:b w:val="1"/>
                <w:bCs w:val="1"/>
                <w:color w:val="auto"/>
                <w:w w:val="92"/>
              </w:rPr>
              <w:t>148</w:t>
            </w:r>
          </w:p>
        </w:tc>
        <w:tc>
          <w:tcPr>
            <w:tcW w:w="1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10,677,871</w:t>
            </w:r>
          </w:p>
        </w:tc>
        <w:tc>
          <w:tcPr>
            <w:tcW w:w="1740" w:type="dxa"/>
            <w:vAlign w:val="bottom"/>
            <w:tcBorders>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100.0%</w:t>
            </w:r>
          </w:p>
        </w:tc>
        <w:tc>
          <w:tcPr>
            <w:tcW w:w="156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$393,165,493</w:t>
            </w:r>
          </w:p>
        </w:tc>
        <w:tc>
          <w:tcPr>
            <w:tcW w:w="1520" w:type="dxa"/>
            <w:vAlign w:val="bottom"/>
            <w:tcBorders>
              <w:bottom w:val="single" w:sz="8" w:color="auto"/>
            </w:tcBorders>
          </w:tcPr>
          <w:p>
            <w:pPr>
              <w:jc w:val="right"/>
              <w:ind w:right="97"/>
              <w:spacing w:after="0" w:line="134" w:lineRule="exact"/>
              <w:rPr>
                <w:sz w:val="20"/>
                <w:szCs w:val="20"/>
                <w:color w:val="auto"/>
              </w:rPr>
            </w:pPr>
            <w:r>
              <w:rPr>
                <w:rFonts w:ascii="Arial" w:cs="Arial" w:eastAsia="Arial" w:hAnsi="Arial"/>
                <w:sz w:val="13"/>
                <w:szCs w:val="13"/>
                <w:b w:val="1"/>
                <w:bCs w:val="1"/>
                <w:color w:val="auto"/>
              </w:rPr>
              <w:t>100.0%</w:t>
            </w:r>
          </w:p>
        </w:tc>
        <w:tc>
          <w:tcPr>
            <w:tcW w:w="1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$36.82</w:t>
            </w: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 w:right="180" w:hanging="5"/>
        <w:spacing w:after="0" w:line="234" w:lineRule="auto"/>
        <w:tabs>
          <w:tab w:leader="none" w:pos="132" w:val="left"/>
        </w:tabs>
        <w:numPr>
          <w:ilvl w:val="0"/>
          <w:numId w:val="18"/>
        </w:numPr>
        <w:rPr>
          <w:rFonts w:ascii="Arial" w:cs="Arial" w:eastAsia="Arial" w:hAnsi="Arial"/>
          <w:sz w:val="16"/>
          <w:szCs w:val="16"/>
          <w:color w:val="53565A"/>
          <w:vertAlign w:val="superscript"/>
        </w:rPr>
      </w:pPr>
      <w:r>
        <w:rPr>
          <w:rFonts w:ascii="Arial" w:cs="Arial" w:eastAsia="Arial" w:hAnsi="Arial"/>
          <w:sz w:val="12"/>
          <w:szCs w:val="12"/>
          <w:color w:val="53565A"/>
        </w:rPr>
        <w:t>The year of lease expiration is pursuant to current contract terms. Some tenants have the right to vacate their space during a specified period, or "soft term," before the stated terms of their leases expire. As of March 31, 2026, eight tenants occupying approximately 4.0% of our leased square feet and contributing approximately 4.3% of our annualized lease income are currently operating under lease provisions that allow them to exercise their right to terminate their lease before the stated term of their respective lease expires.</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sectPr>
      </w:pPr>
    </w:p>
    <w:bookmarkStart w:id="38" w:name="page39"/>
    <w:bookmarkEnd w:id="38"/>
    <w:p>
      <w:pPr>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Lease Expirations</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2B4B86"/>
        </w:rPr>
        <w:t>(As of March 31, 2026,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20320</wp:posOffset>
            </wp:positionV>
            <wp:extent cx="7204075" cy="28987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4075" cy="289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412750</wp:posOffset>
            </wp:positionV>
            <wp:extent cx="717486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00"/>
          </w:cols>
          <w:pgMar w:left="380" w:top="836" w:right="319" w:bottom="1440" w:gutter="0" w:footer="0" w:header="0"/>
        </w:sectPr>
      </w:pPr>
    </w:p>
    <w:bookmarkStart w:id="39" w:name="page40"/>
    <w:bookmarkEnd w:id="39"/>
    <w:p>
      <w:pPr>
        <w:ind w:left="65"/>
        <w:spacing w:after="0"/>
        <w:rPr>
          <w:sz w:val="20"/>
          <w:szCs w:val="20"/>
          <w:color w:val="auto"/>
        </w:rPr>
      </w:pPr>
      <w:r>
        <w:rPr>
          <w:rFonts w:ascii="Arial" w:cs="Arial" w:eastAsia="Arial" w:hAnsi="Arial"/>
          <w:sz w:val="28"/>
          <w:szCs w:val="28"/>
          <w:color w:val="2B4B86"/>
        </w:rPr>
        <w:drawing>
          <wp:anchor simplePos="0" relativeHeight="251657728" behindDoc="1" locked="0" layoutInCell="0" allowOverlap="1">
            <wp:simplePos x="0" y="0"/>
            <wp:positionH relativeFrom="page">
              <wp:posOffset>6170295</wp:posOffset>
            </wp:positionH>
            <wp:positionV relativeFrom="page">
              <wp:posOffset>449580</wp:posOffset>
            </wp:positionV>
            <wp:extent cx="1179195" cy="4279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179195" cy="427990"/>
                    </a:xfrm>
                    <a:prstGeom prst="rect">
                      <a:avLst/>
                    </a:prstGeom>
                    <a:noFill/>
                  </pic:spPr>
                </pic:pic>
              </a:graphicData>
            </a:graphic>
          </wp:anchor>
        </w:drawing>
        <w:t>Summary of Re/Development Projects</w:t>
      </w:r>
    </w:p>
    <w:p>
      <w:pPr>
        <w:spacing w:after="0" w:line="31" w:lineRule="exact"/>
        <w:rPr>
          <w:sz w:val="20"/>
          <w:szCs w:val="20"/>
          <w:color w:val="auto"/>
        </w:rPr>
      </w:pPr>
    </w:p>
    <w:p>
      <w:pPr>
        <w:ind w:left="65"/>
        <w:spacing w:after="0"/>
        <w:rPr>
          <w:sz w:val="20"/>
          <w:szCs w:val="20"/>
          <w:color w:val="auto"/>
        </w:rPr>
      </w:pPr>
      <w:r>
        <w:rPr>
          <w:rFonts w:ascii="Arial" w:cs="Arial" w:eastAsia="Arial" w:hAnsi="Arial"/>
          <w:sz w:val="17"/>
          <w:szCs w:val="17"/>
          <w:color w:val="2B4B86"/>
        </w:rPr>
        <w:t>(As of March 31, 2026, unaudited, in thousands, except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49465"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222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5" w:type="dxa"/>
        <w:tblCellMar>
          <w:top w:w="0" w:type="dxa"/>
          <w:left w:w="0" w:type="dxa"/>
          <w:bottom w:w="0" w:type="dxa"/>
          <w:right w:w="0" w:type="dxa"/>
        </w:tblCellMar>
      </w:tblPr>
      <w:tr>
        <w:trPr>
          <w:trHeight w:val="184"/>
        </w:trPr>
        <w:tc>
          <w:tcPr>
            <w:tcW w:w="2120" w:type="dxa"/>
            <w:vAlign w:val="bottom"/>
            <w:gridSpan w:val="2"/>
            <w:shd w:val="clear" w:color="auto" w:fill="E7E6E6"/>
          </w:tcPr>
          <w:p>
            <w:pPr>
              <w:spacing w:after="0"/>
              <w:rPr>
                <w:sz w:val="20"/>
                <w:szCs w:val="20"/>
                <w:color w:val="auto"/>
              </w:rPr>
            </w:pPr>
            <w:r>
              <w:rPr>
                <w:rFonts w:ascii="Arial" w:cs="Arial" w:eastAsia="Arial" w:hAnsi="Arial"/>
                <w:sz w:val="13"/>
                <w:szCs w:val="13"/>
                <w:b w:val="1"/>
                <w:bCs w:val="1"/>
                <w:color w:val="auto"/>
              </w:rPr>
              <w:t xml:space="preserve">Projects Under Construction </w:t>
            </w:r>
            <w:r>
              <w:rPr>
                <w:rFonts w:ascii="Arial" w:cs="Arial" w:eastAsia="Arial" w:hAnsi="Arial"/>
                <w:sz w:val="16"/>
                <w:szCs w:val="16"/>
                <w:b w:val="1"/>
                <w:bCs w:val="1"/>
                <w:color w:val="auto"/>
                <w:vertAlign w:val="superscript"/>
              </w:rPr>
              <w:t>(1)</w:t>
            </w:r>
          </w:p>
        </w:tc>
        <w:tc>
          <w:tcPr>
            <w:tcW w:w="1260" w:type="dxa"/>
            <w:vAlign w:val="bottom"/>
            <w:shd w:val="clear" w:color="auto" w:fill="E7E6E6"/>
          </w:tcPr>
          <w:p>
            <w:pPr>
              <w:spacing w:after="0"/>
              <w:rPr>
                <w:sz w:val="16"/>
                <w:szCs w:val="16"/>
                <w:color w:val="auto"/>
              </w:rPr>
            </w:pPr>
          </w:p>
        </w:tc>
        <w:tc>
          <w:tcPr>
            <w:tcW w:w="1460" w:type="dxa"/>
            <w:vAlign w:val="bottom"/>
            <w:shd w:val="clear" w:color="auto" w:fill="E7E6E6"/>
          </w:tcPr>
          <w:p>
            <w:pPr>
              <w:spacing w:after="0"/>
              <w:rPr>
                <w:sz w:val="16"/>
                <w:szCs w:val="16"/>
                <w:color w:val="auto"/>
              </w:rPr>
            </w:pPr>
          </w:p>
        </w:tc>
        <w:tc>
          <w:tcPr>
            <w:tcW w:w="1040" w:type="dxa"/>
            <w:vAlign w:val="bottom"/>
            <w:shd w:val="clear" w:color="auto" w:fill="E7E6E6"/>
          </w:tcPr>
          <w:p>
            <w:pPr>
              <w:spacing w:after="0"/>
              <w:rPr>
                <w:sz w:val="16"/>
                <w:szCs w:val="16"/>
                <w:color w:val="auto"/>
              </w:rPr>
            </w:pPr>
          </w:p>
        </w:tc>
        <w:tc>
          <w:tcPr>
            <w:tcW w:w="1200" w:type="dxa"/>
            <w:vAlign w:val="bottom"/>
            <w:shd w:val="clear" w:color="auto" w:fill="E7E6E6"/>
          </w:tcPr>
          <w:p>
            <w:pPr>
              <w:spacing w:after="0"/>
              <w:rPr>
                <w:sz w:val="16"/>
                <w:szCs w:val="16"/>
                <w:color w:val="auto"/>
              </w:rPr>
            </w:pPr>
          </w:p>
        </w:tc>
        <w:tc>
          <w:tcPr>
            <w:tcW w:w="1380" w:type="dxa"/>
            <w:vAlign w:val="bottom"/>
            <w:shd w:val="clear" w:color="auto" w:fill="E7E6E6"/>
          </w:tcPr>
          <w:p>
            <w:pPr>
              <w:spacing w:after="0"/>
              <w:rPr>
                <w:sz w:val="16"/>
                <w:szCs w:val="16"/>
                <w:color w:val="auto"/>
              </w:rPr>
            </w:pPr>
          </w:p>
        </w:tc>
        <w:tc>
          <w:tcPr>
            <w:tcW w:w="1580" w:type="dxa"/>
            <w:vAlign w:val="bottom"/>
            <w:shd w:val="clear" w:color="auto" w:fill="E7E6E6"/>
          </w:tcPr>
          <w:p>
            <w:pPr>
              <w:spacing w:after="0"/>
              <w:rPr>
                <w:sz w:val="16"/>
                <w:szCs w:val="16"/>
                <w:color w:val="auto"/>
              </w:rPr>
            </w:pPr>
          </w:p>
        </w:tc>
        <w:tc>
          <w:tcPr>
            <w:tcW w:w="1220" w:type="dxa"/>
            <w:vAlign w:val="bottom"/>
            <w:shd w:val="clear" w:color="auto" w:fill="E7E6E6"/>
          </w:tcPr>
          <w:p>
            <w:pPr>
              <w:spacing w:after="0"/>
              <w:rPr>
                <w:sz w:val="16"/>
                <w:szCs w:val="16"/>
                <w:color w:val="auto"/>
              </w:rPr>
            </w:pPr>
          </w:p>
        </w:tc>
      </w:tr>
      <w:tr>
        <w:trPr>
          <w:trHeight w:val="134"/>
        </w:trPr>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80" w:type="dxa"/>
            <w:vAlign w:val="bottom"/>
          </w:tcPr>
          <w:p>
            <w:pPr>
              <w:jc w:val="center"/>
              <w:ind w:left="37"/>
              <w:spacing w:after="0" w:line="134" w:lineRule="exact"/>
              <w:rPr>
                <w:sz w:val="20"/>
                <w:szCs w:val="20"/>
                <w:color w:val="auto"/>
              </w:rPr>
            </w:pPr>
            <w:r>
              <w:rPr>
                <w:rFonts w:ascii="Arial" w:cs="Arial" w:eastAsia="Arial" w:hAnsi="Arial"/>
                <w:sz w:val="13"/>
                <w:szCs w:val="13"/>
                <w:b w:val="1"/>
                <w:bCs w:val="1"/>
                <w:color w:val="auto"/>
                <w:w w:val="95"/>
              </w:rPr>
              <w:t>Anticipated</w:t>
            </w:r>
          </w:p>
        </w:tc>
        <w:tc>
          <w:tcPr>
            <w:tcW w:w="158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26"/>
        </w:trPr>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6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Total Leased Square</w:t>
            </w:r>
          </w:p>
        </w:tc>
        <w:tc>
          <w:tcPr>
            <w:tcW w:w="1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80" w:type="dxa"/>
            <w:vAlign w:val="bottom"/>
          </w:tcPr>
          <w:p>
            <w:pPr>
              <w:jc w:val="center"/>
              <w:ind w:left="57"/>
              <w:spacing w:after="0" w:line="126" w:lineRule="exact"/>
              <w:rPr>
                <w:sz w:val="20"/>
                <w:szCs w:val="20"/>
                <w:color w:val="auto"/>
              </w:rPr>
            </w:pPr>
            <w:r>
              <w:rPr>
                <w:rFonts w:ascii="Arial" w:cs="Arial" w:eastAsia="Arial" w:hAnsi="Arial"/>
                <w:sz w:val="13"/>
                <w:szCs w:val="13"/>
                <w:b w:val="1"/>
                <w:bCs w:val="1"/>
                <w:color w:val="auto"/>
                <w:w w:val="97"/>
              </w:rPr>
              <w:t>Lump-Sum</w:t>
            </w:r>
          </w:p>
        </w:tc>
        <w:tc>
          <w:tcPr>
            <w:tcW w:w="158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Anticipated Completion</w:t>
            </w:r>
          </w:p>
        </w:tc>
        <w:tc>
          <w:tcPr>
            <w:tcW w:w="12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7"/>
              </w:rPr>
              <w:t>Anticipated Lease</w:t>
            </w:r>
          </w:p>
        </w:tc>
      </w:tr>
      <w:tr>
        <w:trPr>
          <w:trHeight w:val="181"/>
        </w:trPr>
        <w:tc>
          <w:tcPr>
            <w:tcW w:w="1060" w:type="dxa"/>
            <w:vAlign w:val="bottom"/>
            <w:tcBorders>
              <w:bottom w:val="single" w:sz="8" w:color="003399"/>
            </w:tcBorders>
          </w:tcPr>
          <w:p>
            <w:pPr>
              <w:spacing w:after="0"/>
              <w:rPr>
                <w:sz w:val="20"/>
                <w:szCs w:val="20"/>
                <w:color w:val="auto"/>
              </w:rPr>
            </w:pPr>
            <w:r>
              <w:rPr>
                <w:rFonts w:ascii="Arial" w:cs="Arial" w:eastAsia="Arial" w:hAnsi="Arial"/>
                <w:sz w:val="13"/>
                <w:szCs w:val="13"/>
                <w:b w:val="1"/>
                <w:bCs w:val="1"/>
                <w:color w:val="auto"/>
              </w:rPr>
              <w:t>Property Name</w:t>
            </w:r>
          </w:p>
        </w:tc>
        <w:tc>
          <w:tcPr>
            <w:tcW w:w="1060" w:type="dxa"/>
            <w:vAlign w:val="bottom"/>
            <w:tcBorders>
              <w:bottom w:val="single" w:sz="8" w:color="003399"/>
            </w:tcBorders>
          </w:tcPr>
          <w:p>
            <w:pPr>
              <w:ind w:left="180"/>
              <w:spacing w:after="0"/>
              <w:rPr>
                <w:sz w:val="20"/>
                <w:szCs w:val="20"/>
                <w:color w:val="auto"/>
              </w:rPr>
            </w:pPr>
            <w:r>
              <w:rPr>
                <w:rFonts w:ascii="Arial" w:cs="Arial" w:eastAsia="Arial" w:hAnsi="Arial"/>
                <w:sz w:val="13"/>
                <w:szCs w:val="13"/>
                <w:b w:val="1"/>
                <w:bCs w:val="1"/>
                <w:color w:val="auto"/>
              </w:rPr>
              <w:t>Location</w:t>
            </w:r>
          </w:p>
        </w:tc>
        <w:tc>
          <w:tcPr>
            <w:tcW w:w="1260" w:type="dxa"/>
            <w:vAlign w:val="bottom"/>
            <w:tcBorders>
              <w:bottom w:val="single" w:sz="8" w:color="003399"/>
            </w:tcBorders>
          </w:tcPr>
          <w:p>
            <w:pPr>
              <w:ind w:left="280"/>
              <w:spacing w:after="0"/>
              <w:rPr>
                <w:sz w:val="20"/>
                <w:szCs w:val="20"/>
                <w:color w:val="auto"/>
              </w:rPr>
            </w:pPr>
            <w:r>
              <w:rPr>
                <w:rFonts w:ascii="Arial" w:cs="Arial" w:eastAsia="Arial" w:hAnsi="Arial"/>
                <w:sz w:val="13"/>
                <w:szCs w:val="13"/>
                <w:b w:val="1"/>
                <w:bCs w:val="1"/>
                <w:color w:val="auto"/>
              </w:rPr>
              <w:t>Property Type</w:t>
            </w:r>
          </w:p>
        </w:tc>
        <w:tc>
          <w:tcPr>
            <w:tcW w:w="146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7"/>
              </w:rPr>
              <w:t>Feet</w:t>
            </w:r>
          </w:p>
        </w:tc>
        <w:tc>
          <w:tcPr>
            <w:tcW w:w="1040" w:type="dxa"/>
            <w:vAlign w:val="bottom"/>
            <w:tcBorders>
              <w:bottom w:val="single" w:sz="8" w:color="003399"/>
            </w:tcBorders>
          </w:tcPr>
          <w:p>
            <w:pPr>
              <w:ind w:left="100"/>
              <w:spacing w:after="0"/>
              <w:rPr>
                <w:sz w:val="20"/>
                <w:szCs w:val="20"/>
                <w:color w:val="auto"/>
              </w:rPr>
            </w:pPr>
            <w:r>
              <w:rPr>
                <w:rFonts w:ascii="Arial" w:cs="Arial" w:eastAsia="Arial" w:hAnsi="Arial"/>
                <w:sz w:val="13"/>
                <w:szCs w:val="13"/>
                <w:b w:val="1"/>
                <w:bCs w:val="1"/>
                <w:color w:val="auto"/>
              </w:rPr>
              <w:t>Lease Term</w:t>
            </w:r>
          </w:p>
        </w:tc>
        <w:tc>
          <w:tcPr>
            <w:tcW w:w="1200" w:type="dxa"/>
            <w:vAlign w:val="bottom"/>
            <w:tcBorders>
              <w:bottom w:val="single" w:sz="8" w:color="003399"/>
            </w:tcBorders>
          </w:tcPr>
          <w:p>
            <w:pPr>
              <w:ind w:left="240"/>
              <w:spacing w:after="0"/>
              <w:rPr>
                <w:sz w:val="20"/>
                <w:szCs w:val="20"/>
                <w:color w:val="auto"/>
              </w:rPr>
            </w:pPr>
            <w:r>
              <w:rPr>
                <w:rFonts w:ascii="Arial" w:cs="Arial" w:eastAsia="Arial" w:hAnsi="Arial"/>
                <w:sz w:val="13"/>
                <w:szCs w:val="13"/>
                <w:b w:val="1"/>
                <w:bCs w:val="1"/>
                <w:color w:val="auto"/>
              </w:rPr>
              <w:t>Cost to Date</w:t>
            </w:r>
          </w:p>
        </w:tc>
        <w:tc>
          <w:tcPr>
            <w:tcW w:w="1380" w:type="dxa"/>
            <w:vAlign w:val="bottom"/>
            <w:tcBorders>
              <w:bottom w:val="single" w:sz="8" w:color="003399"/>
            </w:tcBorders>
          </w:tcPr>
          <w:p>
            <w:pPr>
              <w:jc w:val="center"/>
              <w:ind w:left="77"/>
              <w:spacing w:after="0" w:line="165" w:lineRule="exact"/>
              <w:rPr>
                <w:sz w:val="20"/>
                <w:szCs w:val="20"/>
                <w:color w:val="auto"/>
              </w:rPr>
            </w:pPr>
            <w:r>
              <w:rPr>
                <w:rFonts w:ascii="Arial" w:cs="Arial" w:eastAsia="Arial" w:hAnsi="Arial"/>
                <w:sz w:val="13"/>
                <w:szCs w:val="13"/>
                <w:b w:val="1"/>
                <w:bCs w:val="1"/>
                <w:color w:val="auto"/>
                <w:w w:val="93"/>
              </w:rPr>
              <w:t xml:space="preserve">Reimbursement </w:t>
            </w:r>
            <w:r>
              <w:rPr>
                <w:rFonts w:ascii="Arial" w:cs="Arial" w:eastAsia="Arial" w:hAnsi="Arial"/>
                <w:sz w:val="16"/>
                <w:szCs w:val="16"/>
                <w:b w:val="1"/>
                <w:bCs w:val="1"/>
                <w:color w:val="auto"/>
                <w:w w:val="93"/>
                <w:vertAlign w:val="superscript"/>
              </w:rPr>
              <w:t>(2)</w:t>
            </w:r>
          </w:p>
        </w:tc>
        <w:tc>
          <w:tcPr>
            <w:tcW w:w="158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20" w:type="dxa"/>
            <w:vAlign w:val="bottom"/>
            <w:tcBorders>
              <w:bottom w:val="single" w:sz="8" w:color="003399"/>
            </w:tcBorders>
          </w:tcPr>
          <w:p>
            <w:pPr>
              <w:jc w:val="center"/>
              <w:ind w:left="17"/>
              <w:spacing w:after="0"/>
              <w:rPr>
                <w:sz w:val="20"/>
                <w:szCs w:val="20"/>
                <w:color w:val="auto"/>
              </w:rPr>
            </w:pPr>
            <w:r>
              <w:rPr>
                <w:rFonts w:ascii="Arial" w:cs="Arial" w:eastAsia="Arial" w:hAnsi="Arial"/>
                <w:sz w:val="13"/>
                <w:szCs w:val="13"/>
                <w:b w:val="1"/>
                <w:bCs w:val="1"/>
                <w:color w:val="auto"/>
                <w:w w:val="96"/>
              </w:rPr>
              <w:t>Commencement</w:t>
            </w:r>
          </w:p>
        </w:tc>
      </w:tr>
    </w:tbl>
    <w:p>
      <w:pPr>
        <w:spacing w:after="0" w:line="1" w:lineRule="exact"/>
        <w:rPr>
          <w:sz w:val="20"/>
          <w:szCs w:val="20"/>
          <w:color w:val="auto"/>
        </w:rPr>
      </w:pPr>
    </w:p>
    <w:p>
      <w:pPr>
        <w:sectPr>
          <w:pgSz w:w="11900" w:h="16838" w:orient="portrait"/>
          <w:cols w:equalWidth="0" w:num="1">
            <w:col w:w="11265"/>
          </w:cols>
          <w:pgMar w:left="315" w:top="836" w:right="319" w:bottom="1440" w:gutter="0" w:footer="0" w:header="0"/>
        </w:sectPr>
      </w:pPr>
    </w:p>
    <w:tbl>
      <w:tblPr>
        <w:tblLayout w:type="fixed"/>
        <w:tblInd w:w="5" w:type="dxa"/>
        <w:tblCellMar>
          <w:top w:w="0" w:type="dxa"/>
          <w:left w:w="0" w:type="dxa"/>
          <w:bottom w:w="0" w:type="dxa"/>
          <w:right w:w="0" w:type="dxa"/>
        </w:tblCellMar>
      </w:tblPr>
      <w:tr>
        <w:trPr>
          <w:trHeight w:val="134"/>
        </w:trPr>
        <w:tc>
          <w:tcPr>
            <w:tcW w:w="1240" w:type="dxa"/>
            <w:vAlign w:val="bottom"/>
            <w:gridSpan w:val="2"/>
          </w:tcPr>
          <w:p>
            <w:pPr>
              <w:spacing w:after="0" w:line="134" w:lineRule="exact"/>
              <w:rPr>
                <w:sz w:val="20"/>
                <w:szCs w:val="20"/>
                <w:color w:val="auto"/>
              </w:rPr>
            </w:pPr>
            <w:r>
              <w:rPr>
                <w:rFonts w:ascii="Arial" w:cs="Arial" w:eastAsia="Arial" w:hAnsi="Arial"/>
                <w:sz w:val="13"/>
                <w:szCs w:val="13"/>
                <w:color w:val="auto"/>
              </w:rPr>
              <w:t>JUD - Flagstaff</w:t>
            </w:r>
          </w:p>
        </w:tc>
        <w:tc>
          <w:tcPr>
            <w:tcW w:w="1000" w:type="dxa"/>
            <w:vAlign w:val="bottom"/>
          </w:tcPr>
          <w:p>
            <w:pPr>
              <w:spacing w:after="0" w:line="134" w:lineRule="exact"/>
              <w:rPr>
                <w:sz w:val="20"/>
                <w:szCs w:val="20"/>
                <w:color w:val="auto"/>
              </w:rPr>
            </w:pPr>
            <w:r>
              <w:rPr>
                <w:rFonts w:ascii="Arial" w:cs="Arial" w:eastAsia="Arial" w:hAnsi="Arial"/>
                <w:sz w:val="13"/>
                <w:szCs w:val="13"/>
                <w:color w:val="auto"/>
              </w:rPr>
              <w:t>Flagstaff, AZ</w:t>
            </w:r>
          </w:p>
        </w:tc>
        <w:tc>
          <w:tcPr>
            <w:tcW w:w="1160" w:type="dxa"/>
            <w:vAlign w:val="bottom"/>
          </w:tcPr>
          <w:p>
            <w:pPr>
              <w:ind w:left="160"/>
              <w:spacing w:after="0" w:line="134" w:lineRule="exact"/>
              <w:rPr>
                <w:sz w:val="20"/>
                <w:szCs w:val="20"/>
                <w:color w:val="auto"/>
              </w:rPr>
            </w:pPr>
            <w:r>
              <w:rPr>
                <w:rFonts w:ascii="Arial" w:cs="Arial" w:eastAsia="Arial" w:hAnsi="Arial"/>
                <w:sz w:val="13"/>
                <w:szCs w:val="13"/>
                <w:color w:val="auto"/>
              </w:rPr>
              <w:t>Courthouse</w:t>
            </w:r>
          </w:p>
        </w:tc>
        <w:tc>
          <w:tcPr>
            <w:tcW w:w="1420" w:type="dxa"/>
            <w:vAlign w:val="bottom"/>
          </w:tcPr>
          <w:p>
            <w:pPr>
              <w:jc w:val="center"/>
              <w:spacing w:after="0" w:line="134" w:lineRule="exact"/>
              <w:rPr>
                <w:sz w:val="20"/>
                <w:szCs w:val="20"/>
                <w:color w:val="auto"/>
              </w:rPr>
            </w:pPr>
            <w:r>
              <w:rPr>
                <w:rFonts w:ascii="Arial" w:cs="Arial" w:eastAsia="Arial" w:hAnsi="Arial"/>
                <w:sz w:val="13"/>
                <w:szCs w:val="13"/>
                <w:color w:val="auto"/>
                <w:w w:val="95"/>
              </w:rPr>
              <w:t>50,777</w:t>
            </w:r>
          </w:p>
        </w:tc>
        <w:tc>
          <w:tcPr>
            <w:tcW w:w="1000" w:type="dxa"/>
            <w:vAlign w:val="bottom"/>
          </w:tcPr>
          <w:p>
            <w:pPr>
              <w:jc w:val="center"/>
              <w:ind w:right="17"/>
              <w:spacing w:after="0" w:line="134" w:lineRule="exact"/>
              <w:rPr>
                <w:sz w:val="20"/>
                <w:szCs w:val="20"/>
                <w:color w:val="auto"/>
              </w:rPr>
            </w:pPr>
            <w:r>
              <w:rPr>
                <w:rFonts w:ascii="Arial" w:cs="Arial" w:eastAsia="Arial" w:hAnsi="Arial"/>
                <w:sz w:val="13"/>
                <w:szCs w:val="13"/>
                <w:color w:val="auto"/>
                <w:w w:val="95"/>
              </w:rPr>
              <w:t>20-Year</w:t>
            </w:r>
          </w:p>
        </w:tc>
        <w:tc>
          <w:tcPr>
            <w:tcW w:w="1420" w:type="dxa"/>
            <w:vAlign w:val="bottom"/>
          </w:tcPr>
          <w:p>
            <w:pPr>
              <w:jc w:val="right"/>
              <w:spacing w:after="0" w:line="134" w:lineRule="exact"/>
              <w:rPr>
                <w:sz w:val="20"/>
                <w:szCs w:val="20"/>
                <w:color w:val="auto"/>
              </w:rPr>
            </w:pPr>
            <w:r>
              <w:rPr>
                <w:rFonts w:ascii="Arial" w:cs="Arial" w:eastAsia="Arial" w:hAnsi="Arial"/>
                <w:sz w:val="13"/>
                <w:szCs w:val="13"/>
                <w:color w:val="auto"/>
              </w:rPr>
              <w:t>$34,723</w:t>
            </w:r>
          </w:p>
        </w:tc>
        <w:tc>
          <w:tcPr>
            <w:tcW w:w="1160" w:type="dxa"/>
            <w:vAlign w:val="bottom"/>
          </w:tcPr>
          <w:p>
            <w:pPr>
              <w:jc w:val="right"/>
              <w:spacing w:after="0" w:line="134" w:lineRule="exact"/>
              <w:rPr>
                <w:sz w:val="20"/>
                <w:szCs w:val="20"/>
                <w:color w:val="auto"/>
              </w:rPr>
            </w:pPr>
            <w:r>
              <w:rPr>
                <w:rFonts w:ascii="Arial" w:cs="Arial" w:eastAsia="Arial" w:hAnsi="Arial"/>
                <w:sz w:val="13"/>
                <w:szCs w:val="13"/>
                <w:color w:val="auto"/>
              </w:rPr>
              <w:t>$33,034</w:t>
            </w:r>
          </w:p>
        </w:tc>
        <w:tc>
          <w:tcPr>
            <w:tcW w:w="100" w:type="dxa"/>
            <w:vAlign w:val="bottom"/>
          </w:tcPr>
          <w:p>
            <w:pPr>
              <w:spacing w:after="0"/>
              <w:rPr>
                <w:sz w:val="11"/>
                <w:szCs w:val="11"/>
                <w:color w:val="auto"/>
              </w:rPr>
            </w:pPr>
          </w:p>
        </w:tc>
        <w:tc>
          <w:tcPr>
            <w:tcW w:w="1540" w:type="dxa"/>
            <w:vAlign w:val="bottom"/>
          </w:tcPr>
          <w:p>
            <w:pPr>
              <w:ind w:left="520"/>
              <w:spacing w:after="0" w:line="134" w:lineRule="exact"/>
              <w:rPr>
                <w:sz w:val="20"/>
                <w:szCs w:val="20"/>
                <w:color w:val="auto"/>
              </w:rPr>
            </w:pPr>
            <w:r>
              <w:rPr>
                <w:rFonts w:ascii="Arial" w:cs="Arial" w:eastAsia="Arial" w:hAnsi="Arial"/>
                <w:sz w:val="13"/>
                <w:szCs w:val="13"/>
                <w:color w:val="auto"/>
              </w:rPr>
              <w:t>1Q 2027</w:t>
            </w:r>
          </w:p>
        </w:tc>
        <w:tc>
          <w:tcPr>
            <w:tcW w:w="0" w:type="dxa"/>
            <w:vAlign w:val="bottom"/>
          </w:tcPr>
          <w:p>
            <w:pPr>
              <w:spacing w:after="0"/>
              <w:rPr>
                <w:sz w:val="1"/>
                <w:szCs w:val="1"/>
                <w:color w:val="auto"/>
              </w:rPr>
            </w:pPr>
          </w:p>
        </w:tc>
      </w:tr>
      <w:tr>
        <w:trPr>
          <w:trHeight w:val="142"/>
        </w:trPr>
        <w:tc>
          <w:tcPr>
            <w:tcW w:w="1240" w:type="dxa"/>
            <w:vAlign w:val="bottom"/>
            <w:gridSpan w:val="2"/>
          </w:tcPr>
          <w:p>
            <w:pPr>
              <w:spacing w:after="0" w:line="142" w:lineRule="exact"/>
              <w:rPr>
                <w:sz w:val="20"/>
                <w:szCs w:val="20"/>
                <w:color w:val="auto"/>
              </w:rPr>
            </w:pPr>
            <w:r>
              <w:rPr>
                <w:rFonts w:ascii="Arial" w:cs="Arial" w:eastAsia="Arial" w:hAnsi="Arial"/>
                <w:sz w:val="13"/>
                <w:szCs w:val="13"/>
                <w:color w:val="auto"/>
              </w:rPr>
              <w:t>FL - Fort Myers</w:t>
            </w:r>
          </w:p>
        </w:tc>
        <w:tc>
          <w:tcPr>
            <w:tcW w:w="1000" w:type="dxa"/>
            <w:vAlign w:val="bottom"/>
          </w:tcPr>
          <w:p>
            <w:pPr>
              <w:spacing w:after="0" w:line="142" w:lineRule="exact"/>
              <w:rPr>
                <w:sz w:val="20"/>
                <w:szCs w:val="20"/>
                <w:color w:val="auto"/>
              </w:rPr>
            </w:pPr>
            <w:r>
              <w:rPr>
                <w:rFonts w:ascii="Arial" w:cs="Arial" w:eastAsia="Arial" w:hAnsi="Arial"/>
                <w:sz w:val="13"/>
                <w:szCs w:val="13"/>
                <w:color w:val="auto"/>
              </w:rPr>
              <w:t>Fort Myers, FL</w:t>
            </w:r>
          </w:p>
        </w:tc>
        <w:tc>
          <w:tcPr>
            <w:tcW w:w="1160" w:type="dxa"/>
            <w:vAlign w:val="bottom"/>
          </w:tcPr>
          <w:p>
            <w:pPr>
              <w:ind w:left="160"/>
              <w:spacing w:after="0" w:line="142" w:lineRule="exact"/>
              <w:rPr>
                <w:sz w:val="20"/>
                <w:szCs w:val="20"/>
                <w:color w:val="auto"/>
              </w:rPr>
            </w:pPr>
            <w:r>
              <w:rPr>
                <w:rFonts w:ascii="Arial" w:cs="Arial" w:eastAsia="Arial" w:hAnsi="Arial"/>
                <w:sz w:val="13"/>
                <w:szCs w:val="13"/>
                <w:color w:val="auto"/>
              </w:rPr>
              <w:t>Laboratory</w:t>
            </w:r>
          </w:p>
        </w:tc>
        <w:tc>
          <w:tcPr>
            <w:tcW w:w="1420" w:type="dxa"/>
            <w:vAlign w:val="bottom"/>
          </w:tcPr>
          <w:p>
            <w:pPr>
              <w:jc w:val="center"/>
              <w:spacing w:after="0" w:line="142" w:lineRule="exact"/>
              <w:rPr>
                <w:sz w:val="20"/>
                <w:szCs w:val="20"/>
                <w:color w:val="auto"/>
              </w:rPr>
            </w:pPr>
            <w:r>
              <w:rPr>
                <w:rFonts w:ascii="Arial" w:cs="Arial" w:eastAsia="Arial" w:hAnsi="Arial"/>
                <w:sz w:val="13"/>
                <w:szCs w:val="13"/>
                <w:color w:val="auto"/>
                <w:w w:val="95"/>
              </w:rPr>
              <w:t>64,000</w:t>
            </w:r>
          </w:p>
        </w:tc>
        <w:tc>
          <w:tcPr>
            <w:tcW w:w="100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5"/>
              </w:rPr>
              <w:t>25-Year</w:t>
            </w:r>
          </w:p>
        </w:tc>
        <w:tc>
          <w:tcPr>
            <w:tcW w:w="1420" w:type="dxa"/>
            <w:vAlign w:val="bottom"/>
          </w:tcPr>
          <w:p>
            <w:pPr>
              <w:jc w:val="right"/>
              <w:spacing w:after="0" w:line="142" w:lineRule="exact"/>
              <w:rPr>
                <w:sz w:val="20"/>
                <w:szCs w:val="20"/>
                <w:color w:val="auto"/>
              </w:rPr>
            </w:pPr>
            <w:r>
              <w:rPr>
                <w:rFonts w:ascii="Arial" w:cs="Arial" w:eastAsia="Arial" w:hAnsi="Arial"/>
                <w:sz w:val="13"/>
                <w:szCs w:val="13"/>
                <w:color w:val="auto"/>
              </w:rPr>
              <w:t>$25,266</w:t>
            </w:r>
          </w:p>
        </w:tc>
        <w:tc>
          <w:tcPr>
            <w:tcW w:w="11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540" w:type="dxa"/>
            <w:vAlign w:val="bottom"/>
          </w:tcPr>
          <w:p>
            <w:pPr>
              <w:ind w:left="520"/>
              <w:spacing w:after="0" w:line="142" w:lineRule="exact"/>
              <w:rPr>
                <w:sz w:val="20"/>
                <w:szCs w:val="20"/>
                <w:color w:val="auto"/>
              </w:rPr>
            </w:pPr>
            <w:r>
              <w:rPr>
                <w:rFonts w:ascii="Arial" w:cs="Arial" w:eastAsia="Arial" w:hAnsi="Arial"/>
                <w:sz w:val="13"/>
                <w:szCs w:val="13"/>
                <w:color w:val="auto"/>
              </w:rPr>
              <w:t>4Q 2026</w:t>
            </w:r>
          </w:p>
        </w:tc>
        <w:tc>
          <w:tcPr>
            <w:tcW w:w="0" w:type="dxa"/>
            <w:vAlign w:val="bottom"/>
          </w:tcPr>
          <w:p>
            <w:pPr>
              <w:spacing w:after="0"/>
              <w:rPr>
                <w:sz w:val="1"/>
                <w:szCs w:val="1"/>
                <w:color w:val="auto"/>
              </w:rPr>
            </w:pPr>
          </w:p>
        </w:tc>
      </w:tr>
      <w:tr>
        <w:trPr>
          <w:trHeight w:val="150"/>
        </w:trPr>
        <w:tc>
          <w:tcPr>
            <w:tcW w:w="12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JUD - Medford</w:t>
            </w:r>
          </w:p>
        </w:tc>
        <w:tc>
          <w:tcPr>
            <w:tcW w:w="10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Medford, OR</w:t>
            </w: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Courthouse</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40,035</w:t>
            </w: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color w:val="auto"/>
                <w:w w:val="95"/>
              </w:rPr>
              <w:t>20-Year</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$8,728</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$20,290</w:t>
            </w:r>
          </w:p>
        </w:tc>
        <w:tc>
          <w:tcPr>
            <w:tcW w:w="1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2H 2027</w:t>
            </w:r>
          </w:p>
        </w:tc>
        <w:tc>
          <w:tcPr>
            <w:tcW w:w="0" w:type="dxa"/>
            <w:vAlign w:val="bottom"/>
          </w:tcPr>
          <w:p>
            <w:pPr>
              <w:spacing w:after="0"/>
              <w:rPr>
                <w:sz w:val="1"/>
                <w:szCs w:val="1"/>
                <w:color w:val="auto"/>
              </w:rPr>
            </w:pPr>
          </w:p>
        </w:tc>
      </w:tr>
      <w:tr>
        <w:trPr>
          <w:trHeight w:val="134"/>
        </w:trPr>
        <w:tc>
          <w:tcPr>
            <w:tcW w:w="12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b w:val="1"/>
                <w:bCs w:val="1"/>
                <w:color w:val="auto"/>
              </w:rPr>
              <w:t>Total</w:t>
            </w:r>
          </w:p>
        </w:tc>
        <w:tc>
          <w:tcPr>
            <w:tcW w:w="10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7"/>
              </w:rPr>
              <w:t>154,812</w:t>
            </w:r>
          </w:p>
        </w:tc>
        <w:tc>
          <w:tcPr>
            <w:tcW w:w="10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$68,717</w:t>
            </w:r>
          </w:p>
        </w:tc>
        <w:tc>
          <w:tcPr>
            <w:tcW w:w="11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$53,324</w:t>
            </w:r>
          </w:p>
        </w:tc>
        <w:tc>
          <w:tcPr>
            <w:tcW w:w="1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vMerge w:val="restart"/>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220" w:type="dxa"/>
            <w:vAlign w:val="bottom"/>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2"/>
              </w:rPr>
              <w:t xml:space="preserve">Projects in Design </w:t>
            </w:r>
            <w:r>
              <w:rPr>
                <w:rFonts w:ascii="Arial" w:cs="Arial" w:eastAsia="Arial" w:hAnsi="Arial"/>
                <w:sz w:val="16"/>
                <w:szCs w:val="16"/>
                <w:b w:val="1"/>
                <w:bCs w:val="1"/>
                <w:color w:val="auto"/>
                <w:w w:val="92"/>
                <w:vertAlign w:val="superscript"/>
              </w:rPr>
              <w:t>(3)</w:t>
            </w:r>
          </w:p>
        </w:tc>
        <w:tc>
          <w:tcPr>
            <w:tcW w:w="100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420" w:type="dxa"/>
            <w:vAlign w:val="bottom"/>
            <w:shd w:val="clear" w:color="auto" w:fill="E7E6E6"/>
          </w:tcPr>
          <w:p>
            <w:pPr>
              <w:spacing w:after="0"/>
              <w:rPr>
                <w:sz w:val="12"/>
                <w:szCs w:val="12"/>
                <w:color w:val="auto"/>
              </w:rPr>
            </w:pPr>
          </w:p>
        </w:tc>
        <w:tc>
          <w:tcPr>
            <w:tcW w:w="1000" w:type="dxa"/>
            <w:vAlign w:val="bottom"/>
            <w:shd w:val="clear" w:color="auto" w:fill="E7E6E6"/>
          </w:tcPr>
          <w:p>
            <w:pPr>
              <w:spacing w:after="0"/>
              <w:rPr>
                <w:sz w:val="12"/>
                <w:szCs w:val="12"/>
                <w:color w:val="auto"/>
              </w:rPr>
            </w:pPr>
          </w:p>
        </w:tc>
        <w:tc>
          <w:tcPr>
            <w:tcW w:w="1420" w:type="dxa"/>
            <w:vAlign w:val="bottom"/>
            <w:shd w:val="clear" w:color="auto" w:fill="E7E6E6"/>
          </w:tcPr>
          <w:p>
            <w:pPr>
              <w:spacing w:after="0"/>
              <w:rPr>
                <w:sz w:val="12"/>
                <w:szCs w:val="12"/>
                <w:color w:val="auto"/>
              </w:rPr>
            </w:pPr>
          </w:p>
        </w:tc>
        <w:tc>
          <w:tcPr>
            <w:tcW w:w="1160" w:type="dxa"/>
            <w:vAlign w:val="bottom"/>
            <w:shd w:val="clear" w:color="auto" w:fill="E7E6E6"/>
          </w:tcPr>
          <w:p>
            <w:pPr>
              <w:spacing w:after="0"/>
              <w:rPr>
                <w:sz w:val="12"/>
                <w:szCs w:val="12"/>
                <w:color w:val="auto"/>
              </w:rPr>
            </w:pPr>
          </w:p>
        </w:tc>
        <w:tc>
          <w:tcPr>
            <w:tcW w:w="100" w:type="dxa"/>
            <w:vAlign w:val="bottom"/>
            <w:shd w:val="clear" w:color="auto" w:fill="E7E6E6"/>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Total Estimated</w:t>
            </w:r>
          </w:p>
        </w:tc>
        <w:tc>
          <w:tcPr>
            <w:tcW w:w="1000" w:type="dxa"/>
            <w:vAlign w:val="bottom"/>
          </w:tcPr>
          <w:p>
            <w:pPr>
              <w:spacing w:after="0"/>
              <w:rPr>
                <w:sz w:val="11"/>
                <w:szCs w:val="11"/>
                <w:color w:val="auto"/>
              </w:rPr>
            </w:pPr>
          </w:p>
        </w:tc>
        <w:tc>
          <w:tcPr>
            <w:tcW w:w="1420" w:type="dxa"/>
            <w:vAlign w:val="bottom"/>
          </w:tcPr>
          <w:p>
            <w:pPr>
              <w:jc w:val="right"/>
              <w:ind w:right="357"/>
              <w:spacing w:after="0" w:line="134" w:lineRule="exact"/>
              <w:rPr>
                <w:sz w:val="20"/>
                <w:szCs w:val="20"/>
                <w:color w:val="auto"/>
              </w:rPr>
            </w:pPr>
            <w:r>
              <w:rPr>
                <w:rFonts w:ascii="Arial" w:cs="Arial" w:eastAsia="Arial" w:hAnsi="Arial"/>
                <w:sz w:val="13"/>
                <w:szCs w:val="13"/>
                <w:b w:val="1"/>
                <w:bCs w:val="1"/>
                <w:color w:val="auto"/>
              </w:rPr>
              <w:t>Anticipated</w:t>
            </w:r>
          </w:p>
        </w:tc>
        <w:tc>
          <w:tcPr>
            <w:tcW w:w="126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Anticipated Lease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240" w:type="dxa"/>
            <w:vAlign w:val="bottom"/>
            <w:tcBorders>
              <w:bottom w:val="single" w:sz="8" w:color="003399"/>
            </w:tcBorders>
            <w:gridSpan w:val="2"/>
          </w:tcPr>
          <w:p>
            <w:pPr>
              <w:spacing w:after="0"/>
              <w:rPr>
                <w:sz w:val="20"/>
                <w:szCs w:val="20"/>
                <w:color w:val="auto"/>
              </w:rPr>
            </w:pPr>
            <w:r>
              <w:rPr>
                <w:rFonts w:ascii="Arial" w:cs="Arial" w:eastAsia="Arial" w:hAnsi="Arial"/>
                <w:sz w:val="13"/>
                <w:szCs w:val="13"/>
                <w:b w:val="1"/>
                <w:bCs w:val="1"/>
                <w:color w:val="auto"/>
              </w:rPr>
              <w:t>Property Name</w:t>
            </w:r>
          </w:p>
        </w:tc>
        <w:tc>
          <w:tcPr>
            <w:tcW w:w="1000" w:type="dxa"/>
            <w:vAlign w:val="bottom"/>
            <w:tcBorders>
              <w:bottom w:val="single" w:sz="8" w:color="003399"/>
            </w:tcBorders>
          </w:tcPr>
          <w:p>
            <w:pPr>
              <w:spacing w:after="0"/>
              <w:rPr>
                <w:sz w:val="20"/>
                <w:szCs w:val="20"/>
                <w:color w:val="auto"/>
              </w:rPr>
            </w:pPr>
            <w:r>
              <w:rPr>
                <w:rFonts w:ascii="Arial" w:cs="Arial" w:eastAsia="Arial" w:hAnsi="Arial"/>
                <w:sz w:val="13"/>
                <w:szCs w:val="13"/>
                <w:b w:val="1"/>
                <w:bCs w:val="1"/>
                <w:color w:val="auto"/>
              </w:rPr>
              <w:t>Location</w:t>
            </w:r>
          </w:p>
        </w:tc>
        <w:tc>
          <w:tcPr>
            <w:tcW w:w="1160" w:type="dxa"/>
            <w:vAlign w:val="bottom"/>
            <w:tcBorders>
              <w:bottom w:val="single" w:sz="8" w:color="003399"/>
            </w:tcBorders>
          </w:tcPr>
          <w:p>
            <w:pPr>
              <w:ind w:left="160"/>
              <w:spacing w:after="0"/>
              <w:rPr>
                <w:sz w:val="20"/>
                <w:szCs w:val="20"/>
                <w:color w:val="auto"/>
              </w:rPr>
            </w:pPr>
            <w:r>
              <w:rPr>
                <w:rFonts w:ascii="Arial" w:cs="Arial" w:eastAsia="Arial" w:hAnsi="Arial"/>
                <w:sz w:val="13"/>
                <w:szCs w:val="13"/>
                <w:b w:val="1"/>
                <w:bCs w:val="1"/>
                <w:color w:val="auto"/>
              </w:rPr>
              <w:t>Property Type</w:t>
            </w:r>
          </w:p>
        </w:tc>
        <w:tc>
          <w:tcPr>
            <w:tcW w:w="142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6"/>
              </w:rPr>
              <w:t>Leased Square Feet</w:t>
            </w:r>
          </w:p>
        </w:tc>
        <w:tc>
          <w:tcPr>
            <w:tcW w:w="1000" w:type="dxa"/>
            <w:vAlign w:val="bottom"/>
            <w:tcBorders>
              <w:bottom w:val="single" w:sz="8" w:color="003399"/>
            </w:tcBorders>
          </w:tcPr>
          <w:p>
            <w:pPr>
              <w:jc w:val="center"/>
              <w:spacing w:after="0"/>
              <w:rPr>
                <w:sz w:val="20"/>
                <w:szCs w:val="20"/>
                <w:color w:val="auto"/>
              </w:rPr>
            </w:pPr>
            <w:r>
              <w:rPr>
                <w:rFonts w:ascii="Arial" w:cs="Arial" w:eastAsia="Arial" w:hAnsi="Arial"/>
                <w:sz w:val="13"/>
                <w:szCs w:val="13"/>
                <w:b w:val="1"/>
                <w:bCs w:val="1"/>
                <w:color w:val="auto"/>
                <w:w w:val="96"/>
              </w:rPr>
              <w:t>Lease Term</w:t>
            </w:r>
          </w:p>
        </w:tc>
        <w:tc>
          <w:tcPr>
            <w:tcW w:w="1420" w:type="dxa"/>
            <w:vAlign w:val="bottom"/>
            <w:tcBorders>
              <w:bottom w:val="single" w:sz="8" w:color="003399"/>
            </w:tcBorders>
          </w:tcPr>
          <w:p>
            <w:pPr>
              <w:jc w:val="right"/>
              <w:ind w:right="177"/>
              <w:spacing w:after="0"/>
              <w:rPr>
                <w:sz w:val="20"/>
                <w:szCs w:val="20"/>
                <w:color w:val="auto"/>
              </w:rPr>
            </w:pPr>
            <w:r>
              <w:rPr>
                <w:rFonts w:ascii="Arial" w:cs="Arial" w:eastAsia="Arial" w:hAnsi="Arial"/>
                <w:sz w:val="13"/>
                <w:szCs w:val="13"/>
                <w:b w:val="1"/>
                <w:bCs w:val="1"/>
                <w:color w:val="auto"/>
              </w:rPr>
              <w:t>Completion Date</w:t>
            </w:r>
          </w:p>
        </w:tc>
        <w:tc>
          <w:tcPr>
            <w:tcW w:w="1160" w:type="dxa"/>
            <w:vAlign w:val="bottom"/>
            <w:tcBorders>
              <w:bottom w:val="single" w:sz="8" w:color="003399"/>
            </w:tcBorders>
          </w:tcPr>
          <w:p>
            <w:pPr>
              <w:jc w:val="right"/>
              <w:spacing w:after="0"/>
              <w:rPr>
                <w:sz w:val="20"/>
                <w:szCs w:val="20"/>
                <w:color w:val="auto"/>
              </w:rPr>
            </w:pPr>
            <w:r>
              <w:rPr>
                <w:rFonts w:ascii="Arial" w:cs="Arial" w:eastAsia="Arial" w:hAnsi="Arial"/>
                <w:sz w:val="13"/>
                <w:szCs w:val="13"/>
                <w:b w:val="1"/>
                <w:bCs w:val="1"/>
                <w:color w:val="auto"/>
              </w:rPr>
              <w:t>Commencement</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1Q 2027</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4Q 2026</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2H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0</wp:posOffset>
            </wp:positionV>
            <wp:extent cx="70612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6120" cy="762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97155</wp:posOffset>
            </wp:positionV>
            <wp:extent cx="70612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6120" cy="7620"/>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112395</wp:posOffset>
            </wp:positionV>
            <wp:extent cx="70612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6120" cy="7620"/>
                    </a:xfrm>
                    <a:prstGeom prst="rect">
                      <a:avLst/>
                    </a:prstGeom>
                    <a:noFill/>
                  </pic:spPr>
                </pic:pic>
              </a:graphicData>
            </a:graphic>
          </wp:anchor>
        </w:drawing>
      </w:r>
    </w:p>
    <w:p>
      <w:pPr>
        <w:spacing w:after="0" w:line="935" w:lineRule="exact"/>
        <w:rPr>
          <w:sz w:val="20"/>
          <w:szCs w:val="20"/>
          <w:color w:val="auto"/>
        </w:rPr>
      </w:pPr>
    </w:p>
    <w:p>
      <w:pPr>
        <w:sectPr>
          <w:pgSz w:w="11900" w:h="16838" w:orient="portrait"/>
          <w:cols w:equalWidth="0" w:num="2">
            <w:col w:w="10045" w:space="420"/>
            <w:col w:w="800"/>
          </w:cols>
          <w:pgMar w:left="315" w:top="836" w:right="319" w:bottom="1440" w:gutter="0" w:footer="0" w:header="0"/>
          <w:type w:val="continuous"/>
        </w:sectPr>
      </w:pPr>
    </w:p>
    <w:tbl>
      <w:tblPr>
        <w:tblLayout w:type="fixed"/>
        <w:tblInd w:w="5" w:type="dxa"/>
        <w:tblCellMar>
          <w:top w:w="0" w:type="dxa"/>
          <w:left w:w="0" w:type="dxa"/>
          <w:bottom w:w="0" w:type="dxa"/>
          <w:right w:w="0" w:type="dxa"/>
        </w:tblCellMar>
      </w:tblPr>
      <w:tr>
        <w:trPr>
          <w:trHeight w:val="142"/>
        </w:trPr>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3"/>
                <w:szCs w:val="13"/>
                <w:color w:val="auto"/>
              </w:rPr>
              <w:t>N/A</w:t>
            </w:r>
          </w:p>
        </w:tc>
        <w:tc>
          <w:tcPr>
            <w:tcW w:w="1100" w:type="dxa"/>
            <w:vAlign w:val="bottom"/>
            <w:tcBorders>
              <w:bottom w:val="single" w:sz="8" w:color="auto"/>
            </w:tcBorders>
          </w:tcPr>
          <w:p>
            <w:pPr>
              <w:ind w:left="180"/>
              <w:spacing w:after="0" w:line="142"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3"/>
                <w:szCs w:val="13"/>
                <w:color w:val="auto"/>
              </w:rPr>
              <w:t>-</w:t>
            </w:r>
          </w:p>
        </w:tc>
        <w:tc>
          <w:tcPr>
            <w:tcW w:w="1460" w:type="dxa"/>
            <w:vAlign w:val="bottom"/>
            <w:tcBorders>
              <w:bottom w:val="single" w:sz="8" w:color="auto"/>
            </w:tcBorders>
          </w:tcPr>
          <w:p>
            <w:pPr>
              <w:jc w:val="right"/>
              <w:ind w:right="637"/>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w w:val="91"/>
              </w:rPr>
              <w:t>-</w:t>
            </w:r>
          </w:p>
        </w:tc>
        <w:tc>
          <w:tcPr>
            <w:tcW w:w="15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w w:val="91"/>
              </w:rPr>
              <w:t>-</w:t>
            </w:r>
          </w:p>
        </w:tc>
        <w:tc>
          <w:tcPr>
            <w:tcW w:w="114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3"/>
                <w:szCs w:val="13"/>
                <w:color w:val="auto"/>
              </w:rPr>
              <w:t>-</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20" w:type="dxa"/>
            <w:vAlign w:val="bottom"/>
            <w:vMerge w:val="restart"/>
          </w:tcPr>
          <w:p>
            <w:pPr>
              <w:spacing w:after="0"/>
              <w:rPr>
                <w:sz w:val="24"/>
                <w:szCs w:val="24"/>
                <w:color w:val="auto"/>
              </w:rPr>
            </w:pPr>
          </w:p>
        </w:tc>
        <w:tc>
          <w:tcPr>
            <w:tcW w:w="482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20" w:type="dxa"/>
            <w:vAlign w:val="bottom"/>
            <w:gridSpan w:val="4"/>
            <w:shd w:val="clear" w:color="auto" w:fill="E7E6E6"/>
          </w:tcPr>
          <w:p>
            <w:pPr>
              <w:spacing w:after="0" w:line="142" w:lineRule="exact"/>
              <w:rPr>
                <w:sz w:val="20"/>
                <w:szCs w:val="20"/>
                <w:color w:val="auto"/>
              </w:rPr>
            </w:pPr>
            <w:r>
              <w:rPr>
                <w:rFonts w:ascii="Arial" w:cs="Arial" w:eastAsia="Arial" w:hAnsi="Arial"/>
                <w:sz w:val="13"/>
                <w:szCs w:val="13"/>
                <w:b w:val="1"/>
                <w:bCs w:val="1"/>
                <w:color w:val="auto"/>
                <w:w w:val="99"/>
              </w:rPr>
              <w:t>Projects Previously Completed with Outstanding Lump-Sum Reimbursements</w:t>
            </w:r>
          </w:p>
        </w:tc>
        <w:tc>
          <w:tcPr>
            <w:tcW w:w="900" w:type="dxa"/>
            <w:vAlign w:val="bottom"/>
            <w:shd w:val="clear" w:color="auto" w:fill="E7E6E6"/>
          </w:tcPr>
          <w:p>
            <w:pPr>
              <w:spacing w:after="0"/>
              <w:rPr>
                <w:sz w:val="12"/>
                <w:szCs w:val="12"/>
                <w:color w:val="auto"/>
              </w:rPr>
            </w:pPr>
          </w:p>
        </w:tc>
        <w:tc>
          <w:tcPr>
            <w:tcW w:w="1520" w:type="dxa"/>
            <w:vAlign w:val="bottom"/>
            <w:shd w:val="clear" w:color="auto" w:fill="E7E6E6"/>
          </w:tcPr>
          <w:p>
            <w:pPr>
              <w:spacing w:after="0"/>
              <w:rPr>
                <w:sz w:val="12"/>
                <w:szCs w:val="12"/>
                <w:color w:val="auto"/>
              </w:rPr>
            </w:pPr>
          </w:p>
        </w:tc>
        <w:tc>
          <w:tcPr>
            <w:tcW w:w="1140" w:type="dxa"/>
            <w:vAlign w:val="bottom"/>
            <w:shd w:val="clear" w:color="auto" w:fill="E7E6E6"/>
          </w:tcPr>
          <w:p>
            <w:pPr>
              <w:spacing w:after="0"/>
              <w:rPr>
                <w:sz w:val="12"/>
                <w:szCs w:val="12"/>
                <w:color w:val="auto"/>
              </w:rPr>
            </w:pPr>
          </w:p>
        </w:tc>
        <w:tc>
          <w:tcPr>
            <w:tcW w:w="1640" w:type="dxa"/>
            <w:vAlign w:val="bottom"/>
            <w:shd w:val="clear" w:color="auto" w:fill="E7E6E6"/>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Total Leased Square</w:t>
            </w:r>
          </w:p>
        </w:tc>
        <w:tc>
          <w:tcPr>
            <w:tcW w:w="900" w:type="dxa"/>
            <w:vAlign w:val="bottom"/>
          </w:tcPr>
          <w:p>
            <w:pPr>
              <w:spacing w:after="0"/>
              <w:rPr>
                <w:sz w:val="11"/>
                <w:szCs w:val="11"/>
                <w:color w:val="auto"/>
              </w:rPr>
            </w:pPr>
          </w:p>
        </w:tc>
        <w:tc>
          <w:tcPr>
            <w:tcW w:w="15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6"/>
              </w:rPr>
              <w:t>Outstanding Lump-</w:t>
            </w:r>
          </w:p>
        </w:tc>
        <w:tc>
          <w:tcPr>
            <w:tcW w:w="1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Sum Reimbursement</w:t>
            </w:r>
            <w:r>
              <w:rPr>
                <w:rFonts w:ascii="Arial" w:cs="Arial" w:eastAsia="Arial" w:hAnsi="Arial"/>
                <w:sz w:val="16"/>
                <w:szCs w:val="16"/>
                <w:b w:val="1"/>
                <w:bCs w:val="1"/>
                <w:color w:val="auto"/>
                <w:w w:val="88"/>
                <w:vertAlign w:val="subscript"/>
              </w:rPr>
              <w:t>(2)</w:t>
            </w:r>
          </w:p>
        </w:tc>
        <w:tc>
          <w:tcPr>
            <w:tcW w:w="11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0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Property Name</w:t>
            </w:r>
          </w:p>
        </w:tc>
        <w:tc>
          <w:tcPr>
            <w:tcW w:w="11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Location</w:t>
            </w:r>
          </w:p>
        </w:tc>
        <w:tc>
          <w:tcPr>
            <w:tcW w:w="122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Property Type</w:t>
            </w:r>
          </w:p>
        </w:tc>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Feet</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Lease Term</w:t>
            </w:r>
          </w:p>
        </w:tc>
        <w:tc>
          <w:tcPr>
            <w:tcW w:w="1520" w:type="dxa"/>
            <w:vAlign w:val="bottom"/>
            <w:vMerge w:val="continue"/>
          </w:tcPr>
          <w:p>
            <w:pPr>
              <w:spacing w:after="0"/>
              <w:rPr>
                <w:sz w:val="10"/>
                <w:szCs w:val="10"/>
                <w:color w:val="auto"/>
              </w:rPr>
            </w:pPr>
          </w:p>
        </w:tc>
        <w:tc>
          <w:tcPr>
            <w:tcW w:w="114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Completion Date</w:t>
            </w:r>
          </w:p>
        </w:tc>
        <w:tc>
          <w:tcPr>
            <w:tcW w:w="164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auto"/>
                <w:w w:val="97"/>
              </w:rPr>
              <w:t>Lease Commencement</w:t>
            </w:r>
          </w:p>
        </w:tc>
        <w:tc>
          <w:tcPr>
            <w:tcW w:w="0" w:type="dxa"/>
            <w:vAlign w:val="bottom"/>
          </w:tcPr>
          <w:p>
            <w:pPr>
              <w:spacing w:after="0"/>
              <w:rPr>
                <w:sz w:val="1"/>
                <w:szCs w:val="1"/>
                <w:color w:val="auto"/>
              </w:rPr>
            </w:pPr>
          </w:p>
        </w:tc>
      </w:tr>
      <w:tr>
        <w:trPr>
          <w:trHeight w:val="39"/>
        </w:trPr>
        <w:tc>
          <w:tcPr>
            <w:tcW w:w="1060" w:type="dxa"/>
            <w:vAlign w:val="bottom"/>
            <w:tcBorders>
              <w:bottom w:val="single" w:sz="8" w:color="003399"/>
            </w:tcBorders>
            <w:gridSpan w:val="2"/>
            <w:vMerge w:val="continue"/>
          </w:tcPr>
          <w:p>
            <w:pPr>
              <w:spacing w:after="0"/>
              <w:rPr>
                <w:sz w:val="3"/>
                <w:szCs w:val="3"/>
                <w:color w:val="auto"/>
              </w:rPr>
            </w:pPr>
          </w:p>
        </w:tc>
        <w:tc>
          <w:tcPr>
            <w:tcW w:w="1100" w:type="dxa"/>
            <w:vAlign w:val="bottom"/>
            <w:tcBorders>
              <w:bottom w:val="single" w:sz="8" w:color="003399"/>
            </w:tcBorders>
            <w:vMerge w:val="continue"/>
          </w:tcPr>
          <w:p>
            <w:pPr>
              <w:spacing w:after="0"/>
              <w:rPr>
                <w:sz w:val="3"/>
                <w:szCs w:val="3"/>
                <w:color w:val="auto"/>
              </w:rPr>
            </w:pPr>
          </w:p>
        </w:tc>
        <w:tc>
          <w:tcPr>
            <w:tcW w:w="1220" w:type="dxa"/>
            <w:vAlign w:val="bottom"/>
            <w:tcBorders>
              <w:bottom w:val="single" w:sz="8" w:color="003399"/>
            </w:tcBorders>
            <w:vMerge w:val="continue"/>
          </w:tcPr>
          <w:p>
            <w:pPr>
              <w:spacing w:after="0"/>
              <w:rPr>
                <w:sz w:val="3"/>
                <w:szCs w:val="3"/>
                <w:color w:val="auto"/>
              </w:rPr>
            </w:pPr>
          </w:p>
        </w:tc>
        <w:tc>
          <w:tcPr>
            <w:tcW w:w="1460" w:type="dxa"/>
            <w:vAlign w:val="bottom"/>
            <w:tcBorders>
              <w:bottom w:val="single" w:sz="8" w:color="003399"/>
            </w:tcBorders>
            <w:vMerge w:val="continue"/>
          </w:tcPr>
          <w:p>
            <w:pPr>
              <w:spacing w:after="0"/>
              <w:rPr>
                <w:sz w:val="3"/>
                <w:szCs w:val="3"/>
                <w:color w:val="auto"/>
              </w:rPr>
            </w:pPr>
          </w:p>
        </w:tc>
        <w:tc>
          <w:tcPr>
            <w:tcW w:w="900" w:type="dxa"/>
            <w:vAlign w:val="bottom"/>
            <w:tcBorders>
              <w:bottom w:val="single" w:sz="8" w:color="003399"/>
            </w:tcBorders>
            <w:vMerge w:val="continue"/>
          </w:tcPr>
          <w:p>
            <w:pPr>
              <w:spacing w:after="0"/>
              <w:rPr>
                <w:sz w:val="3"/>
                <w:szCs w:val="3"/>
                <w:color w:val="auto"/>
              </w:rPr>
            </w:pPr>
          </w:p>
        </w:tc>
        <w:tc>
          <w:tcPr>
            <w:tcW w:w="1520" w:type="dxa"/>
            <w:vAlign w:val="bottom"/>
            <w:tcBorders>
              <w:bottom w:val="single" w:sz="8" w:color="003399"/>
            </w:tcBorders>
          </w:tcPr>
          <w:p>
            <w:pPr>
              <w:spacing w:after="0"/>
              <w:rPr>
                <w:sz w:val="3"/>
                <w:szCs w:val="3"/>
                <w:color w:val="auto"/>
              </w:rPr>
            </w:pPr>
          </w:p>
        </w:tc>
        <w:tc>
          <w:tcPr>
            <w:tcW w:w="1140" w:type="dxa"/>
            <w:vAlign w:val="bottom"/>
            <w:tcBorders>
              <w:bottom w:val="single" w:sz="8" w:color="003399"/>
            </w:tcBorders>
            <w:vMerge w:val="continue"/>
          </w:tcPr>
          <w:p>
            <w:pPr>
              <w:spacing w:after="0"/>
              <w:rPr>
                <w:sz w:val="3"/>
                <w:szCs w:val="3"/>
                <w:color w:val="auto"/>
              </w:rPr>
            </w:pPr>
          </w:p>
        </w:tc>
        <w:tc>
          <w:tcPr>
            <w:tcW w:w="1640" w:type="dxa"/>
            <w:vAlign w:val="bottom"/>
            <w:tcBorders>
              <w:bottom w:val="single" w:sz="8" w:color="003399"/>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3"/>
                <w:szCs w:val="13"/>
                <w:color w:val="auto"/>
              </w:rPr>
              <w:t xml:space="preserve">FDA - Atlanta </w:t>
            </w:r>
            <w:r>
              <w:rPr>
                <w:rFonts w:ascii="Arial" w:cs="Arial" w:eastAsia="Arial" w:hAnsi="Arial"/>
                <w:sz w:val="16"/>
                <w:szCs w:val="16"/>
                <w:color w:val="auto"/>
                <w:vertAlign w:val="superscript"/>
              </w:rPr>
              <w:t>(4)</w:t>
            </w:r>
          </w:p>
        </w:tc>
        <w:tc>
          <w:tcPr>
            <w:tcW w:w="110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3"/>
                <w:szCs w:val="13"/>
                <w:color w:val="auto"/>
              </w:rPr>
              <w:t>Atlanta, GA</w:t>
            </w:r>
          </w:p>
        </w:tc>
        <w:tc>
          <w:tcPr>
            <w:tcW w:w="1220" w:type="dxa"/>
            <w:vAlign w:val="bottom"/>
            <w:tcBorders>
              <w:bottom w:val="single" w:sz="8" w:color="auto"/>
            </w:tcBorders>
          </w:tcPr>
          <w:p>
            <w:pPr>
              <w:ind w:left="280"/>
              <w:spacing w:after="0" w:line="142" w:lineRule="exact"/>
              <w:rPr>
                <w:sz w:val="20"/>
                <w:szCs w:val="20"/>
                <w:color w:val="auto"/>
              </w:rPr>
            </w:pPr>
            <w:r>
              <w:rPr>
                <w:rFonts w:ascii="Arial" w:cs="Arial" w:eastAsia="Arial" w:hAnsi="Arial"/>
                <w:sz w:val="13"/>
                <w:szCs w:val="13"/>
                <w:color w:val="auto"/>
              </w:rPr>
              <w:t>Laboratory</w:t>
            </w:r>
          </w:p>
        </w:tc>
        <w:tc>
          <w:tcPr>
            <w:tcW w:w="146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3"/>
                <w:szCs w:val="13"/>
                <w:color w:val="auto"/>
              </w:rPr>
              <w:t>162,000</w:t>
            </w: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w w:val="95"/>
              </w:rPr>
              <w:t>20-Year</w:t>
            </w:r>
          </w:p>
        </w:tc>
        <w:tc>
          <w:tcPr>
            <w:tcW w:w="15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3"/>
                <w:szCs w:val="13"/>
                <w:color w:val="auto"/>
              </w:rPr>
              <w:t>$2,901</w:t>
            </w:r>
          </w:p>
        </w:tc>
        <w:tc>
          <w:tcPr>
            <w:tcW w:w="11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3"/>
                <w:szCs w:val="13"/>
                <w:color w:val="auto"/>
                <w:w w:val="96"/>
              </w:rPr>
              <w:t>4Q 2025</w:t>
            </w:r>
          </w:p>
        </w:tc>
        <w:tc>
          <w:tcPr>
            <w:tcW w:w="1640" w:type="dxa"/>
            <w:vAlign w:val="bottom"/>
            <w:tcBorders>
              <w:bottom w:val="single" w:sz="8" w:color="auto"/>
            </w:tcBorders>
          </w:tcPr>
          <w:p>
            <w:pPr>
              <w:jc w:val="center"/>
              <w:ind w:left="17"/>
              <w:spacing w:after="0" w:line="142" w:lineRule="exact"/>
              <w:rPr>
                <w:sz w:val="20"/>
                <w:szCs w:val="20"/>
                <w:color w:val="auto"/>
              </w:rPr>
            </w:pPr>
            <w:r>
              <w:rPr>
                <w:rFonts w:ascii="Arial" w:cs="Arial" w:eastAsia="Arial" w:hAnsi="Arial"/>
                <w:sz w:val="13"/>
                <w:szCs w:val="13"/>
                <w:color w:val="auto"/>
                <w:w w:val="96"/>
              </w:rPr>
              <w:t>4Q 2025</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125" w:hanging="125"/>
        <w:spacing w:after="0"/>
        <w:tabs>
          <w:tab w:leader="none" w:pos="125" w:val="left"/>
        </w:tabs>
        <w:numPr>
          <w:ilvl w:val="0"/>
          <w:numId w:val="19"/>
        </w:numPr>
        <w:rPr>
          <w:rFonts w:ascii="Arial" w:cs="Arial" w:eastAsia="Arial" w:hAnsi="Arial"/>
          <w:sz w:val="15"/>
          <w:szCs w:val="15"/>
          <w:color w:val="53565A"/>
          <w:vertAlign w:val="superscript"/>
        </w:rPr>
      </w:pPr>
      <w:r>
        <w:rPr>
          <w:rFonts w:ascii="Arial" w:cs="Arial" w:eastAsia="Arial" w:hAnsi="Arial"/>
          <w:sz w:val="11"/>
          <w:szCs w:val="11"/>
          <w:color w:val="53565A"/>
        </w:rPr>
        <w:t>Includes properties under construction for which design is complete.</w:t>
      </w:r>
    </w:p>
    <w:p>
      <w:pPr>
        <w:spacing w:after="0" w:line="41" w:lineRule="exact"/>
        <w:rPr>
          <w:rFonts w:ascii="Arial" w:cs="Arial" w:eastAsia="Arial" w:hAnsi="Arial"/>
          <w:sz w:val="15"/>
          <w:szCs w:val="15"/>
          <w:color w:val="53565A"/>
          <w:vertAlign w:val="superscript"/>
        </w:rPr>
      </w:pPr>
    </w:p>
    <w:p>
      <w:pPr>
        <w:ind w:left="125" w:hanging="125"/>
        <w:spacing w:after="0" w:line="238" w:lineRule="auto"/>
        <w:tabs>
          <w:tab w:leader="none" w:pos="125" w:val="left"/>
        </w:tabs>
        <w:numPr>
          <w:ilvl w:val="0"/>
          <w:numId w:val="19"/>
        </w:numPr>
        <w:rPr>
          <w:rFonts w:ascii="Arial" w:cs="Arial" w:eastAsia="Arial" w:hAnsi="Arial"/>
          <w:sz w:val="15"/>
          <w:szCs w:val="15"/>
          <w:color w:val="53565A"/>
          <w:vertAlign w:val="superscript"/>
        </w:rPr>
      </w:pPr>
      <w:r>
        <w:rPr>
          <w:rFonts w:ascii="Arial" w:cs="Arial" w:eastAsia="Arial" w:hAnsi="Arial"/>
          <w:sz w:val="11"/>
          <w:szCs w:val="11"/>
          <w:color w:val="53565A"/>
        </w:rPr>
        <w:t>Includes reimbursement of lump-sum tenant improvement costs and development fees.</w:t>
      </w:r>
    </w:p>
    <w:p>
      <w:pPr>
        <w:spacing w:after="0" w:line="52" w:lineRule="exact"/>
        <w:rPr>
          <w:rFonts w:ascii="Arial" w:cs="Arial" w:eastAsia="Arial" w:hAnsi="Arial"/>
          <w:sz w:val="15"/>
          <w:szCs w:val="15"/>
          <w:color w:val="53565A"/>
          <w:vertAlign w:val="superscript"/>
        </w:rPr>
      </w:pPr>
    </w:p>
    <w:p>
      <w:pPr>
        <w:ind w:left="125" w:hanging="125"/>
        <w:spacing w:after="0"/>
        <w:tabs>
          <w:tab w:leader="none" w:pos="125" w:val="left"/>
        </w:tabs>
        <w:numPr>
          <w:ilvl w:val="0"/>
          <w:numId w:val="19"/>
        </w:numPr>
        <w:rPr>
          <w:rFonts w:ascii="Arial" w:cs="Arial" w:eastAsia="Arial" w:hAnsi="Arial"/>
          <w:sz w:val="15"/>
          <w:szCs w:val="15"/>
          <w:color w:val="53565A"/>
          <w:vertAlign w:val="superscript"/>
        </w:rPr>
      </w:pPr>
      <w:r>
        <w:rPr>
          <w:rFonts w:ascii="Arial" w:cs="Arial" w:eastAsia="Arial" w:hAnsi="Arial"/>
          <w:sz w:val="11"/>
          <w:szCs w:val="11"/>
          <w:color w:val="53565A"/>
        </w:rPr>
        <w:t>Includes projects in the design phase for which project scope is not fully determined.</w:t>
      </w:r>
    </w:p>
    <w:p>
      <w:pPr>
        <w:spacing w:after="0" w:line="41" w:lineRule="exact"/>
        <w:rPr>
          <w:rFonts w:ascii="Arial" w:cs="Arial" w:eastAsia="Arial" w:hAnsi="Arial"/>
          <w:sz w:val="15"/>
          <w:szCs w:val="15"/>
          <w:color w:val="53565A"/>
          <w:vertAlign w:val="superscript"/>
        </w:rPr>
      </w:pPr>
    </w:p>
    <w:p>
      <w:pPr>
        <w:ind w:left="125" w:hanging="125"/>
        <w:spacing w:after="0" w:line="238" w:lineRule="auto"/>
        <w:tabs>
          <w:tab w:leader="none" w:pos="125" w:val="left"/>
        </w:tabs>
        <w:numPr>
          <w:ilvl w:val="0"/>
          <w:numId w:val="19"/>
        </w:numPr>
        <w:rPr>
          <w:rFonts w:ascii="Arial" w:cs="Arial" w:eastAsia="Arial" w:hAnsi="Arial"/>
          <w:sz w:val="15"/>
          <w:szCs w:val="15"/>
          <w:color w:val="53565A"/>
          <w:vertAlign w:val="superscript"/>
        </w:rPr>
      </w:pPr>
      <w:r>
        <w:rPr>
          <w:rFonts w:ascii="Arial" w:cs="Arial" w:eastAsia="Arial" w:hAnsi="Arial"/>
          <w:sz w:val="11"/>
          <w:szCs w:val="11"/>
          <w:color w:val="53565A"/>
        </w:rPr>
        <w:t>Total lump sum reimbursements received for the project as of March 31, 2026 are $150.7 million.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36" w:right="319" w:bottom="1440" w:gutter="0" w:footer="0" w:header="0"/>
          <w:type w:val="continuous"/>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4"/>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2026-04-27T05:48:02Z</dcterms:created>
  <dcterms:modified xsi:type="dcterms:W3CDTF">2026-04-27T05:48:02Z</dcterms:modified>
</cp:coreProperties>
</file>