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4"/>
          <w:szCs w:val="24"/>
          <w:color w:val="auto"/>
        </w:rPr>
      </w:pPr>
    </w:p>
    <w:p>
      <w:pPr>
        <w:ind w:left="760" w:right="320" w:hanging="752"/>
        <w:spacing w:after="0" w:line="254" w:lineRule="auto"/>
        <w:tabs>
          <w:tab w:leader="none" w:pos="7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60" w:right="300" w:hanging="752"/>
        <w:spacing w:after="0" w:line="254" w:lineRule="auto"/>
        <w:tabs>
          <w:tab w:leader="none" w:pos="7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-5080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001-36834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131445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EASTERLY GOVERNMENT PROPERTIES, INC.</w:t>
      </w:r>
    </w:p>
    <w:p>
      <w:pPr>
        <w:spacing w:after="0" w:line="8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3" w:lineRule="exact"/>
        <w:rPr>
          <w:sz w:val="24"/>
          <w:szCs w:val="24"/>
          <w:color w:val="auto"/>
        </w:rPr>
      </w:pPr>
    </w:p>
    <w:tbl>
      <w:tblPr>
        <w:tblLayout w:type="fixed"/>
        <w:tblInd w:w="680" w:type="dxa"/>
        <w:tblCellMar>
          <w:top w:w="0" w:type="dxa"/>
          <w:left w:w="0" w:type="dxa"/>
          <w:bottom w:w="0" w:type="dxa"/>
          <w:right w:w="0" w:type="dxa"/>
        </w:tblCellMar>
      </w:tblPr>
      <w:tr>
        <w:trPr>
          <w:trHeight w:val="214"/>
        </w:trPr>
        <w:tc>
          <w:tcPr>
            <w:tcW w:w="6660" w:type="dxa"/>
            <w:vAlign w:val="bottom"/>
          </w:tcPr>
          <w:p>
            <w:pPr>
              <w:jc w:val="center"/>
              <w:ind w:right="2419"/>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20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47-2047728</w:t>
            </w:r>
          </w:p>
        </w:tc>
      </w:tr>
      <w:tr>
        <w:trPr>
          <w:trHeight w:val="151"/>
        </w:trPr>
        <w:tc>
          <w:tcPr>
            <w:tcW w:w="6660" w:type="dxa"/>
            <w:vAlign w:val="bottom"/>
          </w:tcPr>
          <w:p>
            <w:pPr>
              <w:jc w:val="center"/>
              <w:ind w:right="2399"/>
              <w:spacing w:after="0" w:line="151" w:lineRule="exact"/>
              <w:rPr>
                <w:sz w:val="20"/>
                <w:szCs w:val="20"/>
                <w:color w:val="auto"/>
              </w:rPr>
            </w:pPr>
            <w:r>
              <w:rPr>
                <w:rFonts w:ascii="Times New Roman" w:cs="Times New Roman" w:eastAsia="Times New Roman" w:hAnsi="Times New Roman"/>
                <w:sz w:val="14"/>
                <w:szCs w:val="14"/>
                <w:b w:val="1"/>
                <w:bCs w:val="1"/>
                <w:color w:val="auto"/>
              </w:rPr>
              <w:t>(State of Incorporation)</w:t>
            </w:r>
          </w:p>
        </w:tc>
        <w:tc>
          <w:tcPr>
            <w:tcW w:w="2200" w:type="dxa"/>
            <w:vAlign w:val="bottom"/>
          </w:tcPr>
          <w:p>
            <w:pPr>
              <w:jc w:val="center"/>
              <w:ind w:left="19"/>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14"/>
        </w:trPr>
        <w:tc>
          <w:tcPr>
            <w:tcW w:w="6660" w:type="dxa"/>
            <w:vAlign w:val="bottom"/>
          </w:tcPr>
          <w:p>
            <w:pPr>
              <w:jc w:val="center"/>
              <w:ind w:right="2419"/>
              <w:spacing w:after="0"/>
              <w:rPr>
                <w:sz w:val="20"/>
                <w:szCs w:val="20"/>
                <w:color w:val="auto"/>
              </w:rPr>
            </w:pPr>
            <w:r>
              <w:rPr>
                <w:rFonts w:ascii="Times New Roman" w:cs="Times New Roman" w:eastAsia="Times New Roman" w:hAnsi="Times New Roman"/>
                <w:sz w:val="18"/>
                <w:szCs w:val="18"/>
                <w:b w:val="1"/>
                <w:bCs w:val="1"/>
                <w:color w:val="auto"/>
                <w:w w:val="99"/>
              </w:rPr>
              <w:t>2001 K Street NW, Suite 775 North, Washington, D.C.</w:t>
            </w:r>
          </w:p>
        </w:tc>
        <w:tc>
          <w:tcPr>
            <w:tcW w:w="220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20006</w:t>
            </w:r>
          </w:p>
        </w:tc>
      </w:tr>
      <w:tr>
        <w:trPr>
          <w:trHeight w:val="190"/>
        </w:trPr>
        <w:tc>
          <w:tcPr>
            <w:tcW w:w="6660" w:type="dxa"/>
            <w:vAlign w:val="bottom"/>
          </w:tcPr>
          <w:p>
            <w:pPr>
              <w:jc w:val="center"/>
              <w:ind w:right="23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0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6660" w:type="dxa"/>
            <w:vAlign w:val="bottom"/>
          </w:tcPr>
          <w:p>
            <w:pPr>
              <w:jc w:val="right"/>
              <w:ind w:right="1099"/>
              <w:spacing w:after="0"/>
              <w:rPr>
                <w:sz w:val="20"/>
                <w:szCs w:val="20"/>
                <w:color w:val="auto"/>
              </w:rPr>
            </w:pPr>
            <w:r>
              <w:rPr>
                <w:rFonts w:ascii="Times New Roman" w:cs="Times New Roman" w:eastAsia="Times New Roman" w:hAnsi="Times New Roman"/>
                <w:sz w:val="18"/>
                <w:szCs w:val="18"/>
                <w:b w:val="1"/>
                <w:bCs w:val="1"/>
                <w:color w:val="auto"/>
              </w:rPr>
              <w:t>(202) 595-9500</w:t>
            </w:r>
          </w:p>
        </w:tc>
        <w:tc>
          <w:tcPr>
            <w:tcW w:w="2200" w:type="dxa"/>
            <w:vAlign w:val="bottom"/>
          </w:tcPr>
          <w:p>
            <w:pPr>
              <w:spacing w:after="0"/>
              <w:rPr>
                <w:sz w:val="21"/>
                <w:szCs w:val="21"/>
                <w:color w:val="auto"/>
              </w:rPr>
            </w:pPr>
          </w:p>
        </w:tc>
      </w:tr>
      <w:tr>
        <w:trPr>
          <w:trHeight w:val="190"/>
        </w:trPr>
        <w:tc>
          <w:tcPr>
            <w:tcW w:w="6660" w:type="dxa"/>
            <w:vAlign w:val="bottom"/>
          </w:tcPr>
          <w:p>
            <w:pPr>
              <w:jc w:val="center"/>
              <w:ind w:left="31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00" w:type="dxa"/>
            <w:vAlign w:val="bottom"/>
          </w:tcPr>
          <w:p>
            <w:pPr>
              <w:spacing w:after="0"/>
              <w:rPr>
                <w:sz w:val="16"/>
                <w:szCs w:val="16"/>
                <w:color w:val="auto"/>
              </w:rPr>
            </w:pPr>
          </w:p>
        </w:tc>
      </w:tr>
    </w:tbl>
    <w:p>
      <w:pPr>
        <w:spacing w:after="0" w:line="2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141"/>
        </w:trPr>
        <w:tc>
          <w:tcPr>
            <w:tcW w:w="50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2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5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50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8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Common Stock</w:t>
            </w:r>
          </w:p>
        </w:tc>
        <w:tc>
          <w:tcPr>
            <w:tcW w:w="112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DEA</w:t>
            </w:r>
          </w:p>
        </w:tc>
        <w:tc>
          <w:tcPr>
            <w:tcW w:w="504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620" w:type="dxa"/>
        <w:tblCellMar>
          <w:top w:w="0" w:type="dxa"/>
          <w:left w:w="0" w:type="dxa"/>
          <w:bottom w:w="0" w:type="dxa"/>
          <w:right w:w="0" w:type="dxa"/>
        </w:tblCellMar>
      </w:tblPr>
      <w:tr>
        <w:trPr>
          <w:trHeight w:val="272"/>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2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6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2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3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8"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4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19, 2026, the registrant had 47,321,617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7940" w:type="dxa"/>
            <w:vAlign w:val="bottom"/>
            <w:gridSpan w:val="11"/>
            <w:vMerge w:val="restart"/>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3"/>
        </w:trPr>
        <w:tc>
          <w:tcPr>
            <w:tcW w:w="2280" w:type="dxa"/>
            <w:vAlign w:val="bottom"/>
            <w:tcBorders>
              <w:bottom w:val="single" w:sz="8" w:color="auto"/>
            </w:tcBorders>
            <w:gridSpan w:val="12"/>
            <w:vMerge w:val="continue"/>
          </w:tcPr>
          <w:p>
            <w:pPr>
              <w:spacing w:after="0"/>
              <w:rPr>
                <w:sz w:val="13"/>
                <w:szCs w:val="13"/>
                <w:color w:val="auto"/>
              </w:rPr>
            </w:pPr>
          </w:p>
        </w:tc>
        <w:tc>
          <w:tcPr>
            <w:tcW w:w="7940" w:type="dxa"/>
            <w:vAlign w:val="bottom"/>
            <w:gridSpan w:val="11"/>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10220" w:type="dxa"/>
            <w:vAlign w:val="bottom"/>
            <w:gridSpan w:val="23"/>
          </w:tcPr>
          <w:p>
            <w:pPr>
              <w:ind w:left="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2026 and December 31, 2025 (unaudited)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2026 and 2025 (unaudited)</w:t>
            </w: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Three and Nine Months Ended September 30, 2026 and 2025</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line="20" w:lineRule="exact"/>
              <w:rPr>
                <w:sz w:val="1"/>
                <w:szCs w:val="1"/>
                <w:color w:val="auto"/>
              </w:rPr>
            </w:pPr>
          </w:p>
        </w:tc>
      </w:tr>
      <w:tr>
        <w:trPr>
          <w:trHeight w:val="344"/>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2026 and 2025 (unaudited)</w:t>
            </w:r>
          </w:p>
        </w:tc>
        <w:tc>
          <w:tcPr>
            <w:tcW w:w="1300" w:type="dxa"/>
            <w:vAlign w:val="bottom"/>
            <w:gridSpan w:val="2"/>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Notes to the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line="20" w:lineRule="exact"/>
              <w:rPr>
                <w:sz w:val="1"/>
                <w:szCs w:val="1"/>
                <w:color w:val="auto"/>
              </w:rPr>
            </w:pPr>
          </w:p>
        </w:tc>
      </w:tr>
      <w:tr>
        <w:trPr>
          <w:trHeight w:val="345"/>
        </w:trPr>
        <w:tc>
          <w:tcPr>
            <w:tcW w:w="160" w:type="dxa"/>
            <w:vAlign w:val="bottom"/>
          </w:tcPr>
          <w:p>
            <w:pPr>
              <w:spacing w:after="0"/>
              <w:rPr>
                <w:sz w:val="24"/>
                <w:szCs w:val="24"/>
                <w:color w:val="auto"/>
              </w:rPr>
            </w:pPr>
          </w:p>
        </w:tc>
        <w:tc>
          <w:tcPr>
            <w:tcW w:w="100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5280" w:type="dxa"/>
            <w:vAlign w:val="bottom"/>
            <w:tcBorders>
              <w:top w:val="single" w:sz="8" w:color="0000EE"/>
              <w:bottom w:val="single" w:sz="8" w:color="0000EE"/>
            </w:tcBorders>
            <w:gridSpan w:val="17"/>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Item 3: Quantitative and Qualitative Disclosures About Market Risk</w:t>
            </w:r>
          </w:p>
        </w:tc>
        <w:tc>
          <w:tcPr>
            <w:tcW w:w="2160" w:type="dxa"/>
            <w:vAlign w:val="bottom"/>
            <w:tcBorders>
              <w:top w:val="single" w:sz="8" w:color="0000EE"/>
            </w:tcBorders>
            <w:gridSpan w:val="2"/>
          </w:tcPr>
          <w:p>
            <w:pPr>
              <w:spacing w:after="0"/>
              <w:rPr>
                <w:sz w:val="24"/>
                <w:szCs w:val="24"/>
                <w:color w:val="auto"/>
              </w:rPr>
            </w:pPr>
          </w:p>
        </w:tc>
        <w:tc>
          <w:tcPr>
            <w:tcW w:w="262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00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line="20" w:lineRule="exact"/>
              <w:rPr>
                <w:sz w:val="1"/>
                <w:szCs w:val="1"/>
                <w:color w:val="auto"/>
              </w:rPr>
            </w:pPr>
          </w:p>
        </w:tc>
      </w:tr>
      <w:tr>
        <w:trPr>
          <w:trHeight w:val="331"/>
        </w:trPr>
        <w:tc>
          <w:tcPr>
            <w:tcW w:w="160" w:type="dxa"/>
            <w:vAlign w:val="bottom"/>
          </w:tcPr>
          <w:p>
            <w:pPr>
              <w:spacing w:after="0"/>
              <w:rPr>
                <w:sz w:val="24"/>
                <w:szCs w:val="24"/>
                <w:color w:val="auto"/>
              </w:rPr>
            </w:pPr>
          </w:p>
        </w:tc>
        <w:tc>
          <w:tcPr>
            <w:tcW w:w="2020" w:type="dxa"/>
            <w:vAlign w:val="bottom"/>
            <w:tcBorders>
              <w:bottom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040" w:type="dxa"/>
            <w:vAlign w:val="bottom"/>
            <w:gridSpan w:val="13"/>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72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Item 1A: Risk Factors</w:t>
            </w:r>
          </w:p>
        </w:tc>
        <w:tc>
          <w:tcPr>
            <w:tcW w:w="8340" w:type="dxa"/>
            <w:vAlign w:val="bottom"/>
            <w:gridSpan w:val="16"/>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00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3060" w:type="dxa"/>
            <w:vAlign w:val="bottom"/>
            <w:tcBorders>
              <w:top w:val="single" w:sz="8" w:color="0000EE"/>
              <w:bottom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Item 3: Defaults Upon Senior Securities</w:t>
            </w:r>
          </w:p>
        </w:tc>
        <w:tc>
          <w:tcPr>
            <w:tcW w:w="2120" w:type="dxa"/>
            <w:vAlign w:val="bottom"/>
            <w:tcBorders>
              <w:top w:val="single" w:sz="8" w:color="0000EE"/>
            </w:tcBorders>
            <w:gridSpan w:val="2"/>
          </w:tcPr>
          <w:p>
            <w:pPr>
              <w:spacing w:after="0"/>
              <w:rPr>
                <w:sz w:val="24"/>
                <w:szCs w:val="24"/>
                <w:color w:val="auto"/>
              </w:rPr>
            </w:pPr>
          </w:p>
        </w:tc>
        <w:tc>
          <w:tcPr>
            <w:tcW w:w="488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00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Item 4: 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Item 5: Other Information</w:t>
            </w:r>
          </w:p>
        </w:tc>
        <w:tc>
          <w:tcPr>
            <w:tcW w:w="380" w:type="dxa"/>
            <w:vAlign w:val="bottom"/>
            <w:tcBorders>
              <w:top w:val="single" w:sz="8" w:color="0000EE"/>
            </w:tcBorders>
            <w:gridSpan w:val="2"/>
          </w:tcPr>
          <w:p>
            <w:pPr>
              <w:spacing w:after="0"/>
              <w:rPr>
                <w:sz w:val="24"/>
                <w:szCs w:val="24"/>
                <w:color w:val="auto"/>
              </w:rPr>
            </w:pPr>
          </w:p>
        </w:tc>
        <w:tc>
          <w:tcPr>
            <w:tcW w:w="762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00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Item 6: 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820" w:type="dxa"/>
            <w:vAlign w:val="bottom"/>
            <w:gridSpan w:val="1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1"/>
        </w:trPr>
        <w:tc>
          <w:tcPr>
            <w:tcW w:w="1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properties, net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2,752,624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2,714,650</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Tenant accounts receivable</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72,107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unconsolidated real estate venture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304,721</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Real estate loans receivable, net and investment in sales-type lease, net</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183,911</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51,186</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57,078</w:t>
            </w:r>
          </w:p>
        </w:tc>
        <w:tc>
          <w:tcPr>
            <w:tcW w:w="100" w:type="dxa"/>
            <w:vAlign w:val="bottom"/>
            <w:tcBorders>
              <w:bottom w:val="single" w:sz="8" w:color="CFF0FC"/>
            </w:tcBorders>
          </w:tcPr>
          <w:p>
            <w:pPr>
              <w:spacing w:after="0"/>
              <w:rPr>
                <w:sz w:val="18"/>
                <w:szCs w:val="18"/>
                <w:color w:val="auto"/>
              </w:rPr>
            </w:pPr>
          </w:p>
        </w:tc>
      </w:tr>
      <w:tr>
        <w:trPr>
          <w:trHeight w:val="249"/>
        </w:trPr>
        <w:tc>
          <w:tcPr>
            <w:tcW w:w="6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3,370,793</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3,379,770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199,050</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Term loan facilities, net</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297,200</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net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1,018,884</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Mortgage notes payable, net</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141,957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151,191</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225,999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219,201</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110,932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2,022,913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2,010,205</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5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$0.01, 80,000,000 shares authorized,</w:t>
            </w: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47,321,617 and 46,303,469 shares issued and outstanding at</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FF0FC"/>
          </w:tcPr>
          <w:p>
            <w:pPr>
              <w:spacing w:after="0"/>
              <w:rPr>
                <w:sz w:val="20"/>
                <w:szCs w:val="20"/>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1,985,653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1,958,412</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154,772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144,857</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dividends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(839,086)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(776,022)</w:t>
            </w: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(4,578)</w:t>
            </w:r>
          </w:p>
        </w:tc>
      </w:tr>
      <w:tr>
        <w:trPr>
          <w:trHeight w:val="210"/>
        </w:trPr>
        <w:tc>
          <w:tcPr>
            <w:tcW w:w="6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1,303,775</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1,323,132</w:t>
            </w:r>
          </w:p>
        </w:tc>
        <w:tc>
          <w:tcPr>
            <w:tcW w:w="100" w:type="dxa"/>
            <w:vAlign w:val="bottom"/>
            <w:tcBorders>
              <w:top w:val="single" w:sz="8" w:color="CFF0FC"/>
            </w:tcBorders>
          </w:tcPr>
          <w:p>
            <w:pPr>
              <w:spacing w:after="0"/>
              <w:rPr>
                <w:sz w:val="18"/>
                <w:szCs w:val="18"/>
                <w:color w:val="auto"/>
              </w:rPr>
            </w:pPr>
          </w:p>
        </w:tc>
      </w:tr>
      <w:tr>
        <w:trPr>
          <w:trHeight w:val="209"/>
        </w:trPr>
        <w:tc>
          <w:tcPr>
            <w:tcW w:w="6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1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1,369,565</w:t>
            </w:r>
          </w:p>
        </w:tc>
        <w:tc>
          <w:tcPr>
            <w:tcW w:w="100" w:type="dxa"/>
            <w:vAlign w:val="bottom"/>
          </w:tcPr>
          <w:p>
            <w:pPr>
              <w:spacing w:after="0"/>
              <w:rPr>
                <w:sz w:val="18"/>
                <w:szCs w:val="18"/>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3,370,793</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3,379,770</w:t>
            </w:r>
          </w:p>
        </w:tc>
        <w:tc>
          <w:tcPr>
            <w:tcW w:w="100" w:type="dxa"/>
            <w:vAlign w:val="bottom"/>
            <w:shd w:val="clear" w:color="auto" w:fill="CFF0FC"/>
          </w:tcPr>
          <w:p>
            <w:pPr>
              <w:spacing w:after="0"/>
              <w:rPr>
                <w:sz w:val="19"/>
                <w:szCs w:val="19"/>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-3411220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-3394075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-3556635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-2013585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-607695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Rental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90,035</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268,287</w:t>
            </w:r>
          </w:p>
        </w:tc>
        <w:tc>
          <w:tcPr>
            <w:tcW w:w="14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Tenant reimbursements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management income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operating</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Real estate taxes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Acquisition costs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0"/>
        </w:trPr>
        <w:tc>
          <w:tcPr>
            <w:tcW w:w="49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64,878</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211,719</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186,575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unconsolidated real estate venture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(19,037)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(60,629)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(56,374)</w:t>
            </w: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loss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available to Easterly Government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shd w:val="clear" w:color="auto" w:fill="CFF0FC"/>
          </w:tcPr>
          <w:p>
            <w:pPr>
              <w:spacing w:after="0"/>
              <w:rPr>
                <w:sz w:val="16"/>
                <w:szCs w:val="16"/>
                <w:color w:val="auto"/>
              </w:rPr>
            </w:pPr>
          </w:p>
        </w:tc>
        <w:tc>
          <w:tcPr>
            <w:tcW w:w="4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40" w:type="dxa"/>
            <w:vAlign w:val="bottom"/>
            <w:shd w:val="clear" w:color="auto" w:fill="CFF0FC"/>
          </w:tcPr>
          <w:p>
            <w:pPr>
              <w:spacing w:after="0"/>
              <w:rPr>
                <w:sz w:val="16"/>
                <w:szCs w:val="16"/>
                <w:color w:val="auto"/>
              </w:rPr>
            </w:pPr>
          </w:p>
        </w:tc>
        <w:tc>
          <w:tcPr>
            <w:tcW w:w="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140" w:type="dxa"/>
            <w:vAlign w:val="bottom"/>
            <w:shd w:val="clear" w:color="auto" w:fill="CFF0FC"/>
          </w:tcPr>
          <w:p>
            <w:pPr>
              <w:spacing w:after="0"/>
              <w:rPr>
                <w:sz w:val="16"/>
                <w:szCs w:val="16"/>
                <w:color w:val="auto"/>
              </w:rPr>
            </w:pPr>
          </w:p>
        </w:tc>
        <w:tc>
          <w:tcPr>
            <w:tcW w:w="440" w:type="dxa"/>
            <w:vAlign w:val="bottom"/>
            <w:gridSpan w:val="2"/>
            <w:vMerge w:val="restart"/>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Properties, Inc.</w:t>
            </w:r>
          </w:p>
        </w:tc>
        <w:tc>
          <w:tcPr>
            <w:tcW w:w="160" w:type="dxa"/>
            <w:vAlign w:val="bottom"/>
            <w:vMerge w:val="continue"/>
            <w:shd w:val="clear" w:color="auto" w:fill="CFF0FC"/>
          </w:tcPr>
          <w:p>
            <w:pPr>
              <w:spacing w:after="0"/>
              <w:rPr>
                <w:sz w:val="20"/>
                <w:szCs w:val="20"/>
                <w:color w:val="auto"/>
              </w:rPr>
            </w:pPr>
          </w:p>
        </w:tc>
        <w:tc>
          <w:tcPr>
            <w:tcW w:w="132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gridSpan w:val="2"/>
            <w:vMerge w:val="continue"/>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gridSpan w:val="2"/>
            <w:vMerge w:val="continue"/>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gridSpan w:val="2"/>
            <w:vMerge w:val="continue"/>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Net income available to Easterly Government</w:t>
            </w: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 Inc. per share: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47,250,107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45,337,184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46,661,566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44,532,044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47,554,336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45,485,375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46,902,574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44,650,747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20"/>
                <w:szCs w:val="20"/>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-3500120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-3500120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-3500120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-3500120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-2385695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-2385695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-2385695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-2385695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-1536700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-1536700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-1536700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-1134110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-1116965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-1134110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-1116965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-1134110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-1116965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-1116965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0" w:type="dxa"/>
            <w:vAlign w:val="bottom"/>
          </w:tcPr>
          <w:p>
            <w:pPr>
              <w:spacing w:after="0"/>
              <w:rPr>
                <w:sz w:val="15"/>
                <w:szCs w:val="15"/>
                <w:color w:val="auto"/>
              </w:rPr>
            </w:pPr>
          </w:p>
        </w:tc>
        <w:tc>
          <w:tcPr>
            <w:tcW w:w="28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5,689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gain (loss) on treasury locks and interest rate swaps, net</w:t>
            </w: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2,615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8,304</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198"/>
        </w:trPr>
        <w:tc>
          <w:tcPr>
            <w:tcW w:w="55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attributable to</w:t>
            </w:r>
          </w:p>
        </w:tc>
        <w:tc>
          <w:tcPr>
            <w:tcW w:w="780" w:type="dxa"/>
            <w:vAlign w:val="bottom"/>
            <w:shd w:val="clear" w:color="auto" w:fill="CFF0FC"/>
          </w:tcPr>
          <w:p>
            <w:pPr>
              <w:spacing w:after="0"/>
              <w:rPr>
                <w:sz w:val="17"/>
                <w:szCs w:val="17"/>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780" w:type="dxa"/>
            <w:vAlign w:val="bottom"/>
            <w:shd w:val="clear" w:color="auto" w:fill="CFF0FC"/>
          </w:tcPr>
          <w:p>
            <w:pPr>
              <w:spacing w:after="0"/>
              <w:rPr>
                <w:sz w:val="19"/>
                <w:szCs w:val="19"/>
                <w:color w:val="auto"/>
              </w:rPr>
            </w:pPr>
          </w:p>
        </w:tc>
        <w:tc>
          <w:tcPr>
            <w:tcW w:w="66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6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Comprehensive income attributable to</w:t>
            </w:r>
          </w:p>
        </w:tc>
        <w:tc>
          <w:tcPr>
            <w:tcW w:w="7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8,030</w:t>
            </w:r>
          </w:p>
        </w:tc>
        <w:tc>
          <w:tcPr>
            <w:tcW w:w="22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vMerge w:val="restart"/>
          </w:tcPr>
          <w:p>
            <w:pPr>
              <w:spacing w:after="0"/>
              <w:rPr>
                <w:sz w:val="16"/>
                <w:szCs w:val="16"/>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22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60" w:type="dxa"/>
            <w:vAlign w:val="bottom"/>
          </w:tcPr>
          <w:p>
            <w:pPr>
              <w:jc w:val="right"/>
              <w:ind w:right="2650"/>
              <w:spacing w:after="0" w:line="194" w:lineRule="exact"/>
              <w:rPr>
                <w:sz w:val="20"/>
                <w:szCs w:val="20"/>
                <w:color w:val="auto"/>
              </w:rPr>
            </w:pPr>
            <w:r>
              <w:rPr>
                <w:rFonts w:ascii="Times New Roman" w:cs="Times New Roman" w:eastAsia="Times New Roman" w:hAnsi="Times New Roman"/>
                <w:sz w:val="18"/>
                <w:szCs w:val="18"/>
                <w:color w:val="auto"/>
              </w:rPr>
              <w:t>Easterly Government Properties, Inc.</w:t>
            </w:r>
          </w:p>
        </w:tc>
        <w:tc>
          <w:tcPr>
            <w:tcW w:w="7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-976630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-976630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-976630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-976630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-282575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-282575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-282575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6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84,277</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Straight line rent</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unconsolidated real estate venture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(5,218)</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above- / below-market leases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(1,427)</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unearned revenue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(5,517)</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loan premium / discount</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lease inducements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real estate loans receivable origination fees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treasury lock settlement</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Distributions from investment in unconsolidated real estate venture</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compensation</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Tenant accounts receivable</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(15,230)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(8,228)</w:t>
            </w:r>
          </w:p>
        </w:tc>
      </w:tr>
      <w:tr>
        <w:trPr>
          <w:trHeight w:val="216"/>
        </w:trPr>
        <w:tc>
          <w:tcPr>
            <w:tcW w:w="6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Real estate loan interest receivable</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(1,925)</w:t>
            </w:r>
          </w:p>
        </w:tc>
      </w:tr>
      <w:tr>
        <w:trPr>
          <w:trHeight w:val="216"/>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associated with operating leases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105,069</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Principal payments on operating lease obligations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repayment of sales-type lease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217,263</w:t>
            </w:r>
          </w:p>
        </w:tc>
        <w:tc>
          <w:tcPr>
            <w:tcW w:w="100" w:type="dxa"/>
            <w:vAlign w:val="bottom"/>
          </w:tcPr>
          <w:p>
            <w:pPr>
              <w:spacing w:after="0"/>
              <w:rPr>
                <w:sz w:val="18"/>
                <w:szCs w:val="18"/>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acquisitions and deposits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(179,429)</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Additions to operating properties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(22,248)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(24,968)</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development properties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(58,107)</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Repayments of real estate loan receivable</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operating property, net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Distributions from investment in unconsolidated real estate venture</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in real estate loans receivable, net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(14,040)</w:t>
            </w:r>
          </w:p>
        </w:tc>
      </w:tr>
      <w:tr>
        <w:trPr>
          <w:trHeight w:val="20"/>
        </w:trPr>
        <w:tc>
          <w:tcPr>
            <w:tcW w:w="6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(101,662)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(257,559)</w:t>
            </w:r>
          </w:p>
        </w:tc>
      </w:tr>
      <w:tr>
        <w:trPr>
          <w:trHeight w:val="210"/>
        </w:trPr>
        <w:tc>
          <w:tcPr>
            <w:tcW w:w="6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(4,848)</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63,620</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Credit facility draws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230,250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274,350</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facility repayments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(378,000)</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Term loan proceeds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notes payable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lock settlement</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mortgage notes payable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(3,421)</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Dividends and distributions paid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(65,899)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(72,882)</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r>
      <w:tr>
        <w:trPr>
          <w:trHeight w:val="20"/>
        </w:trPr>
        <w:tc>
          <w:tcPr>
            <w:tcW w:w="6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(39,495)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26,701</w:t>
            </w:r>
          </w:p>
        </w:tc>
        <w:tc>
          <w:tcPr>
            <w:tcW w:w="100" w:type="dxa"/>
            <w:vAlign w:val="bottom"/>
            <w:shd w:val="clear" w:color="auto" w:fill="CFF0FC"/>
          </w:tcPr>
          <w:p>
            <w:pPr>
              <w:spacing w:after="0"/>
              <w:rPr>
                <w:sz w:val="18"/>
                <w:szCs w:val="18"/>
                <w:color w:val="auto"/>
              </w:rPr>
            </w:pPr>
          </w:p>
        </w:tc>
      </w:tr>
      <w:tr>
        <w:trPr>
          <w:trHeight w:val="534"/>
        </w:trPr>
        <w:tc>
          <w:tcPr>
            <w:tcW w:w="678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979"/>
        </w:trPr>
        <w:tc>
          <w:tcPr>
            <w:tcW w:w="6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-4045585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-2647950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-985520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7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11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(21,854)</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(13,595)</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100" w:type="dxa"/>
            <w:vAlign w:val="bottom"/>
          </w:tcPr>
          <w:p>
            <w:pPr>
              <w:spacing w:after="0"/>
              <w:rPr>
                <w:sz w:val="18"/>
                <w:szCs w:val="18"/>
                <w:color w:val="auto"/>
              </w:rPr>
            </w:pPr>
          </w:p>
        </w:tc>
      </w:tr>
      <w:tr>
        <w:trPr>
          <w:trHeight w:val="24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1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100" w:type="dxa"/>
            <w:vAlign w:val="bottom"/>
            <w:shd w:val="clear" w:color="auto" w:fill="CFF0FC"/>
          </w:tcPr>
          <w:p>
            <w:pPr>
              <w:spacing w:after="0"/>
              <w:rPr>
                <w:sz w:val="21"/>
                <w:szCs w:val="21"/>
                <w:color w:val="auto"/>
              </w:rPr>
            </w:pPr>
          </w:p>
        </w:tc>
      </w:tr>
      <w:tr>
        <w:trPr>
          <w:trHeight w:val="197"/>
        </w:trPr>
        <w:tc>
          <w:tcPr>
            <w:tcW w:w="75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(net of capitalized interest of $2,202 and $7,356 in 2026 and 2025, respectively)</w:t>
            </w:r>
          </w:p>
        </w:tc>
        <w:tc>
          <w:tcPr>
            <w:tcW w:w="11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56,912</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51,672</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operating properties accrued, not paid</w:t>
            </w:r>
          </w:p>
        </w:tc>
        <w:tc>
          <w:tcPr>
            <w:tcW w:w="11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Additions to development properties accrued, not paid</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Offering costs accrued, not paid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asset acquisition costs accrued, not paid</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treasury locks and interest rate swaps, net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(5,536)</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Recognition of operating lease right-of-use 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liabilities related to operating lease right-of-use assets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of Common Units for Shares of Common Stock</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11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(4,836)</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tcPr>
          <w:p>
            <w:pPr>
              <w:spacing w:after="0"/>
              <w:rPr>
                <w:sz w:val="18"/>
                <w:szCs w:val="18"/>
                <w:color w:val="auto"/>
              </w:rPr>
            </w:pPr>
          </w:p>
        </w:tc>
      </w:tr>
      <w:tr>
        <w:trPr>
          <w:trHeight w:val="229"/>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-2254250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-2236470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-2254250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2025, and related notes thereto, included in the Annual Report on Form 10-K of Easterly Government Properties, Inc. (the “Company”) for the year ended December 31, 2025 filed with the U.S. Securities and Exchange Commission (the “SEC”) on February 23, 2026.</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is a Maryland corporation that has elected to be taxed as a real estate investment trust (“REIT”) under the Internal Revenue Code of 1986, as amended (the “Code”), commencing with its taxable year ended December 31, 2015. The operations of the Company are carried out primarily through Easterly Government Properties LP (the “Operating Partnership”) and the wholly owned subsidiaries of the Operating Partnership. As used herein, the “Company,” “we,” “us,” or “our” refer to Easterly Government Properties, Inc. and its consolidated subsidiaries and partnerships, including the Operating Partnership, except where context otherwise requires.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an internally managed REIT, focused primarily on the acquisition, development and management of Class A commercial properties that are leased to U.S. Government agencies that serve essential functions. We generate over 85% of our revenue by leasing our properties to such agencies, either directly or through the U.S. General Services Administration (“GSA”). Our objective is to generate attractive risk-adjusted returns for our stockholders over the long-term through dividends and capital appreciation.</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focus primarily on acquiring, developing and managing U.S. Government leased properties that are essential to supporting the mission of the tenant agency and strive to be a partner of choice for the U.S. Government, working closely with the tenant agency to meet its needs and objectives. We continue to pursue other potential opportunities to add properties to our portfolio, including acquiring properties leased to state and local governments with strong creditworthiness and other opportunities that directly or indirectly support the mission of select government agencies. As of September 30, 2026, we wholly owned 96 operating properties and ten operating properties through an unconsolidated joint venture (the “JV”) in the United States, encompassing approximately 10.7 million leased square feet, including 93 operating properties that were leased primarily to U.S. Government tenant agencies, eight operating properties leased primarily to tenant agencies of a U.S. state or local government and five operating properties that were entirely leased to private tenants. As of September 30, 2026, our operating properties were 98% leased. For purposes of calculating percentage leased, we exclude from the denominator total square feet that was unleased and to which we attributed no value at the time of acquisition. In addition, we wholly owned three properties under development that we expect will encompass approximately 0.2 million leased square feet upon completion.</w:t>
      </w:r>
    </w:p>
    <w:p>
      <w:pPr>
        <w:spacing w:after="0" w:line="19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Operating Partnership holds substantially all of our assets and conducts substantially all of our business. We are the sole general partner of the Operating Partnership and owned approximately 96.7% of the aggregate limited partnership interests in the Operating Partnership (“common units”) as of September 30, 2026. We have elected to be taxed as a REIT and believe that we have operated and have been organized in conformity with the requirements for qualification and taxation as a REIT for U.S. federal income tax purposes commencing with our taxable year ended December 31, 2015.</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on the accrual basis of accounting in accordance with accounting principles generally accepted in the United States of America (“GAAP”) and include the accounts of the Company, Easterly Government Properties TRS, LLC, Easterly Government Services, LLC, the Operating Partnership and its other subsidiaries. All significant intercompany balances and transactions have been eliminated in consolidation.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however, they include all adjustments (consisting only of normal recurring adjustments) which, in the opinion of management, are necessary to state fairly the consolidated financial position of the Company at September 30, 2026 and December 31, 2025, the consolidated results of operations for the three and nine months ended September 30, 2026 and 2025, and the consolidated cash flows for the nine months ended September 30, 2026 and 2025. The year-end consolidated balance sheet data was derived from audited financial statements but does not include all disclosures required by GAAP. The results of operations for the interim periods presented are not necessarily indicative of the results to be expected for the full year.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of assets and liabilities, disclosures of contingent assets and liabilities at the date of the balance sheet, and the reported amounts of revenues and expenses during the reporting period. We base our estimates on historical experience and on various other assumptions that are believed to be reasonable under the circumstances, including the impact of extraordinary events, the results of which form the basis for making judgments about carrying values of assets and liabilities that are not readily apparent from other sources. Actual results may differ from these estimates under different assumptions or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we acquired a lease arrangement that qualifies for classification as a sales-type lease under Accounting Standards Codification Topic 842 Leases (“ASC 842”). Prior to the first quarter of 2026, all of our leases met the classification criteria of an operating lease in accordance with ASC 842. As a result, we updated our accounting policy to reflect the recognition and presentation of sales-type and direct financing leases as a lessor. There were no adjustments made retrospectively to the information in our consolidated financial statements as a result of the update in policy. See note 3, note 5 and note 12 for additional information on the impact of the adoption of sales-type lease accounting on our consolidated financial statements. All other significant accounting policies used in the preparation of our condensed consolidated financial statements are disclosed in our Annual Report on Form 10-K for the year ended December 31, 2025.</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Rental income includes base rents paid by each tenant in accordance with its lease agreement conditions. Upon lease commencement, we evaluate leases to determine if they meet criteria set forth in lease accounting guidance for classification as sales-type leases or direct financing leases; if a lease meets none of these criteria, we classify the lease as an operating lease. Upon commencement of sales-type leases, we derecognize the underlying asset, recognizing in its place a net investment in the lease equal to the sum of the lease receivable and the present value of any unguaranteed residual asset and recognize any selling profit or loss created as a result of the difference between those two amounts, less any related deferred initial direct lease costs. Similarly, for direct financing leases, we would derecognize the underlying asset and recognize a net investment in the lease, but, unlike in a sales-type lease, would defer profit and amortize it as interest income over the lease term. Our leases of properties as lessor are predominantly classified as operating leases, for which the underlying asset remains on our balance sheet and is depreciated consistently with other owned assets. We recognize rental income for our operating leases on a straight-line basis over the lease term of each lease. For acquisitions of existing buildings, we recognize rental income from leases already in place coincident with the date of property closing. Lease incentives are recorded as a deferred asset and amortized as a reduction of revenue on a straight-line basis over the respective lease term. Above- and below-market leases are amortized into rental income over the terms of the respective leases. Further, Rental income includes certain tenant reimbursement income (real estate taxes, operating expenses, utility usage, and other reimbursements), which are accrued as variable lease payments in the same periods as the related expenses are incurred in accordance with ASC 842.</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Tenant reimbursement income includes revenue from tenant construction projects. When revenue and costs for such projects can be estimated with reasonable accuracy, we recognize a percentage of the total estimated revenue on a project based on the cost of services provided on the project as of a point in time relative to the total estimated costs on the project (percentage of completion method). When these criteria do not apply to a project, we recognize revenue from that project using the completed contract method. Fully reimbursed income was included within Tenant reimbursements and associated expenses were included in Property operating expenses within the Consolidated Statements of Operations.</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Other income includes income on the associated tenant reimbursement construction projects, parking income, interest income recognized from our real estate loans receivable and other miscellaneous income.</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Asset management income includes revenue from asset and property management services to our unconsolidated real estate venture. The asset management fees are earned by us for managing properties owned by related parties. The asset management service fees are based upon contractual rates applied to actively invested capital, with fee income recognized on a monthly basis. The property management service and engineering fees are based on a contractual rate in accordance with the management agreement. If construction management services are provided, a construction management fee is charged to the tenant in accordance with the management agreement. The fees are recognized as a single performance obligation comprised of a series of distinct services related to property operations. We believe the overall services provided by asset management activities have the same pattern of performance over the term of the agreement. We account for this revenue gross of our ownership interest in the respective real estate venture and recognize such revenue as “Asset management income” in our Consolidated Statements of Operations when earned. Our proportionate share of related expense is recognized in “Income from unconsolidated real estate venture.”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i w:val="1"/>
          <w:iCs w:val="1"/>
          <w:color w:val="auto"/>
        </w:rPr>
        <w:t>Standard Adopted</w:t>
      </w:r>
    </w:p>
    <w:p>
      <w:pPr>
        <w:spacing w:after="0" w:line="22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November 2025, the Financial Accounting Standards Board (the “FASB”) issued Accounting Standards Update (“ASU”) 2025-09, Derivatives and Hedging (Topic 815): Hedge Accounting Improvements (“ASU 2025-09”). We adopted ASU 2025-09 on April 1, 2026 on a prospective basis. ASU 2025-09 amends certain aspects of the hedge accounting guidance in ASC 815, Derivatives and Hedging, to provide targeted improvements intended to enhance the application of hedge accounting, including expanded eligibility of forecasted transactions, additional flexibility in measuring hedge effectiveness and clarifications related to hedging non-financial items. The implementation of this update did not have a material impact on our consolidated financial statements and related disclosures.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ASU 2023-06 adds interim and annual disclosure requirements to GAAP at the request of the Securities and Exchange Commission (the “SEC”). The guidance in ASU 2023-06 is required to be applied prospectively and the GAAP requirements will be effective when the removal of the related SEC disclosure requirements is effective. If the SEC does not act to remove its related requirement by June 30, 2027, any related FASB amendments will be removed from the ASC and will not be effective. We do not anticipate that the adoption of ASU 2023-06 will have a material impact on our consolidated financial statements.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ASU 2024-03 requires expanded interim and annual disclosures of certain expense information in the notes to the consolidated financial statements. The guidance is effective for annual reporting periods beginning after December 15, 2026, and interim reporting periods within annual reporting periods beginning after December 15, 2027, with early adoption permitted. The guidance can be applied on a prospective or retrospective basis. We are currently evaluating the potential impact of adopting this new guidance on our consolidated financial statement disclosures.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10" w:name="page11"/>
    <w:bookmarkEnd w:id="1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Real Estate and Intangibles</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acquired three operating properties in asset acquisitions, consisting of a three building portfolio in Glen Allen, VA, for an aggregate purchase price of $44.6 million. We allocated the aggregate purchase price of these acquisitions based on the estimated fair values of the acquired assets and assumed liabilities as follows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80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Real estate</w:t>
            </w:r>
          </w:p>
        </w:tc>
        <w:tc>
          <w:tcPr>
            <w:tcW w:w="8480" w:type="dxa"/>
            <w:vAlign w:val="bottom"/>
            <w:tcBorders>
              <w:bottom w:val="single" w:sz="8" w:color="CFF0FC"/>
              <w:right w:val="single" w:sz="8" w:color="CFF0FC"/>
            </w:tcBorders>
            <w:gridSpan w:val="4"/>
            <w:shd w:val="clear" w:color="auto" w:fill="CFF0FC"/>
          </w:tcPr>
          <w:p>
            <w:pPr>
              <w:spacing w:after="0"/>
              <w:rPr>
                <w:sz w:val="16"/>
                <w:szCs w:val="16"/>
                <w:color w:val="auto"/>
              </w:rPr>
            </w:pPr>
          </w:p>
        </w:tc>
        <w:tc>
          <w:tcPr>
            <w:tcW w:w="400" w:type="dxa"/>
            <w:vAlign w:val="bottom"/>
            <w:tcBorders>
              <w:top w:val="single" w:sz="8" w:color="auto"/>
              <w:bottom w:val="single" w:sz="8" w:color="CFF0FC"/>
            </w:tcBorders>
            <w:shd w:val="clear" w:color="auto" w:fill="CFF0FC"/>
          </w:tcPr>
          <w:p>
            <w:pPr>
              <w:spacing w:after="0"/>
              <w:rPr>
                <w:sz w:val="16"/>
                <w:szCs w:val="16"/>
                <w:color w:val="auto"/>
              </w:rPr>
            </w:pPr>
          </w:p>
        </w:tc>
        <w:tc>
          <w:tcPr>
            <w:tcW w:w="14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9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tcPr>
          <w:p>
            <w:pPr>
              <w:spacing w:after="0"/>
              <w:rPr>
                <w:sz w:val="18"/>
                <w:szCs w:val="18"/>
                <w:color w:val="auto"/>
              </w:rPr>
            </w:pPr>
          </w:p>
        </w:tc>
      </w:tr>
      <w:tr>
        <w:trPr>
          <w:trHeight w:val="216"/>
        </w:trPr>
        <w:tc>
          <w:tcPr>
            <w:tcW w:w="9280" w:type="dxa"/>
            <w:vAlign w:val="bottom"/>
            <w:tcBorders>
              <w:right w:val="single" w:sz="8" w:color="CFF0FC"/>
            </w:tcBorders>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Building</w:t>
            </w: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00" w:type="dxa"/>
            <w:vAlign w:val="bottom"/>
            <w:shd w:val="clear" w:color="auto" w:fill="CFF0FC"/>
          </w:tcPr>
          <w:p>
            <w:pPr>
              <w:spacing w:after="0"/>
              <w:rPr>
                <w:sz w:val="18"/>
                <w:szCs w:val="18"/>
                <w:color w:val="auto"/>
              </w:rPr>
            </w:pPr>
          </w:p>
        </w:tc>
      </w:tr>
      <w:tr>
        <w:trPr>
          <w:trHeight w:val="216"/>
        </w:trPr>
        <w:tc>
          <w:tcPr>
            <w:tcW w:w="9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Acquired tenant improvements</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tcPr>
          <w:p>
            <w:pPr>
              <w:spacing w:after="0"/>
              <w:rPr>
                <w:sz w:val="18"/>
                <w:szCs w:val="18"/>
                <w:color w:val="auto"/>
              </w:rPr>
            </w:pPr>
          </w:p>
        </w:tc>
      </w:tr>
      <w:tr>
        <w:trPr>
          <w:trHeight w:val="209"/>
        </w:trPr>
        <w:tc>
          <w:tcPr>
            <w:tcW w:w="9280" w:type="dxa"/>
            <w:vAlign w:val="bottom"/>
            <w:tcBorders>
              <w:bottom w:val="single" w:sz="8" w:color="CFF0FC"/>
              <w:right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real estate</w:t>
            </w: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69"/>
        </w:trPr>
        <w:tc>
          <w:tcPr>
            <w:tcW w:w="928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auto"/>
              </w:rPr>
              <w:t>Investment in sales-type lease, net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280" w:type="dxa"/>
            <w:vAlign w:val="bottom"/>
            <w:tcBorders>
              <w:bottom w:val="single" w:sz="8" w:color="CFF0FC"/>
              <w:right w:val="single" w:sz="8" w:color="CFF0FC"/>
            </w:tcBorders>
            <w:gridSpan w:val="5"/>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Investment in sales-type lease, net </w:t>
            </w:r>
            <w:r>
              <w:rPr>
                <w:rFonts w:ascii="Times New Roman" w:cs="Times New Roman" w:eastAsia="Times New Roman" w:hAnsi="Times New Roman"/>
                <w:sz w:val="24"/>
                <w:szCs w:val="24"/>
                <w:color w:val="auto"/>
                <w:vertAlign w:val="superscript"/>
              </w:rPr>
              <w:t>(1)</w:t>
            </w: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Pr>
          <w:p>
            <w:pPr>
              <w:spacing w:after="0"/>
              <w:rPr>
                <w:sz w:val="18"/>
                <w:szCs w:val="18"/>
                <w:color w:val="auto"/>
              </w:rPr>
            </w:pPr>
          </w:p>
        </w:tc>
      </w:tr>
      <w:tr>
        <w:trPr>
          <w:trHeight w:val="169"/>
        </w:trPr>
        <w:tc>
          <w:tcPr>
            <w:tcW w:w="9280" w:type="dxa"/>
            <w:vAlign w:val="bottom"/>
            <w:tcBorders>
              <w:right w:val="single" w:sz="8" w:color="CFF0FC"/>
            </w:tcBorders>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Intangible assets</w:t>
            </w:r>
          </w:p>
        </w:tc>
        <w:tc>
          <w:tcPr>
            <w:tcW w:w="4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
        </w:trPr>
        <w:tc>
          <w:tcPr>
            <w:tcW w:w="800" w:type="dxa"/>
            <w:vAlign w:val="bottom"/>
            <w:tcBorders>
              <w:top w:val="single" w:sz="8" w:color="auto"/>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8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9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In-place leases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tcPr>
          <w:p>
            <w:pPr>
              <w:spacing w:after="0"/>
              <w:rPr>
                <w:sz w:val="18"/>
                <w:szCs w:val="18"/>
                <w:color w:val="auto"/>
              </w:rPr>
            </w:pPr>
          </w:p>
        </w:tc>
      </w:tr>
      <w:tr>
        <w:trPr>
          <w:trHeight w:val="216"/>
        </w:trPr>
        <w:tc>
          <w:tcPr>
            <w:tcW w:w="9280" w:type="dxa"/>
            <w:vAlign w:val="bottom"/>
            <w:tcBorders>
              <w:right w:val="single" w:sz="8" w:color="CFF0FC"/>
            </w:tcBorders>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Acquired leasing commissions</w:t>
            </w: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shd w:val="clear" w:color="auto" w:fill="CFF0FC"/>
          </w:tcPr>
          <w:p>
            <w:pPr>
              <w:spacing w:after="0"/>
              <w:rPr>
                <w:sz w:val="18"/>
                <w:szCs w:val="18"/>
                <w:color w:val="auto"/>
              </w:rPr>
            </w:pPr>
          </w:p>
        </w:tc>
      </w:tr>
      <w:tr>
        <w:trPr>
          <w:trHeight w:val="216"/>
        </w:trPr>
        <w:tc>
          <w:tcPr>
            <w:tcW w:w="9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Above-market leases</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r>
      <w:tr>
        <w:trPr>
          <w:trHeight w:val="209"/>
        </w:trPr>
        <w:tc>
          <w:tcPr>
            <w:tcW w:w="9280" w:type="dxa"/>
            <w:vAlign w:val="bottom"/>
            <w:tcBorders>
              <w:bottom w:val="single" w:sz="8" w:color="CFF0FC"/>
              <w:right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69"/>
        </w:trPr>
        <w:tc>
          <w:tcPr>
            <w:tcW w:w="928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auto"/>
              </w:rPr>
              <w:t>Intangible liabilities</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8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280" w:type="dxa"/>
            <w:vAlign w:val="bottom"/>
            <w:tcBorders>
              <w:right w:val="single" w:sz="8" w:color="CFF0FC"/>
            </w:tcBorders>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Below-market leases</w:t>
            </w: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(2,374)</w:t>
            </w:r>
          </w:p>
        </w:tc>
      </w:tr>
      <w:tr>
        <w:trPr>
          <w:trHeight w:val="20"/>
        </w:trPr>
        <w:tc>
          <w:tcPr>
            <w:tcW w:w="8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6800" w:type="dxa"/>
            <w:vAlign w:val="bottom"/>
            <w:tcBorders>
              <w:right w:val="single" w:sz="8" w:color="CFF0FC"/>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9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intangible liabilities</w:t>
            </w:r>
          </w:p>
        </w:tc>
        <w:tc>
          <w:tcPr>
            <w:tcW w:w="4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(2,374)</w:t>
            </w:r>
          </w:p>
        </w:tc>
      </w:tr>
      <w:tr>
        <w:trPr>
          <w:trHeight w:val="210"/>
        </w:trPr>
        <w:tc>
          <w:tcPr>
            <w:tcW w:w="92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4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44,623</w:t>
            </w:r>
          </w:p>
        </w:tc>
        <w:tc>
          <w:tcPr>
            <w:tcW w:w="1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left="760" w:right="4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investment in sales-type lease, net and credit loss allowance are recorded within Real estate loans receivable, net and investment in sales-type lease, net on our Consolidated Balance Sheet. No profit or loss was recognized upon commencement of the lease.</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intangible assets and liabilities of operating properties acquired during the nine months ended September 30, 2026 have a weighted average amortization period of 7.2 years as of September 30, 2026. During the nine months ended September 30, 2026, these acquisitions contributed $5.2 million of revenues and $1.2 million of net income in our Consolidated Statements of Operations related to the operating properties acquired.</w:t>
      </w:r>
    </w:p>
    <w:p>
      <w:pPr>
        <w:spacing w:after="0" w:line="176"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incurred $0.4 million and $1.6 million, respectively, of acquisition-related expenses, mainly consisting of internal costs associated with property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i w:val="1"/>
          <w:iCs w:val="1"/>
          <w:color w:val="auto"/>
        </w:rPr>
        <w:t>Consolidated Real Estate and Intangibles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Real estate and intangibles consisted of the following as of September 30, 2026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5820" w:type="dxa"/>
            <w:vAlign w:val="bottom"/>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Real estate properties, net</w:t>
            </w:r>
          </w:p>
        </w:tc>
        <w:tc>
          <w:tcPr>
            <w:tcW w:w="3440" w:type="dxa"/>
            <w:vAlign w:val="bottom"/>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4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186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3960" w:type="dxa"/>
            <w:vAlign w:val="bottom"/>
            <w:tcBorders>
              <w:top w:val="single" w:sz="8" w:color="CFF0FC"/>
            </w:tcBorders>
          </w:tcPr>
          <w:p>
            <w:pPr>
              <w:spacing w:after="0"/>
              <w:rPr>
                <w:sz w:val="18"/>
                <w:szCs w:val="18"/>
                <w:color w:val="auto"/>
              </w:rPr>
            </w:pPr>
          </w:p>
        </w:tc>
        <w:tc>
          <w:tcPr>
            <w:tcW w:w="3860" w:type="dxa"/>
            <w:vAlign w:val="bottom"/>
            <w:tcBorders>
              <w:top w:val="single" w:sz="8" w:color="CFF0FC"/>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321,600</w:t>
            </w:r>
          </w:p>
        </w:tc>
        <w:tc>
          <w:tcPr>
            <w:tcW w:w="100" w:type="dxa"/>
            <w:vAlign w:val="bottom"/>
            <w:tcBorders>
              <w:top w:val="single" w:sz="8" w:color="CFF0FC"/>
            </w:tcBorders>
          </w:tcPr>
          <w:p>
            <w:pPr>
              <w:spacing w:after="0"/>
              <w:rPr>
                <w:sz w:val="18"/>
                <w:szCs w:val="18"/>
                <w:color w:val="auto"/>
              </w:rPr>
            </w:pPr>
          </w:p>
        </w:tc>
      </w:tr>
      <w:tr>
        <w:trPr>
          <w:trHeight w:val="216"/>
        </w:trPr>
        <w:tc>
          <w:tcPr>
            <w:tcW w:w="58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2,841,428</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Acquired tenant improvements</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118,029</w:t>
            </w:r>
          </w:p>
        </w:tc>
        <w:tc>
          <w:tcPr>
            <w:tcW w:w="100" w:type="dxa"/>
            <w:vAlign w:val="bottom"/>
          </w:tcPr>
          <w:p>
            <w:pPr>
              <w:spacing w:after="0"/>
              <w:rPr>
                <w:sz w:val="18"/>
                <w:szCs w:val="18"/>
                <w:color w:val="auto"/>
              </w:rPr>
            </w:pPr>
          </w:p>
        </w:tc>
      </w:tr>
      <w:tr>
        <w:trPr>
          <w:trHeight w:val="216"/>
        </w:trPr>
        <w:tc>
          <w:tcPr>
            <w:tcW w:w="58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96,688</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(625,121)</w:t>
            </w:r>
          </w:p>
        </w:tc>
      </w:tr>
      <w:tr>
        <w:trPr>
          <w:trHeight w:val="210"/>
        </w:trPr>
        <w:tc>
          <w:tcPr>
            <w:tcW w:w="582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Real estate properties, net</w:t>
            </w:r>
          </w:p>
        </w:tc>
        <w:tc>
          <w:tcPr>
            <w:tcW w:w="34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2,752,624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69"/>
        </w:trPr>
        <w:tc>
          <w:tcPr>
            <w:tcW w:w="58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Intangible assets, net</w:t>
            </w:r>
          </w:p>
        </w:tc>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5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In-place leases</w:t>
            </w:r>
          </w:p>
        </w:tc>
        <w:tc>
          <w:tcPr>
            <w:tcW w:w="3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345,522</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Acquired leasing commissions</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97,985</w:t>
            </w:r>
          </w:p>
        </w:tc>
        <w:tc>
          <w:tcPr>
            <w:tcW w:w="100" w:type="dxa"/>
            <w:vAlign w:val="bottom"/>
          </w:tcPr>
          <w:p>
            <w:pPr>
              <w:spacing w:after="0"/>
              <w:rPr>
                <w:sz w:val="18"/>
                <w:szCs w:val="18"/>
                <w:color w:val="auto"/>
              </w:rPr>
            </w:pPr>
          </w:p>
        </w:tc>
      </w:tr>
      <w:tr>
        <w:trPr>
          <w:trHeight w:val="216"/>
        </w:trPr>
        <w:tc>
          <w:tcPr>
            <w:tcW w:w="58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Above market leases</w:t>
            </w:r>
          </w:p>
        </w:tc>
        <w:tc>
          <w:tcPr>
            <w:tcW w:w="3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Payment in lieu of taxes</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Pr>
          <w:p>
            <w:pPr>
              <w:spacing w:after="0"/>
              <w:rPr>
                <w:sz w:val="18"/>
                <w:szCs w:val="18"/>
                <w:color w:val="auto"/>
              </w:rPr>
            </w:pPr>
          </w:p>
        </w:tc>
      </w:tr>
      <w:tr>
        <w:trPr>
          <w:trHeight w:val="216"/>
        </w:trPr>
        <w:tc>
          <w:tcPr>
            <w:tcW w:w="58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(289,955)</w:t>
            </w:r>
          </w:p>
        </w:tc>
      </w:tr>
      <w:tr>
        <w:trPr>
          <w:trHeight w:val="210"/>
        </w:trPr>
        <w:tc>
          <w:tcPr>
            <w:tcW w:w="582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44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175,051</w:t>
            </w:r>
          </w:p>
        </w:tc>
        <w:tc>
          <w:tcPr>
            <w:tcW w:w="100" w:type="dxa"/>
            <w:vAlign w:val="bottom"/>
            <w:tcBorders>
              <w:top w:val="single" w:sz="8" w:color="CFF0FC"/>
            </w:tcBorders>
          </w:tcPr>
          <w:p>
            <w:pPr>
              <w:spacing w:after="0"/>
              <w:rPr>
                <w:sz w:val="18"/>
                <w:szCs w:val="18"/>
                <w:color w:val="auto"/>
              </w:rPr>
            </w:pPr>
          </w:p>
        </w:tc>
      </w:tr>
      <w:tr>
        <w:trPr>
          <w:trHeight w:val="189"/>
        </w:trPr>
        <w:tc>
          <w:tcPr>
            <w:tcW w:w="5820" w:type="dxa"/>
            <w:vAlign w:val="bottom"/>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Intangible liabilities, net</w:t>
            </w:r>
          </w:p>
        </w:tc>
        <w:tc>
          <w:tcPr>
            <w:tcW w:w="3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17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Below market leases</w:t>
            </w:r>
          </w:p>
        </w:tc>
        <w:tc>
          <w:tcPr>
            <w:tcW w:w="4060" w:type="dxa"/>
            <w:vAlign w:val="bottom"/>
            <w:tcBorders>
              <w:top w:val="single" w:sz="8" w:color="CFF0FC"/>
            </w:tcBorders>
            <w:gridSpan w:val="2"/>
          </w:tcPr>
          <w:p>
            <w:pPr>
              <w:spacing w:after="0"/>
              <w:rPr>
                <w:sz w:val="18"/>
                <w:szCs w:val="18"/>
                <w:color w:val="auto"/>
              </w:rPr>
            </w:pPr>
          </w:p>
        </w:tc>
        <w:tc>
          <w:tcPr>
            <w:tcW w:w="344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(78,996)</w:t>
            </w:r>
          </w:p>
        </w:tc>
      </w:tr>
      <w:tr>
        <w:trPr>
          <w:trHeight w:val="216"/>
        </w:trPr>
        <w:tc>
          <w:tcPr>
            <w:tcW w:w="582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Intangible liabilities, net</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(12,117)</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operating properties were disposed of during the nine months ended September 30, 2026.</w:t>
      </w:r>
    </w:p>
    <w:p>
      <w:pPr>
        <w:spacing w:after="0" w:line="22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scheduled amortization of our acquired above- and below-market lease intangibles for each of the five succeeding years as of September 30, 2026 (amounts in thousands):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Acquired Above-Market Lease Intangibles</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Acquired Below-Market Lease Intangibles</w:t>
            </w:r>
          </w:p>
        </w:tc>
        <w:tc>
          <w:tcPr>
            <w:tcW w:w="80" w:type="dxa"/>
            <w:vAlign w:val="bottom"/>
          </w:tcPr>
          <w:p>
            <w:pPr>
              <w:spacing w:after="0"/>
              <w:rPr>
                <w:sz w:val="15"/>
                <w:szCs w:val="15"/>
                <w:color w:val="auto"/>
              </w:rPr>
            </w:pPr>
          </w:p>
        </w:tc>
      </w:tr>
      <w:tr>
        <w:trPr>
          <w:trHeight w:val="210"/>
        </w:trPr>
        <w:tc>
          <w:tcPr>
            <w:tcW w:w="11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4"/>
                <w:szCs w:val="24"/>
                <w:color w:val="auto"/>
                <w:vertAlign w:val="superscript"/>
              </w:rPr>
              <w:t>(1)</w:t>
            </w:r>
          </w:p>
        </w:tc>
        <w:tc>
          <w:tcPr>
            <w:tcW w:w="3640" w:type="dxa"/>
            <w:vAlign w:val="bottom"/>
            <w:gridSpan w:val="2"/>
            <w:shd w:val="clear" w:color="auto" w:fill="CFF0FC"/>
          </w:tcPr>
          <w:p>
            <w:pPr>
              <w:jc w:val="right"/>
              <w:ind w:right="290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(2,729)</w:t>
            </w:r>
          </w:p>
        </w:tc>
      </w:tr>
      <w:tr>
        <w:trPr>
          <w:trHeight w:val="216"/>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(1,498)</w:t>
            </w:r>
          </w:p>
        </w:tc>
      </w:tr>
      <w:tr>
        <w:trPr>
          <w:trHeight w:val="216"/>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8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(1,328)</w:t>
            </w:r>
          </w:p>
        </w:tc>
      </w:tr>
    </w:tbl>
    <w:p>
      <w:pPr>
        <w:spacing w:after="0" w:line="19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Represents the three months ending December 31, 2026.</w:t>
      </w:r>
    </w:p>
    <w:p>
      <w:pPr>
        <w:spacing w:after="0" w:line="22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Above-market lease amortization reduces Rental income on our Consolidated Statements of Operations and below-market lease amortization increases Rental income on our Consolidated Statements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2" w:name="page13"/>
    <w:bookmarkEnd w:id="1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 in Unconsolidated Real Estate Venture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investment in the JV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540" w:type="dxa"/>
            <w:vAlign w:val="bottom"/>
          </w:tcPr>
          <w:p>
            <w:pPr>
              <w:spacing w:after="0"/>
              <w:rPr>
                <w:sz w:val="15"/>
                <w:szCs w:val="15"/>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tcPr>
          <w:p>
            <w:pPr>
              <w:jc w:val="right"/>
              <w:ind w:right="10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MedBase Venture</w:t>
            </w:r>
          </w:p>
        </w:tc>
        <w:tc>
          <w:tcPr>
            <w:tcW w:w="29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53.0%</w:t>
            </w: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294,059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October 13, 2021, we formed an unconsolidated real estate venture, which we refer to as the JV, with a global investor to fund the acquisition of a portfolio of ten properties that encompasses 1,214,165 leased square feet (the “VA Portfolio”). We own a 53.0% interest in the JV, subject to preferred allocations as provided in the JV agreement. We have joint approval rights with our JV partner on major decisions, including those regarding property operations. As such, we hold a non-controlling interest in the joint venture and account for the JV under the equity method of accounting.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 Estate Loans Receivable</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6, 2024, we entered into a construction loan agreement (the “Construction Loan”) to lend up to $52.1 million to a developer (the “Borrower”). The Construction Loan accrued interest monthly at a fixed market rate of 9.00% per annum and had a maturity date of August 31, 2027, with the option for the Borrower to prepay the loan. Upon completion of the development, we had the option to purchase at fair value all of the issued and outstanding membership interest from the Borrower in a special purpose entity (“SPE”) which solely held the developed property. We held a variable interest in the SPE, but we did not consolidate the SPE as we were not the primary beneficiary due to the lack of power to direct significant activities performed by the SPE. On April 1, 2025, the Borrower repaid $15.0 million of the Construction Loan outstanding upon substantial completion of the development and receipt of the lump sum reimbursement from the government. On April 15, 2025, we declined the option to purchase, at the stated price, all of the issued and outstanding membership interest in the SPE from the Borrower. On September 3, 2026, the Borrower repaid the remaining $35.6 million of the Construction Loan, inclusive of accrued interest, outstanding.</w:t>
      </w:r>
    </w:p>
    <w:p>
      <w:pPr>
        <w:spacing w:after="0" w:line="18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March 5, 2026, we entered into a mezzanine construction loan agreement (the “Mezzanine Construction Loan”) to lend $7.0 million to a developer (the “Mezzanine Borrower”). The Mezzanine Construction Loan will accrue interest monthly at a fixed market rate of 12.00% per annum. The Mezzanine Construction Loan matures on March 5, 2030. However, the Mezzanine Borrower has the option to extend the maturity date by an additional twelve months through March 5, 2031. We hold a variable interest in the Mezzanine Borrower entity, but we do not consolidate the entity as we are not the primary beneficiary due to the lack of power to direct significant activities performed by the Mezzanine Borrower. The fair value of this real estate loan receivable was approximately $7.8 million as of September 30, 2026.</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real estate loans receivable consisted of the following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loans receivable</w:t>
            </w:r>
          </w:p>
        </w:tc>
        <w:tc>
          <w:tcPr>
            <w:tcW w:w="2040" w:type="dxa"/>
            <w:vAlign w:val="bottom"/>
            <w:shd w:val="clear" w:color="auto" w:fill="CFF0FC"/>
          </w:tcPr>
          <w:p>
            <w:pPr>
              <w:jc w:val="right"/>
              <w:ind w:right="18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10,653</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35,357</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w:t>
            </w:r>
          </w:p>
        </w:tc>
      </w:tr>
      <w:tr>
        <w:trPr>
          <w:trHeight w:val="20"/>
        </w:trPr>
        <w:tc>
          <w:tcPr>
            <w:tcW w:w="55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loans receivable, net</w:t>
            </w:r>
          </w:p>
        </w:tc>
        <w:tc>
          <w:tcPr>
            <w:tcW w:w="2040" w:type="dxa"/>
            <w:vAlign w:val="bottom"/>
            <w:shd w:val="clear" w:color="auto" w:fill="CFF0FC"/>
          </w:tcPr>
          <w:p>
            <w:pPr>
              <w:jc w:val="right"/>
              <w:ind w:right="18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10,440</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34,286</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the activity for our allowance for credit losses for the nine months ended September 30, 2026 and 2025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xml:space="preserve">Real Estate Loans Receivable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9"/>
                <w:szCs w:val="19"/>
                <w:color w:val="auto"/>
              </w:rPr>
            </w:pPr>
          </w:p>
        </w:tc>
        <w:tc>
          <w:tcPr>
            <w:tcW w:w="3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xml:space="preserve">Real Estate Loan Unfunded Commitments </w:t>
            </w:r>
            <w:r>
              <w:rPr>
                <w:rFonts w:ascii="Times New Roman" w:cs="Times New Roman" w:eastAsia="Times New Roman" w:hAnsi="Times New Roman"/>
                <w:sz w:val="19"/>
                <w:szCs w:val="19"/>
                <w:b w:val="1"/>
                <w:bCs w:val="1"/>
                <w:color w:val="auto"/>
                <w:vertAlign w:val="superscript"/>
              </w:rPr>
              <w:t>(2)</w:t>
            </w: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00" w:type="dxa"/>
            <w:vAlign w:val="bottom"/>
          </w:tcPr>
          <w:p>
            <w:pPr>
              <w:spacing w:after="0"/>
              <w:rPr>
                <w:sz w:val="18"/>
                <w:szCs w:val="18"/>
                <w:color w:val="auto"/>
              </w:rPr>
            </w:pPr>
          </w:p>
        </w:tc>
        <w:tc>
          <w:tcPr>
            <w:tcW w:w="2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8"/>
                <w:szCs w:val="18"/>
                <w:color w:val="auto"/>
              </w:rPr>
            </w:pPr>
          </w:p>
        </w:tc>
        <w:tc>
          <w:tcPr>
            <w:tcW w:w="3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00" w:type="dxa"/>
            <w:vAlign w:val="bottom"/>
          </w:tcPr>
          <w:p>
            <w:pPr>
              <w:spacing w:after="0"/>
              <w:rPr>
                <w:sz w:val="18"/>
                <w:szCs w:val="18"/>
                <w:color w:val="auto"/>
              </w:rPr>
            </w:pPr>
          </w:p>
        </w:tc>
        <w:tc>
          <w:tcPr>
            <w:tcW w:w="2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(858)</w:t>
            </w:r>
          </w:p>
        </w:tc>
        <w:tc>
          <w:tcPr>
            <w:tcW w:w="240" w:type="dxa"/>
            <w:vAlign w:val="bottom"/>
          </w:tcPr>
          <w:p>
            <w:pPr>
              <w:spacing w:after="0"/>
              <w:rPr>
                <w:sz w:val="18"/>
                <w:szCs w:val="18"/>
                <w:color w:val="auto"/>
              </w:rPr>
            </w:pPr>
          </w:p>
        </w:tc>
        <w:tc>
          <w:tcPr>
            <w:tcW w:w="3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0"/>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right"/>
              <w:ind w:right="1512"/>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4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-1584960</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-1567815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-1002030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-985520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760" w:hanging="378"/>
        <w:spacing w:after="0" w:line="255"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our Mezzanine Construction Loan is included within the non-investment grade category as the entity lacks credit agency ratings. We used a non-investment grade credit spread to the applicable U.S. treasury rate to determine a probability of default. As of September 30, 2026, there are no payments that are considered past due nor any on nonaccrual status. On September 3, 2026, we derecognized our allowance for credit loss on the Construction Loan upon repayment by the Borrower.</w:t>
      </w:r>
    </w:p>
    <w:p>
      <w:pPr>
        <w:spacing w:after="0" w:line="2" w:lineRule="exact"/>
        <w:rPr>
          <w:rFonts w:ascii="Times New Roman" w:cs="Times New Roman" w:eastAsia="Times New Roman" w:hAnsi="Times New Roman"/>
          <w:sz w:val="18"/>
          <w:szCs w:val="18"/>
          <w:color w:val="auto"/>
        </w:rPr>
      </w:pPr>
    </w:p>
    <w:p>
      <w:pPr>
        <w:ind w:left="760" w:right="300" w:hanging="378"/>
        <w:spacing w:after="0" w:line="26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 liability is included within Accounts payable, accrued expenses and other liabilities on our Consolidated Balance Sheets.</w:t>
      </w:r>
    </w:p>
    <w:p>
      <w:pPr>
        <w:spacing w:after="0" w:line="1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recognized interest income from our real estate loans receivable of $0.8 million and $2.7 million, respectively. During the three and nine months ended September 30, 2025, we recognized interest income from our real estate loans receivable of $0.8 million and $2.5 million, respectively. Interest income from our real estate loans receivable is included within Other income on our Consolidated Statements of Operations.</w:t>
      </w: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01"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2026, our consolidated borrowings consisted of the following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96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Rate</w:t>
            </w:r>
            <w:r>
              <w:rPr>
                <w:rFonts w:ascii="Times New Roman" w:cs="Times New Roman" w:eastAsia="Times New Roman" w:hAnsi="Times New Roman"/>
                <w:sz w:val="9"/>
                <w:szCs w:val="9"/>
                <w:b w:val="1"/>
                <w:bCs w:val="1"/>
                <w:color w:val="auto"/>
              </w:rPr>
              <w:t xml:space="preserve"> (1)(2)</w:t>
            </w:r>
          </w:p>
        </w:tc>
        <w:tc>
          <w:tcPr>
            <w:tcW w:w="160" w:type="dxa"/>
            <w:vAlign w:val="bottom"/>
          </w:tcPr>
          <w:p>
            <w:pPr>
              <w:spacing w:after="0"/>
              <w:rPr>
                <w:sz w:val="17"/>
                <w:szCs w:val="17"/>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w:t>
            </w:r>
          </w:p>
        </w:tc>
      </w:tr>
      <w:tr>
        <w:trPr>
          <w:trHeight w:val="209"/>
        </w:trPr>
        <w:tc>
          <w:tcPr>
            <w:tcW w:w="4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2024 revolving credit facility </w:t>
            </w:r>
            <w:r>
              <w:rPr>
                <w:rFonts w:ascii="Times New Roman" w:cs="Times New Roman" w:eastAsia="Times New Roman" w:hAnsi="Times New Roman"/>
                <w:sz w:val="24"/>
                <w:szCs w:val="24"/>
                <w:color w:val="auto"/>
                <w:vertAlign w:val="superscript"/>
              </w:rPr>
              <w:t>(3)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+ 135 bps</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5"/>
              </w:rPr>
              <w:t xml:space="preserve">June 2028 </w:t>
            </w:r>
            <w:r>
              <w:rPr>
                <w:rFonts w:ascii="Times New Roman" w:cs="Times New Roman" w:eastAsia="Times New Roman" w:hAnsi="Times New Roman"/>
                <w:sz w:val="24"/>
                <w:szCs w:val="24"/>
                <w:color w:val="auto"/>
                <w:w w:val="95"/>
                <w:vertAlign w:val="superscript"/>
              </w:rPr>
              <w:t>(4)</w:t>
            </w: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revolving credit facility</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16,050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Term loan facilities: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2016 term loan facility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9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5.21% </w:t>
            </w:r>
            <w:r>
              <w:rPr>
                <w:rFonts w:ascii="Times New Roman" w:cs="Times New Roman" w:eastAsia="Times New Roman" w:hAnsi="Times New Roman"/>
                <w:sz w:val="24"/>
                <w:szCs w:val="24"/>
                <w:color w:val="auto"/>
                <w:w w:val="94"/>
                <w:vertAlign w:val="superscript"/>
              </w:rPr>
              <w:t>(5)</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6"/>
              </w:rPr>
              <w:t xml:space="preserve">January 2028 </w:t>
            </w:r>
            <w:r>
              <w:rPr>
                <w:rFonts w:ascii="Times New Roman" w:cs="Times New Roman" w:eastAsia="Times New Roman" w:hAnsi="Times New Roman"/>
                <w:sz w:val="24"/>
                <w:szCs w:val="24"/>
                <w:color w:val="auto"/>
                <w:w w:val="96"/>
                <w:vertAlign w:val="superscript"/>
              </w:rPr>
              <w:t>(6)</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term loan facility</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4.99% </w:t>
            </w:r>
            <w:r>
              <w:rPr>
                <w:rFonts w:ascii="Times New Roman" w:cs="Times New Roman" w:eastAsia="Times New Roman" w:hAnsi="Times New Roman"/>
                <w:sz w:val="24"/>
                <w:szCs w:val="24"/>
                <w:color w:val="auto"/>
                <w:w w:val="94"/>
                <w:vertAlign w:val="superscript"/>
              </w:rPr>
              <w:t>(7)</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6"/>
              </w:rPr>
              <w:t xml:space="preserve">August 2028 </w:t>
            </w:r>
            <w:r>
              <w:rPr>
                <w:rFonts w:ascii="Times New Roman" w:cs="Times New Roman" w:eastAsia="Times New Roman" w:hAnsi="Times New Roman"/>
                <w:sz w:val="24"/>
                <w:szCs w:val="24"/>
                <w:color w:val="auto"/>
                <w:w w:val="96"/>
                <w:vertAlign w:val="superscript"/>
              </w:rPr>
              <w:t>(8)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2026 term loan facility</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+ 130 bps</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June 2031</w:t>
            </w: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loan facilities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(3,778)</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term loan facilities, net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496,222</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2017 series A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4.05%</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2027</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series B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2029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2017 series C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4.30%</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2032</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series A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3.73%</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2029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2019 series B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2031</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series C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3.98%</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2034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2021 series A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2.62%</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October 2028</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series B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2.89%</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October 2030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2024 series A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2033</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series B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August 2033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2025 series A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6.13%</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March 2030</w:t>
            </w: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series B senior notes</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6.33% </w:t>
            </w:r>
            <w:r>
              <w:rPr>
                <w:rFonts w:ascii="Times New Roman" w:cs="Times New Roman" w:eastAsia="Times New Roman" w:hAnsi="Times New Roman"/>
                <w:sz w:val="24"/>
                <w:szCs w:val="24"/>
                <w:color w:val="auto"/>
                <w:w w:val="94"/>
                <w:vertAlign w:val="superscript"/>
              </w:rPr>
              <w:t>(9)</w:t>
            </w:r>
          </w:p>
        </w:tc>
        <w:tc>
          <w:tcPr>
            <w:tcW w:w="16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CFF0FC"/>
            </w:tcBorders>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March 2032</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(5,364)</w:t>
            </w: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1,019,636</w:t>
            </w:r>
          </w:p>
        </w:tc>
        <w:tc>
          <w:tcPr>
            <w:tcW w:w="300" w:type="dxa"/>
            <w:vAlign w:val="bottom"/>
            <w:tcBorders>
              <w:top w:val="single" w:sz="8" w:color="CFF0FC"/>
            </w:tcBorders>
          </w:tcPr>
          <w:p>
            <w:pPr>
              <w:spacing w:after="0"/>
              <w:rPr>
                <w:sz w:val="18"/>
                <w:szCs w:val="18"/>
                <w:color w:val="auto"/>
              </w:rPr>
            </w:pPr>
          </w:p>
        </w:tc>
        <w:tc>
          <w:tcPr>
            <w:tcW w:w="19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r>
      <w:tr>
        <w:trPr>
          <w:trHeight w:val="216"/>
        </w:trPr>
        <w:tc>
          <w:tcPr>
            <w:tcW w:w="4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ICE – Charleston</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4.21%</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January 2027</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VA – Loma Linda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3.59%</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July 2027</w:t>
            </w: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CBP – Savannah</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30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3.40%</w:t>
            </w:r>
          </w:p>
        </w:tc>
        <w:tc>
          <w:tcPr>
            <w:tcW w:w="16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CFF0FC"/>
            </w:tcBorders>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July 2033</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mortgage 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142,297</w:t>
            </w: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Total unamortized premium/discount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mortgage notes payable, net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141,957</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1,673,865</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-1962150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-1679575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-847725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hanging="378"/>
        <w:spacing w:after="0" w:line="254"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rates are as follows: 2016 term loan facility 5.49%, 2018 term loan facility 5.43%, 2026 term loan facility 5.11%, 2017 series A senior notes 4.15%, 2017 series B senior notes 4.23%, 2017 series C senior notes 4.37%, 2019 series A senior notes 3.82%, 2019 series B senior notes 3.91%, 2019 series C senior notes 4.04%, 2021 series A senior notes 2.74%, 2021 series B senior notes 2.99%, 2024 series A senior notes 6.74%, 2024 series B senior notes 6.73%, 2025 series A senior notes 6.36%, 2025 series B senior notes 6.51%, ICE – Charleston 3.93%, VA – Loma Linda 3.78%, CBP – Savannah 4.12%.</w:t>
      </w:r>
    </w:p>
    <w:p>
      <w:pPr>
        <w:spacing w:after="0" w:line="3" w:lineRule="exact"/>
        <w:rPr>
          <w:rFonts w:ascii="Times New Roman" w:cs="Times New Roman" w:eastAsia="Times New Roman" w:hAnsi="Times New Roman"/>
          <w:sz w:val="18"/>
          <w:szCs w:val="18"/>
          <w:color w:val="auto"/>
        </w:rPr>
      </w:pPr>
    </w:p>
    <w:p>
      <w:pPr>
        <w:ind w:left="760" w:right="4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the USD secured overnight financing rate (“SOFR”) with a five day lookback was 3.87%. The current interest rate is not adjusted to include the amortization of deferred financing fees or debt issuance costs incurred in obtaining debt or any unamortized fair market value premiums. The spread over the applicable rate for each of our $400.0 million senior unsecured revolving credit facility (the “2024 revolving credit facility”), our $200.0 million senior unsecured term loan facility (our “2026 term loan facility”), our $200.0 million senior unsecured term loan facility (as amended, our “2018 term loan facility”) and our $100.0 million senior unsecured term loan facility (as amended, our “2016 term loan facility”) is based on our consolidated leverage ratio, as set forth in the respective loan agreements.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left="76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$400.0 million senior unsecured 2024 revolving credit facility had available capacity of $383.8 million at September 30, 2026, in addition to an accordion feature that provides us with additional capacity of up to $300.0 million, subject to syndication of the increase and the satisfaction of customary terms and conditions.</w:t>
      </w:r>
    </w:p>
    <w:p>
      <w:pPr>
        <w:spacing w:after="0" w:line="1"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2024 revolving credit facility has two six-month as-of-right extension options subject to certain conditions and the payment of an extension fee.</w:t>
      </w:r>
    </w:p>
    <w:p>
      <w:pPr>
        <w:jc w:val="both"/>
        <w:ind w:left="760" w:right="30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2016 term loan facility is subject to three interest rate swaps with an effective date of December 23, 2024 and a notional value of $100.0 million, which effectively fixes the interest rate at 5.21% annually, based on our consolidated leverage ratio as defined in our 2016 term loan facility agreement.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2016 term loan facility has two one-year as-of-right extension options subject to certain conditions and the payment of an extension fee.</w:t>
      </w:r>
    </w:p>
    <w:p>
      <w:pPr>
        <w:spacing w:after="0" w:line="9"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term loan facility is subject to three interest rate swaps, of which one has an effective date of March 24, 2025 and two of the swaps have an effective date of June 30, 2025. The three swaps have an aggregate notional value of $200.0 million, which effectively fixes the interest rate at 4.99% annually, based on our consolidated leverage ratio as defined in our 2018 term loan facility agreement.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term loan facility has two one-year as-of-right extension options subject to certain conditions and the payment of an extension fee.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two $50.0 million treasury lock agreements to fix the Treasury rate of our 2025 series B senior notes.</w:t>
      </w:r>
    </w:p>
    <w:p>
      <w:pPr>
        <w:spacing w:after="0" w:line="20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net carrying value of real estate collateralizing our mortgages payable totaled $185.6 million. See Note 8 for the fair value of our debt instruments.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July 14, 2026, we used $6.4 million of available cash to extinguish the mortgage note obligation on USFS II — Albuquerque.</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2026 Term Loan Facility</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25, 2026, we entered into our $200.0 million senior unsecured 2026 term loan facility, which includes an accordion feature that provides us with additional capacity, subject to the satisfaction of customary terms and conditions, of up to $50.0 million for a total facility size of $250.0 million. The 2026 term loan facility matures on June 25, 2031 and is prepayable without penalty.</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Borrowings under our 2026 term loan facility will, at our option, bear interest at floating rates equal to either (i) a fluctuating rate equal to the sum of (a) highest of (x) PNC Bank's base rate, (y) the federal funds effective rate plus 0.50% and (z) the one-month adjusted term SOFR rate plus 1.00%, plus, in each case, (b) a margin ranging from 0.20% to 0.70% based on the Company’s leverage ratio, (ii) the daily simple SOFR (the “DSS”), or (iii) the term SOFR (the “Term SOFR”), plus, in the case of borrowings bearing interest at DSS or Term SOFR, a margin ranging from 1.20% to 1.70% based on the Company’s leverage ratio.</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2026 term loan facility also contains certain customary covenants, including but not limited to financial covenants that require us to maintain maximum ratios of consolidated total indebtedness, consolidated secured indebtedness and consolidated secured recourse indebtedness to total asset value and a minimum consolidated fixed charge ratio.</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2016 Term Loan Facility</w:t>
      </w:r>
    </w:p>
    <w:p>
      <w:pPr>
        <w:spacing w:after="0" w:line="22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June 25, 2026, we entered into the eleventh amendment to our 2016 term loan facility to remove the credit spread adjustment applicable to SOFR-based borrowings, consistent with the terms of our 2026 term loan facility.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2018 Term Loan Facility</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On July 28, 2026, we entered into the sixth amendment to our 2018 term loan facility to remove the credit spread adjustment applicable to SOFR-based borrowings, consistent with the terms of our 2016 term loan facility and 2026 term loan facility.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2024 Revolving Credit Facility</w:t>
      </w:r>
    </w:p>
    <w:p>
      <w:pPr>
        <w:spacing w:after="0" w:line="22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July 28, 2026, we entered into the second amendment to our 2024 revolving credit facility to remove the credit spread adjustment applicable to SOFR-based borrowings, consistent with the terms of each of our term loan facilities.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Financial Covenant Considerations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2026, we were in compliance with all financial and other covenants related to our debt.</w:t>
      </w:r>
    </w:p>
    <w:p>
      <w:pPr>
        <w:spacing w:after="0" w:line="1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621665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307" w:right="1440" w:bottom="1440" w:gutter="0" w:footer="0" w:header="0"/>
        </w:sectPr>
      </w:pPr>
    </w:p>
    <w:bookmarkStart w:id="17" w:name="page18"/>
    <w:bookmarkEnd w:id="1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 Activities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key terms and fair values of our interest rate swap derivatives, each of which was designated as a cash flow hedge as of September 30, 2026. We entered into these interest rate swap derivatives to reduce our exposure to the variability in future cash flows attributable to changes in our floating rate debt (amounts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5"/>
                <w:szCs w:val="15"/>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Floating Rate Index</w:t>
            </w:r>
          </w:p>
        </w:tc>
        <w:tc>
          <w:tcPr>
            <w:tcW w:w="2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23, 2024</w:t>
            </w: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December 23, 2027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23, 2024</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23, 2027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r>
      <w:tr>
        <w:trPr>
          <w:trHeight w:val="216"/>
        </w:trPr>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23, 2024</w:t>
            </w: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December 23, 2027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r>
      <w:tr>
        <w:trPr>
          <w:trHeight w:val="216"/>
        </w:trPr>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1, 2028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FF0FC"/>
          </w:tcPr>
          <w:p>
            <w:pPr>
              <w:spacing w:after="0"/>
              <w:rPr>
                <w:sz w:val="18"/>
                <w:szCs w:val="18"/>
                <w:color w:val="auto"/>
              </w:rPr>
            </w:pPr>
          </w:p>
        </w:tc>
      </w:t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our interest rate derivatives as well as their classification on our Consolidated Balance Sheets (amounts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Sheet Line Item</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00" w:type="dxa"/>
            <w:vAlign w:val="bottom"/>
          </w:tcPr>
          <w:p>
            <w:pPr>
              <w:spacing w:after="0"/>
              <w:rPr>
                <w:sz w:val="15"/>
                <w:szCs w:val="15"/>
                <w:color w:val="auto"/>
              </w:rPr>
            </w:pPr>
          </w:p>
        </w:tc>
      </w:tr>
      <w:tr>
        <w:trPr>
          <w:trHeight w:val="209"/>
        </w:trPr>
        <w:tc>
          <w:tcPr>
            <w:tcW w:w="8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rate swaps - Asset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FF0FC"/>
          </w:tcPr>
          <w:p>
            <w:pPr>
              <w:spacing w:after="0"/>
              <w:rPr>
                <w:sz w:val="18"/>
                <w:szCs w:val="18"/>
                <w:color w:val="auto"/>
              </w:rPr>
            </w:pPr>
          </w:p>
        </w:tc>
      </w:tr>
      <w:tr>
        <w:trPr>
          <w:trHeight w:val="234"/>
        </w:trPr>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swaps - Liability</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119" w:lineRule="exact"/>
        <w:rPr>
          <w:sz w:val="20"/>
          <w:szCs w:val="20"/>
          <w:color w:val="auto"/>
        </w:rPr>
      </w:pPr>
    </w:p>
    <w:p>
      <w:pPr>
        <w:ind w:right="580" w:firstLine="509"/>
        <w:spacing w:after="0" w:line="312" w:lineRule="auto"/>
        <w:rPr>
          <w:sz w:val="20"/>
          <w:szCs w:val="20"/>
          <w:color w:val="auto"/>
        </w:rPr>
      </w:pPr>
      <w:r>
        <w:rPr>
          <w:rFonts w:ascii="Times New Roman" w:cs="Times New Roman" w:eastAsia="Times New Roman" w:hAnsi="Times New Roman"/>
          <w:sz w:val="17"/>
          <w:szCs w:val="17"/>
          <w:color w:val="auto"/>
        </w:rPr>
        <w:t>The gains or losses on derivatives designated and that qualify as cash flow hedges are recorded in Accumulated other comprehensive income (“AOCI”) and will be reclassified to interest expense in the period that the hedged forecasted transactions affect earnings on our variable rate debt.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estimate that $1.7 million will be reclassified from AOCI as a net decrease to interest expense over the next 12 months.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table below presents the effects of our interest rate derivatives on our Consolidated Statements of Operations and Comprehensive Income (Loss)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96"/>
        </w:trPr>
        <w:tc>
          <w:tcPr>
            <w:tcW w:w="47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09"/>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gain (loss) recognized in AOCI</w:t>
            </w:r>
          </w:p>
        </w:tc>
        <w:tc>
          <w:tcPr>
            <w:tcW w:w="78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(4,429)</w:t>
            </w:r>
          </w:p>
        </w:tc>
      </w:tr>
      <w:tr>
        <w:trPr>
          <w:trHeight w:val="234"/>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(loss) reclassified from AOCI into interest expense</w:t>
            </w:r>
          </w:p>
        </w:tc>
        <w:tc>
          <w:tcPr>
            <w:tcW w:w="7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0"/>
                <w:szCs w:val="20"/>
                <w:color w:val="auto"/>
              </w:rPr>
            </w:pPr>
          </w:p>
        </w:tc>
      </w:tr>
    </w:tbl>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Credit-Risk-Related Contingent Features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agreements with each of our derivative counterparties that contain a provision where we could be declared in default on our derivative obligations if repayment of the underlying indebtedness is accelerated by the lender due to our default on such indebtedness. As of September 30, 2026, we were not in a net liability position with any derivative counterparty. As of September 30, 2026, we were in compliance with these agreements and had not posted any collateral related to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Accounting standards define fair value as the exit price, or the amount that would be received upon sale of an asset or paid to transfer a liability in an orderly transaction between market participants at the measurement date. The standards also establish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us. Unobservable inputs are inputs that reflect our assumptions about the factors market participants would use in valuing the asset or liability developed based upon the best information available in the circumstances. The hierarchy of these inputs is broken down into three levels: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Categorization within the valuation hierarchy is based upon the lowest level of input that is most significant to the fair value measurement.</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values of our interest rate swaps are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in such interest rates. While we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us and our counterparties. We have determined that the significance of the impact of the credit valuation adjustments made to our derivative contracts, which determination was based on the fair value of each individual contract, was not significant to the overall valuation. As a result, all of our derivatives held as of September 30, 2026 were classified as Level 2 of the fair value hierarchy.</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accounts receivable, other assets (excluding our real estate loans receivable) and accounts payable and accrued expenses are reasonable estimates of fair values because of the short maturities of these instruments. The fair value of our real estate loans receivable, as disclosed in Note 5, is based on the discounted estimated future cash flows of the loan (categorized within Level 3 of the fair value hierarchy); the discount rates used approximate current market rates for loans with similar maturities and credit quality, and the estimated cash payments include scheduled principal and interest payments. The table below presents our assets measured at fair value on a recurring basis as of September 30, 2026, aggregated by the level in the fair value hierarchy within which those measurements fall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Line Item</w:t>
            </w:r>
          </w:p>
        </w:tc>
        <w:tc>
          <w:tcPr>
            <w:tcW w:w="1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132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 Asset</w:t>
            </w:r>
          </w:p>
        </w:tc>
        <w:tc>
          <w:tcPr>
            <w:tcW w:w="1320" w:type="dxa"/>
            <w:vAlign w:val="bottom"/>
            <w:shd w:val="clear" w:color="auto" w:fill="CFF0FC"/>
          </w:tcPr>
          <w:p>
            <w:pPr>
              <w:jc w:val="right"/>
              <w:ind w:right="11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our disclosure of debt fair values, we estimated the fair value of our 2016 term loan facility, our 2018 term loan facility, our 2026 term loan facility and our 2024 revolving credit facility based on the variable interest rate and credit spreads (categorized within Level 3 of the fair value hierarchy) and estimated the fair value of our other debt based on the discounted estimated future cash payments to be made on such debt (categorized within Level 3 of the fair value hierarchy); the discount rates used approximate current market rates for loans, or groups of loans, with similar maturities and credit quality, and the estimated future payments included scheduled principal and interest payments. Fair value estimates are made as of a specific point in time, are subjective in nature and involve uncertainties and matters of significant judgment. Settlement at such fair value amounts may not be possible and may not be a prudent management decision.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i w:val="1"/>
          <w:iCs w:val="1"/>
          <w:color w:val="auto"/>
        </w:rPr>
        <w:t>Financial assets and liabilities not measured at fair value</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principal outstanding under the Company’s indebtedness and the corresponding estimate of fair value as of September 30, 2026: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3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535"/>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Carrying Amount </w:t>
            </w:r>
            <w:r>
              <w:rPr>
                <w:rFonts w:ascii="Times New Roman" w:cs="Times New Roman" w:eastAsia="Times New Roman" w:hAnsi="Times New Roman"/>
                <w:sz w:val="19"/>
                <w:szCs w:val="19"/>
                <w:b w:val="1"/>
                <w:bCs w:val="1"/>
                <w:color w:val="auto"/>
                <w:vertAlign w:val="superscript"/>
              </w:rPr>
              <w:t>(1)</w:t>
            </w:r>
          </w:p>
        </w:tc>
        <w:tc>
          <w:tcPr>
            <w:tcW w:w="3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13"/>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7"/>
                <w:szCs w:val="17"/>
                <w:color w:val="auto"/>
              </w:rPr>
            </w:pPr>
          </w:p>
        </w:tc>
      </w:tr>
      <w:tr>
        <w:trPr>
          <w:trHeight w:val="209"/>
        </w:trPr>
        <w:tc>
          <w:tcPr>
            <w:tcW w:w="5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2024 revolving credit facility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 term loan facility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2018 term loan facility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term loan facility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957,908</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142,297</w:t>
            </w:r>
          </w:p>
        </w:tc>
        <w:tc>
          <w:tcPr>
            <w:tcW w:w="10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139,615</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760" w:hanging="378"/>
        <w:spacing w:after="0"/>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consists of principal only.</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the fair value measurement of the financial liability instrument a Level 3 measurement.</w:t>
      </w:r>
    </w:p>
    <w:p>
      <w:pPr>
        <w:spacing w:after="0" w:line="31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is a summary of our stock-based compensation expense, net for the three and nine months ended September 30, 2026 and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net</w:t>
            </w:r>
          </w:p>
        </w:tc>
        <w:tc>
          <w:tcPr>
            <w:tcW w:w="142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580" w:type="dxa"/>
            <w:vAlign w:val="bottom"/>
            <w:gridSpan w:val="3"/>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44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400" w:type="dxa"/>
            <w:vAlign w:val="bottom"/>
            <w:gridSpan w:val="3"/>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-286385</wp:posOffset>
            </wp:positionV>
            <wp:extent cx="102235"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-286385</wp:posOffset>
            </wp:positionV>
            <wp:extent cx="10287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-286385</wp:posOffset>
            </wp:positionV>
            <wp:extent cx="939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-286385</wp:posOffset>
            </wp:positionV>
            <wp:extent cx="9398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net is included within corporate general and administrative expenses on our Consolidated Statements of Operations.</w:t>
      </w:r>
    </w:p>
    <w:p>
      <w:pPr>
        <w:spacing w:after="0" w:line="162"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January 5, 2026, we granted an aggregate of 268,766 performance-based LTIP units to members of management pursuant to the Easterly Government Properties, Inc. 2024 Equity Incentive Plan (as amended, the “2024 Plan”), consisting of:</w:t>
      </w:r>
    </w:p>
    <w:p>
      <w:pPr>
        <w:spacing w:after="0" w:line="162" w:lineRule="exact"/>
        <w:rPr>
          <w:sz w:val="20"/>
          <w:szCs w:val="20"/>
          <w:color w:val="auto"/>
        </w:rPr>
      </w:pPr>
    </w:p>
    <w:p>
      <w:pPr>
        <w:ind w:left="1780" w:right="380" w:hanging="515"/>
        <w:spacing w:after="0" w:line="282" w:lineRule="auto"/>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20,589 LTIP units that are subject to us achieving certain total shareholder return performance thresholds (on a relative basis). These units will vest to the extent earned following the end of the performance period on December 31, 2028;</w:t>
      </w:r>
    </w:p>
    <w:p>
      <w:pPr>
        <w:spacing w:after="0" w:line="53" w:lineRule="exact"/>
        <w:rPr>
          <w:rFonts w:ascii="Times New Roman" w:cs="Times New Roman" w:eastAsia="Times New Roman" w:hAnsi="Times New Roman"/>
          <w:sz w:val="18"/>
          <w:szCs w:val="18"/>
          <w:color w:val="auto"/>
        </w:rPr>
      </w:pPr>
    </w:p>
    <w:p>
      <w:pPr>
        <w:ind w:left="1780" w:right="460" w:hanging="515"/>
        <w:spacing w:after="0" w:line="282" w:lineRule="auto"/>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25,806 LTIP units that are subject to us achieving certain operational performance hurdles. These units will vest to the extent earned following the end of the performance period on December 31, 2028; and</w:t>
      </w:r>
    </w:p>
    <w:p>
      <w:pPr>
        <w:spacing w:after="0" w:line="53" w:lineRule="exact"/>
        <w:rPr>
          <w:rFonts w:ascii="Times New Roman" w:cs="Times New Roman" w:eastAsia="Times New Roman" w:hAnsi="Times New Roman"/>
          <w:sz w:val="18"/>
          <w:szCs w:val="18"/>
          <w:color w:val="auto"/>
        </w:rPr>
      </w:pPr>
    </w:p>
    <w:p>
      <w:pPr>
        <w:ind w:left="1780" w:hanging="515"/>
        <w:spacing w:after="0" w:line="261" w:lineRule="auto"/>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222,371 LTIP units that are subject to us achieving certain performance conditions based on the appreciation of the Company’s common stock price. These units have a performance period beginning on the grant date and ending on January 5, 2034. These units will vest in full on January 5, 2031, subject to the recipient’s continued employment with the Company through such date and subject to achieving certain performance conditions.</w:t>
      </w:r>
    </w:p>
    <w:p>
      <w:pPr>
        <w:spacing w:after="0" w:line="180"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Pursuant to the 2024 Plan, the significant assumptions used to value the performance-based LTIP units using a Monte Carlo Simulation (risk-neutral approach) include expected volatility (26.0% - 27.0%), dividend yield (6.6% - 8.3%), risk-free interest rate (3.5% - 4.0%) and expected life (3 - 8 years).</w:t>
      </w:r>
    </w:p>
    <w:p>
      <w:pPr>
        <w:spacing w:after="0" w:line="14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January 5, 2026, we also granted an aggregate of 136,314 service-based LTIP units to members of management pursuant to the 2024 Plan, which will vest on December 31, 2028. The LTIP units are subject to the grantee’s continued employment and the other terms of the awards.</w:t>
      </w:r>
    </w:p>
    <w:p>
      <w:pPr>
        <w:spacing w:after="0" w:line="162" w:lineRule="exact"/>
        <w:rPr>
          <w:sz w:val="20"/>
          <w:szCs w:val="20"/>
          <w:color w:val="auto"/>
        </w:rPr>
      </w:pPr>
    </w:p>
    <w:p>
      <w:pPr>
        <w:jc w:val="both"/>
        <w:ind w:right="520" w:firstLine="509"/>
        <w:spacing w:after="0" w:line="312" w:lineRule="auto"/>
        <w:rPr>
          <w:sz w:val="20"/>
          <w:szCs w:val="20"/>
          <w:color w:val="auto"/>
        </w:rPr>
      </w:pPr>
      <w:r>
        <w:rPr>
          <w:rFonts w:ascii="Times New Roman" w:cs="Times New Roman" w:eastAsia="Times New Roman" w:hAnsi="Times New Roman"/>
          <w:sz w:val="17"/>
          <w:szCs w:val="17"/>
          <w:color w:val="auto"/>
        </w:rPr>
        <w:t>On January 5, 2026, we granted an aggregate of 15,247 shares of restricted common stock to certain employees and members of management pursuant to the 2024 Plan. The shares will vest on January 5, 2028, subject to the grantee’s continued employment and the other terms of the awards.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0" w:name="page21"/>
    <w:bookmarkEnd w:id="20"/>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April 29, 2026, in connection with our 2026 annual meeting of stockholders, we issued an aggregate of 21,060 shares of restricted stock and 5,983 LTIP units to our non-employee directors pursuant to the 2024 Plan. The grants will vest upon the earlier of the first anniversary of the grant date or the next annual stockholder meeting, so long as the grantee remains a director on such date.</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2024 Plan, the significant assumptions used to value the service-based LTIP units using a Monte Carlo Simulation (risk-neutral approach) include expected volatility (25.0%), dividend yield (8.1%), risk-free interest rate (3.7%) and expected life (1 year).</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May 20, 2026, we granted an aggregate of 45,895 performance-based LTIP units to certain employees and members of management pursuant to the 2024 Plan. The grants will vest in full on the fifth anniversary of the grant date, subject to the grantee’s continued employment with the Company through such date and further subject to achieving certain performance conditions based on the appreciation of the Company's common stock price during the period beginning on the grant date and ending on the eighth anniversary of the grant date.</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the 2024 Plan, the significant assumptions used to value the performance-based LTIP units using a Monte Carlo Simulation (risk-neutral approach) include expected volatility (26.0%), dividend yield (6.5%), risk-free interest rate (4.5%) and expected life (8 years).</w:t>
      </w:r>
    </w:p>
    <w:p>
      <w:pPr>
        <w:spacing w:after="0" w:line="16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May 20, 2026, we granted an aggregate of 2,438 shares of restricted common stock to certain employees pursuant to the 2024 Plan. Of these, 1,060 shares will vest on May 20, 2028, and 1,378 shares will vest on May 20, 2031, in each case subject to the grantee’s continued employment and the other terms of the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our stockholders’ equity for the three months ended September 30, 2026 and 2025 (amounts in thousands, except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w:t>
            </w: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 in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28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86"/>
              </w:rPr>
              <w:t>Cumulative</w:t>
            </w:r>
          </w:p>
        </w:tc>
        <w:tc>
          <w:tcPr>
            <w:tcW w:w="100" w:type="dxa"/>
            <w:vAlign w:val="bottom"/>
          </w:tcPr>
          <w:p>
            <w:pPr>
              <w:spacing w:after="0"/>
              <w:rPr>
                <w:sz w:val="11"/>
                <w:szCs w:val="11"/>
                <w:color w:val="auto"/>
              </w:rPr>
            </w:pPr>
          </w:p>
        </w:tc>
        <w:tc>
          <w:tcPr>
            <w:tcW w:w="8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140" w:type="dxa"/>
            <w:vAlign w:val="bottom"/>
          </w:tcPr>
          <w:p>
            <w:pPr>
              <w:spacing w:after="0"/>
              <w:rPr>
                <w:sz w:val="11"/>
                <w:szCs w:val="11"/>
                <w:color w:val="auto"/>
              </w:rPr>
            </w:pPr>
          </w:p>
        </w:tc>
        <w:tc>
          <w:tcPr>
            <w:tcW w:w="76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28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3"/>
              </w:rPr>
              <w:t>Dividends</w:t>
            </w:r>
          </w:p>
        </w:tc>
        <w:tc>
          <w:tcPr>
            <w:tcW w:w="100" w:type="dxa"/>
            <w:vAlign w:val="bottom"/>
          </w:tcPr>
          <w:p>
            <w:pPr>
              <w:spacing w:after="0"/>
              <w:rPr>
                <w:sz w:val="13"/>
                <w:szCs w:val="13"/>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Partnership</w:t>
            </w:r>
          </w:p>
        </w:tc>
        <w:tc>
          <w:tcPr>
            <w:tcW w:w="14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3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Three months ended September 30, 2026</w:t>
            </w:r>
          </w:p>
        </w:tc>
        <w:tc>
          <w:tcPr>
            <w:tcW w:w="7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Balance at June 30, 2026</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47,321,617</w:t>
            </w:r>
          </w:p>
        </w:tc>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473</w:t>
            </w: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1,983,878</w:t>
            </w:r>
          </w:p>
        </w:tc>
        <w:tc>
          <w:tcPr>
            <w:tcW w:w="3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149,272</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(817,791)</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(567)</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44,494</w:t>
            </w:r>
          </w:p>
        </w:tc>
        <w:tc>
          <w:tcPr>
            <w:tcW w:w="2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1,359,759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based compensation, net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2,042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Dividends and distributions paid</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($0.45 per share)</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(21,295)</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(930)</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(22,225)</w:t>
            </w: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income on treasury locks and interest rate swaps, net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2,530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5,500</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Allocation of non-controlling interest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1,522</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(1,522)</w:t>
            </w:r>
          </w:p>
        </w:tc>
        <w:tc>
          <w:tcPr>
            <w:tcW w:w="14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0"/>
        </w:trPr>
        <w:tc>
          <w:tcPr>
            <w:tcW w:w="3920" w:type="dxa"/>
            <w:vAlign w:val="bottom"/>
            <w:shd w:val="clear" w:color="auto" w:fill="CFF0FC"/>
          </w:tcPr>
          <w:p>
            <w:pPr>
              <w:ind w:left="140"/>
              <w:spacing w:after="0" w:line="140" w:lineRule="exact"/>
              <w:rPr>
                <w:sz w:val="20"/>
                <w:szCs w:val="20"/>
                <w:color w:val="auto"/>
              </w:rPr>
            </w:pPr>
            <w:r>
              <w:rPr>
                <w:rFonts w:ascii="Times New Roman" w:cs="Times New Roman" w:eastAsia="Times New Roman" w:hAnsi="Times New Roman"/>
                <w:sz w:val="13"/>
                <w:szCs w:val="13"/>
                <w:color w:val="auto"/>
              </w:rPr>
              <w:t>in Operating Partnership</w:t>
            </w:r>
          </w:p>
        </w:tc>
        <w:tc>
          <w:tcPr>
            <w:tcW w:w="7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2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47,321,617</w:t>
            </w:r>
          </w:p>
        </w:tc>
        <w:tc>
          <w:tcPr>
            <w:tcW w:w="24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473</w:t>
            </w:r>
          </w:p>
        </w:tc>
        <w:tc>
          <w:tcPr>
            <w:tcW w:w="3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1,985,653</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154,772</w:t>
            </w: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(839,086)</w:t>
            </w:r>
          </w:p>
        </w:tc>
        <w:tc>
          <w:tcPr>
            <w:tcW w:w="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1,963</w:t>
            </w:r>
          </w:p>
        </w:tc>
        <w:tc>
          <w:tcPr>
            <w:tcW w:w="22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44,105</w:t>
            </w:r>
          </w:p>
        </w:tc>
        <w:tc>
          <w:tcPr>
            <w:tcW w:w="20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1,347,880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92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45,354,115</w:t>
            </w:r>
          </w:p>
        </w:tc>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453</w:t>
            </w: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1,934,279</w:t>
            </w:r>
          </w:p>
        </w:tc>
        <w:tc>
          <w:tcPr>
            <w:tcW w:w="3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139,052</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(734,864)</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(4,591)</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52,203</w:t>
            </w:r>
          </w:p>
        </w:tc>
        <w:tc>
          <w:tcPr>
            <w:tcW w:w="2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1,386,532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based compensation</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1,392</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1,633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Dividends and distributions paid</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($0.45 per share)</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(20,409)</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(921)</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(21,330)</w:t>
            </w: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Grant of unvested restricted stock</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4,264</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16,781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Unrealized (loss) income on interest rate</w:t>
            </w: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swaps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Allocation of non-controlling interest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(1,388)</w:t>
            </w:r>
          </w:p>
        </w:tc>
        <w:tc>
          <w:tcPr>
            <w:tcW w:w="14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0"/>
        </w:trPr>
        <w:tc>
          <w:tcPr>
            <w:tcW w:w="3920" w:type="dxa"/>
            <w:vAlign w:val="bottom"/>
            <w:shd w:val="clear" w:color="auto" w:fill="CFF0FC"/>
          </w:tcPr>
          <w:p>
            <w:pPr>
              <w:ind w:left="140"/>
              <w:spacing w:after="0" w:line="140" w:lineRule="exact"/>
              <w:rPr>
                <w:sz w:val="20"/>
                <w:szCs w:val="20"/>
                <w:color w:val="auto"/>
              </w:rPr>
            </w:pPr>
            <w:r>
              <w:rPr>
                <w:rFonts w:ascii="Times New Roman" w:cs="Times New Roman" w:eastAsia="Times New Roman" w:hAnsi="Times New Roman"/>
                <w:sz w:val="13"/>
                <w:szCs w:val="13"/>
                <w:color w:val="auto"/>
              </w:rPr>
              <w:t>in Operating Partnership</w:t>
            </w:r>
          </w:p>
        </w:tc>
        <w:tc>
          <w:tcPr>
            <w:tcW w:w="7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2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46,108,379</w:t>
            </w:r>
          </w:p>
        </w:tc>
        <w:tc>
          <w:tcPr>
            <w:tcW w:w="24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461</w:t>
            </w:r>
          </w:p>
        </w:tc>
        <w:tc>
          <w:tcPr>
            <w:tcW w:w="3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1,952,689</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140,265</w:t>
            </w: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(755,273)</w:t>
            </w:r>
          </w:p>
        </w:tc>
        <w:tc>
          <w:tcPr>
            <w:tcW w:w="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(4,641)</w:t>
            </w:r>
          </w:p>
        </w:tc>
        <w:tc>
          <w:tcPr>
            <w:tcW w:w="1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51,322</w:t>
            </w:r>
          </w:p>
        </w:tc>
        <w:tc>
          <w:tcPr>
            <w:tcW w:w="20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1,384,823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-1259840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-1259840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-1259840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-1259840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-1259840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-1259840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-1259840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-119380</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-119380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-119380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-119380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-119380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-119380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-119380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our stockholders’ equity for the nine months ended September 30, 2026 and 2025 (amounts in thousands, except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w:t>
            </w: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 in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28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Cumulative</w:t>
            </w:r>
          </w:p>
        </w:tc>
        <w:tc>
          <w:tcPr>
            <w:tcW w:w="100" w:type="dxa"/>
            <w:vAlign w:val="bottom"/>
          </w:tcPr>
          <w:p>
            <w:pPr>
              <w:spacing w:after="0"/>
              <w:rPr>
                <w:sz w:val="11"/>
                <w:szCs w:val="11"/>
                <w:color w:val="auto"/>
              </w:rPr>
            </w:pPr>
          </w:p>
        </w:tc>
        <w:tc>
          <w:tcPr>
            <w:tcW w:w="8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140" w:type="dxa"/>
            <w:vAlign w:val="bottom"/>
          </w:tcPr>
          <w:p>
            <w:pPr>
              <w:spacing w:after="0"/>
              <w:rPr>
                <w:sz w:val="11"/>
                <w:szCs w:val="11"/>
                <w:color w:val="auto"/>
              </w:rPr>
            </w:pPr>
          </w:p>
        </w:tc>
        <w:tc>
          <w:tcPr>
            <w:tcW w:w="76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28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3"/>
              </w:rPr>
              <w:t>Dividends</w:t>
            </w:r>
          </w:p>
        </w:tc>
        <w:tc>
          <w:tcPr>
            <w:tcW w:w="100" w:type="dxa"/>
            <w:vAlign w:val="bottom"/>
          </w:tcPr>
          <w:p>
            <w:pPr>
              <w:spacing w:after="0"/>
              <w:rPr>
                <w:sz w:val="13"/>
                <w:szCs w:val="13"/>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Partnership</w:t>
            </w:r>
          </w:p>
        </w:tc>
        <w:tc>
          <w:tcPr>
            <w:tcW w:w="14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3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Nine months ended September 30, 2026</w:t>
            </w:r>
          </w:p>
        </w:tc>
        <w:tc>
          <w:tcPr>
            <w:tcW w:w="7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46,303,469</w:t>
            </w:r>
          </w:p>
        </w:tc>
        <w:tc>
          <w:tcPr>
            <w:tcW w:w="14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463</w:t>
            </w: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1,958,412</w:t>
            </w:r>
          </w:p>
        </w:tc>
        <w:tc>
          <w:tcPr>
            <w:tcW w:w="3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144,857</w:t>
            </w:r>
          </w:p>
        </w:tc>
        <w:tc>
          <w:tcPr>
            <w:tcW w:w="280" w:type="dxa"/>
            <w:vAlign w:val="bottom"/>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(776,022)</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(4,578)</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46,433</w:t>
            </w:r>
          </w:p>
        </w:tc>
        <w:tc>
          <w:tcPr>
            <w:tcW w:w="2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1,369,565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based compensation, net</w:t>
            </w: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862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6,242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Dividends and distributions paid</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($1.35 per share)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(63,064)</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(2,835)</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(65,899)</w:t>
            </w: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Grant of unvested restricted stock</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38,745</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9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Redemption of common units for</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 of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88,290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(2,500)</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891,113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20,934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20,943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gain on treasury locks and interest rate swaps, net</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6,541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9,915</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346</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10,261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Allocation of non-controlling interest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(2,946)</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0"/>
        </w:trPr>
        <w:tc>
          <w:tcPr>
            <w:tcW w:w="392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auto"/>
              </w:rPr>
              <w:t>in Operating Partnership</w:t>
            </w:r>
          </w:p>
        </w:tc>
        <w:tc>
          <w:tcPr>
            <w:tcW w:w="7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47,321,617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473</w:t>
            </w: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1,985,653</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154,772</w:t>
            </w:r>
          </w:p>
        </w:tc>
        <w:tc>
          <w:tcPr>
            <w:tcW w:w="28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(839,086)</w:t>
            </w: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1,963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44,105</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1,347,880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92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Balance at December 31, 2024 </w:t>
            </w:r>
            <w:r>
              <w:rPr>
                <w:rFonts w:ascii="Times New Roman" w:cs="Times New Roman" w:eastAsia="Times New Roman" w:hAnsi="Times New Roman"/>
                <w:sz w:val="15"/>
                <w:szCs w:val="15"/>
                <w:b w:val="1"/>
                <w:bCs w:val="1"/>
                <w:color w:val="auto"/>
                <w:vertAlign w:val="superscript"/>
              </w:rPr>
              <w:t>(1)</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43,188,224</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432</w:t>
            </w:r>
          </w:p>
        </w:tc>
        <w:tc>
          <w:tcPr>
            <w:tcW w:w="3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1,874,193</w:t>
            </w:r>
          </w:p>
        </w:tc>
        <w:tc>
          <w:tcPr>
            <w:tcW w:w="3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131,854</w:t>
            </w:r>
          </w:p>
        </w:tc>
        <w:tc>
          <w:tcPr>
            <w:tcW w:w="28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(686,044)</w:t>
            </w:r>
          </w:p>
        </w:tc>
        <w:tc>
          <w:tcPr>
            <w:tcW w:w="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65,999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1,387,117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based compensation</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Dividends and distributions paid</w:t>
            </w: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($1.56 per share)</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(69,229)</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(3,653)</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(72,882)</w:t>
            </w: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Grant of unvested restricted stock</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47,994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92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Redemption of common units for</w:t>
            </w: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shares of common stock</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405,237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(4,836)</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2,466,987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62,866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62,891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Fractional shares settled </w:t>
            </w:r>
            <w:r>
              <w:rPr>
                <w:rFonts w:ascii="Times New Roman" w:cs="Times New Roman" w:eastAsia="Times New Roman" w:hAnsi="Times New Roman"/>
                <w:sz w:val="15"/>
                <w:szCs w:val="15"/>
                <w:color w:val="auto"/>
                <w:vertAlign w:val="superscript"/>
              </w:rPr>
              <w:t>(2)</w:t>
            </w:r>
          </w:p>
        </w:tc>
        <w:tc>
          <w:tcPr>
            <w:tcW w:w="8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9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Unrealized loss on interest rate</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swaps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(5,324)</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(212)</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(5,536)</w:t>
            </w: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8,411</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373</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Allocation of non-controlling interest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10,175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(10,175)</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0"/>
        </w:trPr>
        <w:tc>
          <w:tcPr>
            <w:tcW w:w="392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auto"/>
              </w:rPr>
              <w:t>in Operating Partnership</w:t>
            </w:r>
          </w:p>
        </w:tc>
        <w:tc>
          <w:tcPr>
            <w:tcW w:w="7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2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46,108,379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461</w:t>
            </w: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1,952,689</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140,265</w:t>
            </w:r>
          </w:p>
        </w:tc>
        <w:tc>
          <w:tcPr>
            <w:tcW w:w="28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(755,273)</w:t>
            </w: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(4,641)</w:t>
            </w:r>
          </w:p>
        </w:tc>
        <w:tc>
          <w:tcPr>
            <w:tcW w:w="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51,322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1,384,823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-1422400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-1405255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-1422400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-1405255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-1422400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-1405255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-1422400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-1405255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-1422400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-1405255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-1422400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-1405255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-1422400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-1405255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right="20" w:hanging="365"/>
        <w:spacing w:after="0" w:line="261" w:lineRule="auto"/>
        <w:tabs>
          <w:tab w:leader="none" w:pos="6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reclassified $0.6 million from Common Stock to Additional Paid-in-Capital due to the reduction in shares outstanding in connection with the 1-for-2.5 reverse stock split of the Company’s issued and outstanding Common Stock, effective April 28, 2025 (the “Reverse Stock Split”). Concurrently with the Reverse Stock Split, our operating partnership completed a corresponding 1-for-2.5 reverse unit split of outstanding common units and LTIP units.</w:t>
      </w:r>
    </w:p>
    <w:p>
      <w:pPr>
        <w:spacing w:after="0" w:line="179" w:lineRule="exact"/>
        <w:rPr>
          <w:rFonts w:ascii="Times New Roman" w:cs="Times New Roman" w:eastAsia="Times New Roman" w:hAnsi="Times New Roman"/>
          <w:sz w:val="18"/>
          <w:szCs w:val="18"/>
          <w:color w:val="auto"/>
        </w:rPr>
      </w:pPr>
    </w:p>
    <w:p>
      <w:pPr>
        <w:ind w:left="760" w:right="20" w:hanging="365"/>
        <w:spacing w:after="0" w:line="266" w:lineRule="auto"/>
        <w:tabs>
          <w:tab w:leader="none" w:pos="6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were issued as a result of the Reverse Stock Split. In lieu of issuing fractional shares, we paid cash to shareholders who would otherwise have been entitled to receive a fractional share. The total cash payment for fractional shares amounted to less than $0.1 million, which was recorded as a reduction to additional paid-in capital in the accompanying consolidated balance sheets.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dividends declared by our Board of Directors per share of common stock and per common unit at the date of record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2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2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9"/>
                <w:szCs w:val="19"/>
                <w:color w:val="auto"/>
              </w:rPr>
            </w:pPr>
          </w:p>
        </w:tc>
      </w:tr>
      <w:tr>
        <w:trPr>
          <w:trHeight w:val="196"/>
        </w:trPr>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Q1 2026</w:t>
            </w:r>
          </w:p>
        </w:tc>
        <w:tc>
          <w:tcPr>
            <w:tcW w:w="22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April 22,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May 7,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May 21, 2026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shd w:val="clear" w:color="auto" w:fill="CFF0FC"/>
          </w:tcPr>
          <w:p>
            <w:pPr>
              <w:spacing w:after="0"/>
              <w:rPr>
                <w:sz w:val="17"/>
                <w:szCs w:val="17"/>
                <w:color w:val="auto"/>
              </w:rPr>
            </w:pPr>
          </w:p>
        </w:tc>
      </w:tr>
      <w:tr>
        <w:trPr>
          <w:trHeight w:val="203"/>
        </w:trPr>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Q2 2026</w:t>
            </w:r>
          </w:p>
        </w:tc>
        <w:tc>
          <w:tcPr>
            <w:tcW w:w="22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July 29, 2026</w:t>
            </w:r>
          </w:p>
        </w:tc>
        <w:tc>
          <w:tcPr>
            <w:tcW w:w="2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10, 2026</w:t>
            </w:r>
          </w:p>
        </w:tc>
        <w:tc>
          <w:tcPr>
            <w:tcW w:w="2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20, 2026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tcPr>
          <w:p>
            <w:pPr>
              <w:spacing w:after="0"/>
              <w:rPr>
                <w:sz w:val="17"/>
                <w:szCs w:val="17"/>
                <w:color w:val="auto"/>
              </w:rPr>
            </w:pPr>
          </w:p>
        </w:tc>
      </w:tr>
      <w:tr>
        <w:trPr>
          <w:trHeight w:val="203"/>
        </w:trPr>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Q3 2026</w:t>
            </w:r>
          </w:p>
        </w:tc>
        <w:tc>
          <w:tcPr>
            <w:tcW w:w="22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October 22,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November 5,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November 20, 2026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ind w:left="380" w:right="160" w:hanging="372"/>
        <w:spacing w:after="0" w:line="261"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end of the performance period as set forth in the applicable LTIP unit award, holders of performance-based LTIP units are entitled to receive dividends per LTIP unit equal to 10% of the dividend paid per common unit. After the end of the performance period, the number of LTIP units, both vested and unvested, that LTIP award recipients have earned, if any, are entitled to receive dividends in an amount per LTIP unit equal to dividends, both regular and special, payable per common unit.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380" w:right="120"/>
        <w:spacing w:after="0" w:line="282" w:lineRule="auto"/>
        <w:rPr>
          <w:sz w:val="20"/>
          <w:szCs w:val="20"/>
          <w:color w:val="auto"/>
        </w:rPr>
      </w:pPr>
      <w:r>
        <w:rPr>
          <w:rFonts w:ascii="Times New Roman" w:cs="Times New Roman" w:eastAsia="Times New Roman" w:hAnsi="Times New Roman"/>
          <w:sz w:val="18"/>
          <w:szCs w:val="18"/>
          <w:color w:val="auto"/>
        </w:rPr>
        <w:t>Holders of LTIP units that are not subject to the attainment of performance goals are entitled to receive dividends per LTIP unit equal to 100% of the dividend paid per common unit beginning on the grant date.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entered into equity distribution agreements on June 22, 2021 with various financial institutions relating to our $300.0 million “at the market” equity offering program (the “2021 ATM Program”). On August 4, 2026, we entered into amended and restated equity distribution agreements governing the 2021 ATM Program in order to, among other things, permit our entry into contingent forward transactions, as described below. Pursuant to the 2021 ATM Program, we may issue and sell shares of our common stock having an aggregate offering price of up to $300.0 million from time to time in negotiated transactions or transactions that are deemed to be “at the market” offerings as defined in Rule 415 under the Securities Act. Under the 2021 ATM Program, we may enter into one or more forward transactions, including transactions on a contingent and non-contingent basis (each, a “forward sale transaction”), under separate master forward sale confirmations and related supplemental confirmations with certain financial institutions party to the amended and restated agreements governing the 2021 ATM Program for the sale of shares of our common stock on a forward basis.</w:t>
      </w:r>
    </w:p>
    <w:p>
      <w:pPr>
        <w:spacing w:after="0" w:line="19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issuances under the 2021 ATM Program during the nine months ended September 30, 2026 (amounts in thousands except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 ATM Program</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40" w:type="dxa"/>
            <w:vAlign w:val="bottom"/>
          </w:tcPr>
          <w:p>
            <w:pPr>
              <w:spacing w:after="0"/>
              <w:rPr>
                <w:sz w:val="18"/>
                <w:szCs w:val="18"/>
                <w:color w:val="auto"/>
              </w:rPr>
            </w:pPr>
          </w:p>
        </w:tc>
        <w:tc>
          <w:tcPr>
            <w:tcW w:w="2520" w:type="dxa"/>
            <w:vAlign w:val="bottom"/>
            <w:tcBorders>
              <w:bottom w:val="single" w:sz="8" w:color="auto"/>
            </w:tcBorders>
          </w:tcPr>
          <w:p>
            <w:pPr>
              <w:jc w:val="right"/>
              <w:ind w:right="336"/>
              <w:spacing w:after="0" w:line="216" w:lineRule="exact"/>
              <w:rPr>
                <w:sz w:val="20"/>
                <w:szCs w:val="20"/>
                <w:color w:val="auto"/>
              </w:rPr>
            </w:pPr>
            <w:r>
              <w:rPr>
                <w:rFonts w:ascii="Times New Roman" w:cs="Times New Roman" w:eastAsia="Times New Roman" w:hAnsi="Times New Roman"/>
                <w:sz w:val="14"/>
                <w:szCs w:val="14"/>
                <w:b w:val="1"/>
                <w:bCs w:val="1"/>
                <w:color w:val="auto"/>
              </w:rPr>
              <w:t xml:space="preserve">Number of Shares Issued </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00" w:type="dxa"/>
            <w:vAlign w:val="bottom"/>
          </w:tcPr>
          <w:p>
            <w:pPr>
              <w:spacing w:after="0"/>
              <w:rPr>
                <w:sz w:val="18"/>
                <w:szCs w:val="18"/>
                <w:color w:val="auto"/>
              </w:rPr>
            </w:pPr>
          </w:p>
        </w:tc>
      </w:tr>
      <w:tr>
        <w:trPr>
          <w:trHeight w:val="209"/>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94,170</w:t>
            </w:r>
          </w:p>
        </w:tc>
        <w:tc>
          <w:tcPr>
            <w:tcW w:w="11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796,943</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00" w:type="dxa"/>
            <w:vAlign w:val="bottom"/>
          </w:tcPr>
          <w:p>
            <w:pPr>
              <w:spacing w:after="0"/>
              <w:rPr>
                <w:sz w:val="18"/>
                <w:szCs w:val="18"/>
                <w:color w:val="auto"/>
              </w:rPr>
            </w:pPr>
          </w:p>
        </w:tc>
      </w:tr>
      <w:tr>
        <w:trPr>
          <w:trHeight w:val="216"/>
        </w:trPr>
        <w:tc>
          <w:tcPr>
            <w:tcW w:w="55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2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891,113</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-711200</wp:posOffset>
            </wp:positionV>
            <wp:extent cx="35744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right="700" w:hanging="365"/>
        <w:spacing w:after="0" w:line="282" w:lineRule="auto"/>
        <w:tabs>
          <w:tab w:leader="none" w:pos="6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by us, which were all issued in settlement of forward sale transactions. As of September 30, 2026, we had settled all of our outstanding forward sale transactions under the 2021 ATM Program. We accounted for the forward sale transactions as equity.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of September 30, 2026, we had approximately $215.0 million of gross sales of our common stock available under the 2021 ATM Program.</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April 28, 2022, our Board of Directors authorized a share repurchase program whereby we may repurchase up to 1,815,597 shares of our common stock (adjusted for the Reverse Stock Split), or approximately 5% of our outstanding shares as of the original authorization date. We are not required to purchase shares under the share repurchase program, but may choose to do so in the open market or through privately negotiated transactions at times and amounts based on our evaluation of market conditions and other factors.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repurchases of shares of our common stock were made under the share repurchase program during the nine months ended September 30,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Basic earnings or loss per share of common stock (“EPS”) is calculated by dividing net income attributable to common stockholders by the weighted average shares of common stock outstanding for the periods presented. Diluted EPS is computed after adjusting the basic EPS computation for the effect of dilutive common equivalent shares outstanding during the periods presented. Unvested restricted shares of common stock and unvested LTIP units are considered participating securities, which require the use of the two-class method for the computation of basic and diluted earnings per share.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our basic and diluted earnings per share of common stock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(amounts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40" w:type="dxa"/>
            <w:vAlign w:val="bottom"/>
          </w:tcPr>
          <w:p>
            <w:pPr>
              <w:spacing w:after="0"/>
              <w:rPr>
                <w:sz w:val="15"/>
                <w:szCs w:val="15"/>
                <w:color w:val="auto"/>
              </w:rPr>
            </w:pPr>
          </w:p>
        </w:tc>
        <w:tc>
          <w:tcPr>
            <w:tcW w:w="294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Non-controlling interest in Operating Partnership</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r>
      <w:tr>
        <w:trPr>
          <w:trHeight w:val="209"/>
        </w:trPr>
        <w:tc>
          <w:tcPr>
            <w:tcW w:w="46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Net income available to Easterly Government Properties, Inc.</w:t>
            </w: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00" w:type="dxa"/>
            <w:vAlign w:val="bottom"/>
            <w:tcBorders>
              <w:top w:val="single" w:sz="8" w:color="CFF0FC"/>
            </w:tcBorders>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Dividends on participating securities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46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 for basic EPS</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47,250,107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45,337,184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46,661,566</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44,532,044</w:t>
            </w:r>
          </w:p>
        </w:tc>
        <w:tc>
          <w:tcPr>
            <w:tcW w:w="100" w:type="dxa"/>
            <w:vAlign w:val="bottom"/>
            <w:shd w:val="clear" w:color="auto" w:fill="CFF0FC"/>
          </w:tcPr>
          <w:p>
            <w:pPr>
              <w:spacing w:after="0"/>
              <w:rPr>
                <w:sz w:val="17"/>
                <w:szCs w:val="17"/>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Dilutive effect of share-based compensation awards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18"/>
                <w:szCs w:val="18"/>
                <w:color w:val="auto"/>
              </w:rPr>
            </w:pPr>
          </w:p>
        </w:tc>
      </w:tr>
      <w:tr>
        <w:trPr>
          <w:trHeight w:val="236"/>
        </w:trPr>
        <w:tc>
          <w:tcPr>
            <w:tcW w:w="4680" w:type="dxa"/>
            <w:vAlign w:val="bottom"/>
            <w:tcBorders>
              <w:bottom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Dilutive effect of LTIP units </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270,511</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137,111</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209,806</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3"/>
        </w:trPr>
        <w:tc>
          <w:tcPr>
            <w:tcW w:w="4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Denominator for diluted EPS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47,554,336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45,485,375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46,902,574</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44,650,747</w:t>
            </w:r>
          </w:p>
        </w:tc>
        <w:tc>
          <w:tcPr>
            <w:tcW w:w="100" w:type="dxa"/>
            <w:vAlign w:val="bottom"/>
          </w:tcPr>
          <w:p>
            <w:pPr>
              <w:spacing w:after="0"/>
              <w:rPr>
                <w:sz w:val="17"/>
                <w:szCs w:val="17"/>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FF0FC"/>
          </w:tcPr>
          <w:p>
            <w:pPr>
              <w:spacing w:after="0"/>
              <w:rPr>
                <w:sz w:val="18"/>
                <w:szCs w:val="18"/>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-1305560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-1305560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-1305560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-1022350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-1022350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-1022350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-439420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-439420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760" w:right="20" w:hanging="378"/>
        <w:spacing w:after="0" w:line="261"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2026, there were 1,260,851 and 1,272,038 unvested performance-based LTIP units, respectively, that were not included in the computation of diluted EPS because to do so would have been antidilutive for the period. During both the three and nine months ended September 30, 2025, there were 1,025,177 unvested performance-based LTIP units that were not included in the computation of diluted EPS because to do so would have been antidilutive for the period.</w:t>
      </w:r>
    </w:p>
    <w:p>
      <w:pPr>
        <w:spacing w:after="0" w:line="28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lease commercial space to the U.S. Government through the GSA or other federal agencies, state and local governments or nongovernmental tenants. These leases may contain extension options that are predominately at the sole discretion of the tenant. Certain of our leases contain a “soft-term” period of the lease, meaning that the U.S. Government tenant agency has the right to terminate the lease prior to its stated lease end date. While certain of our leases are contractually subject to early termination, we do not believe that our tenant agencies are likely to terminate these leases early given the build-to-suit features at the properties subject to the leases, the weighted average age of these properties based on the date the property was built or renovated-to-suit, where applicable (approximately 21.3 years as of September 30, 2026), the mission-critical focus of the properties subject to the leases and the current level of operations at such properties. Certain lease agreements include variable lease payments that, in the future, will vary based on changes in inflationary measures, real estate tax rates, usage, or share of expenditures of the leased premises.</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we received lump sum reimbursements for FDA – Atlanta relating to the landlord improvements in excess of the U.S. Government’s tenant improvement allowance of $15.3 million. Total reimbursements received for the project as of September 30, 2026 are $153.4 million. We recorded the payments as Deferred revenue on our Consolidated Balance Sheet and amortize the payment over the life of the lease through Rental income.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sets forth our composition of lease revenue recognized between fixed and variable components (amounts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20" w:type="dxa"/>
            <w:vAlign w:val="bottom"/>
          </w:tcPr>
          <w:p>
            <w:pPr>
              <w:spacing w:after="0"/>
              <w:rPr>
                <w:sz w:val="16"/>
                <w:szCs w:val="16"/>
                <w:color w:val="auto"/>
              </w:rPr>
            </w:pPr>
          </w:p>
        </w:tc>
      </w:tr>
      <w:tr>
        <w:trPr>
          <w:trHeight w:val="196"/>
        </w:trPr>
        <w:tc>
          <w:tcPr>
            <w:tcW w:w="2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r>
      <w:tr>
        <w:trPr>
          <w:trHeight w:val="214"/>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w:t>
            </w:r>
          </w:p>
        </w:tc>
        <w:tc>
          <w:tcPr>
            <w:tcW w:w="26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83,408</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75,830</w:t>
            </w: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249,602</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221,896</w:t>
            </w:r>
          </w:p>
        </w:tc>
        <w:tc>
          <w:tcPr>
            <w:tcW w:w="120" w:type="dxa"/>
            <w:vAlign w:val="bottom"/>
            <w:shd w:val="clear" w:color="auto" w:fill="CFF0FC"/>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Variable</w:t>
            </w:r>
          </w:p>
        </w:tc>
        <w:tc>
          <w:tcPr>
            <w:tcW w:w="17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120" w:type="dxa"/>
            <w:vAlign w:val="bottom"/>
          </w:tcPr>
          <w:p>
            <w:pPr>
              <w:spacing w:after="0"/>
              <w:rPr>
                <w:sz w:val="18"/>
                <w:szCs w:val="18"/>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1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90,035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82,210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268,287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238,123</w:t>
            </w:r>
          </w:p>
        </w:tc>
        <w:tc>
          <w:tcPr>
            <w:tcW w:w="120" w:type="dxa"/>
            <w:vAlign w:val="bottom"/>
            <w:shd w:val="clear" w:color="auto" w:fill="CFF0FC"/>
          </w:tcPr>
          <w:p>
            <w:pPr>
              <w:spacing w:after="0"/>
              <w:rPr>
                <w:sz w:val="18"/>
                <w:szCs w:val="18"/>
                <w:color w:val="auto"/>
              </w:rPr>
            </w:pPr>
          </w:p>
        </w:tc>
      </w:tr>
      <w:tr>
        <w:trPr>
          <w:trHeight w:val="540"/>
        </w:trPr>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79"/>
        </w:trPr>
        <w:tc>
          <w:tcPr>
            <w:tcW w:w="27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lease corporate office space under operating lease arrangements in Washington, D.C., San Diego, CA and West Palm Beach, FL. The leases include variable lease payments that, in the future, will vary based on changes in real estate tax rates, usage, or share of expenditures of the leased premises. We have elected not to separate lease and non-lease components for our corporate office leases.</w:t>
      </w:r>
    </w:p>
    <w:p>
      <w:pPr>
        <w:spacing w:after="0" w:line="176"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the unamortized balances associated with our right-of-use operating lease asset and operating lease liability were $3.8 million and $4.3 million, respectively. We used our incremental borrowing rate, which was arrived at utilizing prevailing market rates and the spread on our revolving credit facility, in order to determine the net present value of the minimum lease payments.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for our commenced operating leases for the three and nine months ended September 30, 2026 and 2025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20" w:type="dxa"/>
            <w:vAlign w:val="bottom"/>
          </w:tcPr>
          <w:p>
            <w:pPr>
              <w:spacing w:after="0"/>
              <w:rPr>
                <w:sz w:val="15"/>
                <w:szCs w:val="15"/>
                <w:color w:val="auto"/>
              </w:rPr>
            </w:pPr>
          </w:p>
        </w:tc>
      </w:tr>
      <w:tr>
        <w:trPr>
          <w:trHeight w:val="196"/>
        </w:trPr>
        <w:tc>
          <w:tcPr>
            <w:tcW w:w="3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lease costs</w:t>
            </w:r>
          </w:p>
        </w:tc>
        <w:tc>
          <w:tcPr>
            <w:tcW w:w="194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2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203</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addition, the maturity of fixed lease payments under our commenced corporate office leases as of September 30, 2026 is summarized in the table below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office leases</w:t>
            </w:r>
          </w:p>
        </w:tc>
        <w:tc>
          <w:tcPr>
            <w:tcW w:w="27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Pr>
          <w:p>
            <w:pPr>
              <w:spacing w:after="0"/>
              <w:rPr>
                <w:sz w:val="15"/>
                <w:szCs w:val="15"/>
                <w:color w:val="auto"/>
              </w:rPr>
            </w:pPr>
          </w:p>
        </w:tc>
      </w:tr>
      <w:tr>
        <w:trPr>
          <w:trHeight w:val="209"/>
        </w:trPr>
        <w:tc>
          <w:tcPr>
            <w:tcW w:w="55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4"/>
                <w:szCs w:val="24"/>
                <w:color w:val="auto"/>
                <w:vertAlign w:val="superscript"/>
              </w:rPr>
              <w:t>(1)</w:t>
            </w:r>
          </w:p>
        </w:tc>
        <w:tc>
          <w:tcPr>
            <w:tcW w:w="2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8"/>
                <w:szCs w:val="18"/>
                <w:color w:val="auto"/>
              </w:rPr>
            </w:pPr>
          </w:p>
        </w:tc>
      </w:tr>
      <w:tr>
        <w:trPr>
          <w:trHeight w:val="209"/>
        </w:trPr>
        <w:tc>
          <w:tcPr>
            <w:tcW w:w="5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1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4,881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w:t>
            </w:r>
          </w:p>
        </w:tc>
      </w:tr>
      <w:tr>
        <w:trPr>
          <w:trHeight w:val="249"/>
        </w:trPr>
        <w:tc>
          <w:tcPr>
            <w:tcW w:w="5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Represents the three months ending December 31, 2026.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13. Revenue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revenue from tenant construction projects and the associated project management income disaggregated by tenant agency for the three and nine months ended September 30, 2026 and 2025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7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53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Joint Staff Command (“JSC”)</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54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5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Veterans Affairs (“VA”)</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and Drug Administration (“FDA”)</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Federal Bureau of Investigation (“FBI”)</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Revenue Service (“IRS”)</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the Treasury (“TREAS”)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Citizenship and Immigration Services (“USCIS”)</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Patent and Trademark Office (“PTO”)</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Department of Transportation (“DOT”)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The Judiciary of the U.S. Government (“JUD”)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National Weather Service (“NWS”)</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Forest Service (“USFS”)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Services Administration - Other</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U.S. Coast Guard (“USCG”)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Homeland Security Investigations (“HSI”)</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State of California (“CA”)</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Drug Enforcement Administration (“DEA”)</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Immigration and Customs Enforcement (“ICE”)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Protection Agency (“EPA”)</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Homeland Security (“DHS”)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Customs and Border Protection (“CBP”)</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4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balance in Accounts receivable related to tenant construction projects and the associated project management income was $2.4 million and $2.5 million, respectively, which is inclusive of contract assets or liabilities.</w:t>
      </w:r>
    </w:p>
    <w:p>
      <w:pPr>
        <w:spacing w:after="0" w:line="16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duration of the majority of tenant construction project reimbursement arrangements is less than a year and payment is typically due once a project is complete and work has been accepted by the tenant. There were no projects on-going as of September 30, 2026 with a duration of greater than one year.</w:t>
      </w:r>
    </w:p>
    <w:p>
      <w:pPr>
        <w:spacing w:after="0" w:line="176"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During the three and nine months ended September 30, 2026, we recognized $0.4 million and $1.1 million, respectively, in parking garage income. During the three and nine months ended September 30, 2025, we recognized $0.4 million and $0.8 million, respectively, in parking garage income. The monthly and transient daily parking revenue falls within the scope of Revenue from Contracts with Customers (“ASC 606”) and is accounted for at the point in time when control of the goods or services transfers to the customer and our performance obligation is satisfied. As of September 30, 2026 and December 31, 2025, the balance in Accounts receivable related to parking garage income was $0.1 million and $0.2 million, respectively.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Concentrations Risk</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Concentrations of credit risk arise for us when multiple of our tenants are engaged in similar business activities, are located in the same geographic region or have similar economic features that impact in a similar manner their ability to meet contractual obligations, including obligations owed to us. We regularly monitor our tenant base to assess potential concentrations of credit risk.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stated in Note 1 above, we lease commercial space to the U.S. Government or non-governmental tenants. At September 30, 2026, the U.S. Government accounted for approximately 86.5% of our total annualized lease income, state and local government tenants accounted for approximately 8.4% of our annualized lease income and non-governmental tenants accounted for the remaining approximately 5.1%.</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Seventeen of our 106 wholly-owned and unconsolidated operating properties are located in California, accounting for approximately 12.8% of our total leased square feet and approximately 16.6% of our total annualized lease income as of September 30, 2026. To the extent that weak economic or real estate conditions or natural disasters affect California more severely than other areas of the country, our business, financial condition and results of operations could be significantly impacted.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our operations are reported within one reportable and operating segment in the consolidated financial statements and all of our properties are included within this single reportable and operating segment (the “segment”).</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chief operating decision makers (“CODMs”) include our Chief Executive Officer and Chief Financial Officer as they are responsible for allocating resources, assessing performance and determining appropriate operating segments.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CODMs assess performance for the segment and decide how to allocate resources based on net income, which is reported on our Consolidated Statements of Operations as Net Income. The Consolidated Statements of Operations, inclusive of significant expenses, are provided to the CODMs for performance assessment. The CODMs use net income to evaluate income generated from our properties when deciding whether to reinvest profits into our assets or into other parts of the entity, such as for acquisitions or dividend payments. Net income is also used to monitor budgeted versus actual results. The CODMs also use net income in competitive analysis by benchmarking to our competitors. The competitive analysis, along with the monitoring of budgeted versus actual results, is used to assess the segment performance and to establish employee and management compensation.</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our Consolidated Balance Sheets as Total Assets. The accounting policies of the segment are the same as those described in our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reimbursement arrangements with entities controlled by our Chief Executive Officer and Vice Chairman, which provide for reimbursement of costs paid on our behalf, or those we pay on their behalf. During the three and nine months ended September 30, 2026, we were responsible for reimbursing costs of $0.2 million and $0.7 million, respectively, and received reimbursement for costs of less than $0.1 million for both periods. During the three and nine months ended September 30, 2025, we were responsible for reimbursing costs of $0.2 million and $0.7 million, respectively, and received reimbursement for costs of less than $0.1 million for both periods.</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provide asset management services to properties owned by the JV. For the three and nine months ended September 30, 2026, we recognized Asset management income of $0.7 million and $2.0 million, respectively, and reimbursement for certain costs that we paid on its behalf of less than $0.1 million and $0.8 million, respectively. For the three and nine months ended September 30, 2025, we recognized Asset management income of $0.6 million and $1.9 million, respectively, and reimbursement for certain costs that we paid on its behalf of $0.1 million and $0.7 million, respectively.</w:t>
      </w:r>
    </w:p>
    <w:p>
      <w:pPr>
        <w:spacing w:after="0" w:line="1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receivables from related parties were $0.2 million which was included within prepaid expenses and other assets on our balance sheet. As of September 30, 2026, there were no Accounts payable, accrued expenses or other liabilities owed to related parties.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our consolidated financial statements as of September 30, 2026, we evaluated subsequent events and noted the following significant events.</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October 2026, all significant construction activities were completed at the Florida Department of Law Enforcement laboratory facility in Fort Myers, Florida.</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22, 2026, we entered into four interest rate swaps which have an aggregate notional value of $200.0 million.</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We caution investors that forward-looking statements are based on management’s beliefs and on assumptions made by, and information currently available to, management. When used, the words “anticipate”, “believe”, “estimate”, “expect”, “intend”, “may”, “might”, “plan”, “potential”, “project”, “result”, “seek”, “should”, “target”, “will”, and similar expressions which do not relate solely to historical matters are intended to identify forward-looking statements. These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We expressly disclaim any responsibility to update our forward-looking statements, whether as a result of new information, future events, or otherwise. Accordingly, investors should use caution in relying on forward-looking statements, which are based on results and trends at the time they are made, to anticipate future results or trends.</w:t>
      </w:r>
    </w:p>
    <w:p>
      <w:pPr>
        <w:spacing w:after="0" w:line="192"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Some of the risks and uncertainties that may cause our actual results, performance, or achievements to differ materially from those expressed or implied by forward-looking statements include, among others, the following:</w:t>
      </w:r>
    </w:p>
    <w:p>
      <w:pPr>
        <w:spacing w:after="0" w:line="50" w:lineRule="exact"/>
        <w:rPr>
          <w:sz w:val="20"/>
          <w:szCs w:val="20"/>
          <w:color w:val="auto"/>
        </w:rPr>
      </w:pPr>
    </w:p>
    <w:p>
      <w:pPr>
        <w:ind w:left="1020" w:right="200" w:hanging="503"/>
        <w:spacing w:after="0" w:line="28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factors included under the heading “Risk Factors” in our Annual Report on Form 10-K for the year ended December 31, 2025 and the factors included under the heading “Risk Factors” in our other public filings;</w:t>
      </w:r>
    </w:p>
    <w:p>
      <w:pPr>
        <w:spacing w:after="0" w:line="50" w:lineRule="exact"/>
        <w:rPr>
          <w:rFonts w:ascii="Times New Roman" w:cs="Times New Roman" w:eastAsia="Times New Roman" w:hAnsi="Times New Roman"/>
          <w:sz w:val="18"/>
          <w:szCs w:val="18"/>
          <w:color w:val="auto"/>
        </w:rPr>
      </w:pPr>
    </w:p>
    <w:p>
      <w:pPr>
        <w:jc w:val="both"/>
        <w:ind w:left="1020" w:right="40" w:hanging="503"/>
        <w:spacing w:after="0" w:line="26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our dependence on the U.S. Government and its agencies for substantially all of our revenues, including credit risk and risk that the U.S. Government reduces its spending on real estate or that it changes its preference away from leased properties, including as a result of or in connection with any shutdown of the U.S. Government;</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ownership and development of real estate;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decreased rental rates or increased vacancy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loss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volatility of the capital and credit markets and the market price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we may lose one or more major tenants;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difficulties in completing and successfully integrating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of acquisitions or development projects to occur at anticipated levels or yield anticipated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actual or threatened terrorist attacks;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our joint venture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intense competition in the real estate market that may limit our ability to attract or retain tenants or re-lease space;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insufficient amounts of insurance or exposure to events that are either uninsured or underinsured;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uncertainties and risks related to adverse weather conditions, natural disasters and 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exposure to liability relating to environmental and health and safety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limited ability to dispose of assets because of the relative illiquidity of real estate investments and the nature of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exposure to litigation or other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breaches of our data security;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our indebtedness, including failure to refinance current or future indebtedness on favorable terms, or at all, failure to meet the restrictive covenants and requirements in our existing and new debt agreements, fluctuations in interest rates and increased costs to refinance or issue new debt;</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8" w:name="page29"/>
    <w:bookmarkEnd w:id="28"/>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derivatives or hedging activity;</w:t>
      </w:r>
    </w:p>
    <w:p>
      <w:pPr>
        <w:spacing w:after="0" w:line="11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mortgage debt or unsecured financing or the unavailability thereof, which could make it difficult to finance or refinance properties and could subject us to foreclosure; and</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impacts from any future pandemic, epidemic or outbreak of any highly infectious disease on the U.S., regional and global economies and our financial condition and results of operations.</w:t>
      </w:r>
    </w:p>
    <w:p>
      <w:pPr>
        <w:spacing w:after="0" w:line="158"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For a further discussion of these and other factors that could affect us and the statements contained herein, see the section entitled “Item 1A. Risk Factors” in our Annual Report on Form 10-K for the year ended December 31, 2025, as may be supplemented or amended from time to time.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References to “we,” “our,” “us” and “the Company” refer to Easterly Government Properties, Inc., a Maryland corporation, together with our consolidated subsidiaries, including Easterly Government Properties LP, a Delaware limited partnership, which we refer to herein as the “Operating Partnership.” We present certain financial information and metrics “at Easterly Share,” which is calculated on an entity-by-entity basis. “At Easterly Share” information, which we also refer to as being “at share,” “pro rata,” “our pro rata share” or “our share” is not, and is not intended to be, a presentation in accordance with accounting principles generally accepted in the United States of America (“GAAP”).</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an internally managed real estate investment trust (“REIT”), focused primarily on the acquisition, development and management of Class A commercial properties that are leased to U.S. Government agencies that serve essential functions. We generate over 85% of our revenue by leasing our properties to such agencies, either directly or through the U.S. General Services Administration (“GSA”). Our objective is to generate attractive risk-adjusted returns for our stockholders over the long term through dividends and capital appreciation.</w:t>
      </w:r>
    </w:p>
    <w:p>
      <w:pPr>
        <w:spacing w:after="0" w:line="180"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focus primarily on acquiring, developing and managing U.S. Government-leased properties that are essential to supporting the mission of the tenant agency and strive to be a partner of choice for the U.S. Government, working closely with the tenant agency to meet its needs and objectives. We continue to pursue opportunities to add properties to our portfolio, including acquiring properties leased to state and local governments with strong creditworthiness and other opportunities that directly or indirectly support the mission of select government agencies. As of September 30, 2026, we wholly owned 96 operating properties and ten operating properties through an unconsolidated joint venture (the “JV”) in the United States, encompassing approximately 10.7 million leased square feet (10.2 million pro rata), including 93 operating properties that were leased primarily to U.S. Government tenant agencies, eight operating properties leased primarily to tenant agencies of a U.S. state or local government and five operating properties that were entirely leased to private tenants. As of September 30, 2026, our operating properties were 98% leased. For purposes of calculating percentage leased, we exclude from the denominator total square feet that was unleased and to which we attributed no value at the time of acquisition. In addition, we wholly owned three properties under development that we expect will encompass approximately 0.2 million leased square feet upon completion.</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Operating Partnership holds substantially all of our assets and conducts substantially all of our business. We are the sole general partner of the Operating Partnership and owned approximately 96.7% of the aggregate limited partnership interests in the Operating Partnership, which we refer to herein as common units, as of September 30, 2026. We have elected to be taxed as a REIT and believe that we have operated and have been organized in conformity with the requirements for qualification and taxation as a REIT for U.S. federal income tax purposes commencing with our taxable year ended December 31, 2015.</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2026 Activity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On January 16, 2026, we acquired a 297,713 leased square foot campus consisting of three real estate operating properties in Glen Allen, Virginia.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are leased primarily to the Commonwealth of Virginia and have lease expirations ranging from 2027 to 2036.</w:t>
      </w:r>
    </w:p>
    <w:p>
      <w:pPr>
        <w:spacing w:after="0" w:line="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Operating Properties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our operating properties were 98% leased with a weighted average annualized lease income per leased square foot of $36.80 ($36.52 pro rata) and a weighted average age of approximately 17.4 years based on the date the property was built or renovated-to-suit, where applicable. We calculate annualized lease income as annualized contractual base rent for the last month in a specified period, plus the annualized straight line rent adjustments for the last month in such period and the annualized net expense reimbursements earned by us for the last month in such period.</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table set forth below shows information relating to the properties we owned, or in which we had an ownership interest, at September 30, 2026, and it includes properties held by the JV:</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Annualized</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per</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Propert</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Tenant Lease</w:t>
            </w: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Leased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Leased</w:t>
            </w:r>
          </w:p>
        </w:tc>
      </w:tr>
      <w:tr>
        <w:trPr>
          <w:trHeight w:val="175"/>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y</w:t>
            </w: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tcPr>
          <w:p>
            <w:pPr>
              <w:spacing w:after="0"/>
              <w:rPr>
                <w:sz w:val="15"/>
                <w:szCs w:val="15"/>
                <w:color w:val="auto"/>
              </w:rPr>
            </w:pPr>
          </w:p>
        </w:tc>
        <w:tc>
          <w:tcPr>
            <w:tcW w:w="1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Square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391"/>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92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w w:val="98"/>
              </w:rPr>
              <w:t>Square</w:t>
            </w:r>
          </w:p>
        </w:tc>
      </w:tr>
      <w:tr>
        <w:trPr>
          <w:trHeight w:val="246"/>
        </w:trPr>
        <w:tc>
          <w:tcPr>
            <w:tcW w:w="2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Property Name</w:t>
            </w:r>
          </w:p>
        </w:tc>
        <w:tc>
          <w:tcPr>
            <w:tcW w:w="100" w:type="dxa"/>
            <w:vAlign w:val="bottom"/>
          </w:tcPr>
          <w:p>
            <w:pPr>
              <w:spacing w:after="0"/>
              <w:rPr>
                <w:sz w:val="21"/>
                <w:szCs w:val="21"/>
                <w:color w:val="auto"/>
              </w:rPr>
            </w:pPr>
          </w:p>
        </w:tc>
        <w:tc>
          <w:tcPr>
            <w:tcW w:w="1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0"/>
              </w:rPr>
              <w:t xml:space="preserve">Type </w:t>
            </w:r>
            <w:r>
              <w:rPr>
                <w:rFonts w:ascii="Times New Roman" w:cs="Times New Roman" w:eastAsia="Times New Roman" w:hAnsi="Times New Roman"/>
                <w:sz w:val="21"/>
                <w:szCs w:val="21"/>
                <w:b w:val="1"/>
                <w:bCs w:val="1"/>
                <w:color w:val="auto"/>
                <w:w w:val="90"/>
                <w:vertAlign w:val="superscript"/>
              </w:rPr>
              <w:t>(1)</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Year </w:t>
            </w:r>
            <w:r>
              <w:rPr>
                <w:rFonts w:ascii="Times New Roman" w:cs="Times New Roman" w:eastAsia="Times New Roman" w:hAnsi="Times New Roman"/>
                <w:sz w:val="21"/>
                <w:szCs w:val="21"/>
                <w:b w:val="1"/>
                <w:bCs w:val="1"/>
                <w:color w:val="auto"/>
                <w:w w:val="96"/>
                <w:vertAlign w:val="superscript"/>
              </w:rPr>
              <w:t>(2)</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8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Foot</w:t>
            </w:r>
          </w:p>
        </w:tc>
        <w:tc>
          <w:tcPr>
            <w:tcW w:w="100" w:type="dxa"/>
            <w:vAlign w:val="bottom"/>
          </w:tcPr>
          <w:p>
            <w:pPr>
              <w:spacing w:after="0"/>
              <w:rPr>
                <w:sz w:val="21"/>
                <w:szCs w:val="21"/>
                <w:color w:val="auto"/>
              </w:rPr>
            </w:pPr>
          </w:p>
        </w:tc>
      </w:tr>
      <w:tr>
        <w:trPr>
          <w:trHeight w:val="209"/>
        </w:trPr>
        <w:tc>
          <w:tcPr>
            <w:tcW w:w="4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Wholly Owned U.S. Government Leased Properties</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VA - Loma Linda</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Loma Linda, CA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327,614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16,892,383</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51.56</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USCIS - Kansas City </w:t>
            </w:r>
            <w:r>
              <w:rPr>
                <w:rFonts w:ascii="Times New Roman" w:cs="Times New Roman" w:eastAsia="Times New Roman" w:hAnsi="Times New Roman"/>
                <w:sz w:val="24"/>
                <w:szCs w:val="24"/>
                <w:color w:val="auto"/>
                <w:vertAlign w:val="superscript"/>
              </w:rPr>
              <w:t>(3)</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Lee's Summit, MO</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2027 - 2042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417,945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10,452,533</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JSC - Suffolk</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Suffolk, VA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403,737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8,665,537</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Various GSA - Chicago</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Des Plaines, IL</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7,925,559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FDA - Atlanta</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Atlanta, GA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7,064,453</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IRS - Fresno</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Fresno, CA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180,481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7,043,219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Salt Lake</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Salt Lake City, UT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6,849,035</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Various GSA - Buffalo </w:t>
            </w:r>
            <w:r>
              <w:rPr>
                <w:rFonts w:ascii="Times New Roman" w:cs="Times New Roman" w:eastAsia="Times New Roman" w:hAnsi="Times New Roman"/>
                <w:sz w:val="24"/>
                <w:szCs w:val="24"/>
                <w:color w:val="auto"/>
                <w:vertAlign w:val="superscript"/>
              </w:rPr>
              <w:t>(4)</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Buffalo, NY</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2031-2039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251,236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6,784,857</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Various GSA - Portland </w:t>
            </w:r>
            <w:r>
              <w:rPr>
                <w:rFonts w:ascii="Times New Roman" w:cs="Times New Roman" w:eastAsia="Times New Roman" w:hAnsi="Times New Roman"/>
                <w:sz w:val="24"/>
                <w:szCs w:val="24"/>
                <w:color w:val="auto"/>
                <w:vertAlign w:val="superscript"/>
              </w:rPr>
              <w:t>(5)</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Portland, OR</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2027-2039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177,341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5,990,495</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 - San Jose</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 Jose, CA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90,085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5,812,834</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EPA - Lenexa</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Lenexa, KS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5,798,381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Tampa</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Tampa, FL</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5,385,768</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PTO - Arlington</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Arlington, VA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190,546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5,350,786</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FDA - Alameda</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Alameda, CA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69,624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5,099,184</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San Antonio</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Antonio, TX</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148,584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4,865,679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DEA - El Paso</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 Paso, TX</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203,683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4,825,010</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FEMA - Tracy</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Tracy, CA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4,668,336</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 - Parkersburg</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Parkersburg, WV</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4,440,650</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Mobile</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AL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4,364,100</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FDA - Lenexa</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Lenexa, KS</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4,297,893</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ICE - Dallas </w:t>
            </w:r>
            <w:r>
              <w:rPr>
                <w:rFonts w:ascii="Times New Roman" w:cs="Times New Roman" w:eastAsia="Times New Roman" w:hAnsi="Times New Roman"/>
                <w:sz w:val="24"/>
                <w:szCs w:val="24"/>
                <w:color w:val="auto"/>
                <w:vertAlign w:val="superscript"/>
              </w:rPr>
              <w:t>(6)</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Irving, TX</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2032 / 2040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4,285,579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Pittsburgh</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Pittsburgh, PA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4,272,250</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VA - South Bend</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Mishawaka, IN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4,260,909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Knoxville</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Knoxville, TN</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99,130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4,253,329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USCIS - Lincoln</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Lincoln, NE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4,220,772</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Omaha</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Omaha, NE</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112,196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4,011,855</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New Orleans</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Orleans, LA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3,923,663</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 - Mobile</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AL</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79,212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3,916,316</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Albany</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Albany, NY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3,657,678</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DOT - Lakewood</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Lakewood, CO</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3,622,432</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Birmingham</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Birmingham, AL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3,621,989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EPA - Kansas City</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Kansas City, KS</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3,604,587</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Little Rock</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Little Rock, AR</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3,512,528</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 - Chico</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Chico, CA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3,389,051</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00" w:type="dxa"/>
            <w:vAlign w:val="bottom"/>
            <w:shd w:val="clear" w:color="auto" w:fill="CFF0FC"/>
          </w:tcPr>
          <w:p>
            <w:pPr>
              <w:spacing w:after="0"/>
              <w:rPr>
                <w:sz w:val="18"/>
                <w:szCs w:val="18"/>
                <w:color w:val="auto"/>
              </w:rPr>
            </w:pPr>
          </w:p>
        </w:tc>
      </w:tr>
      <w:tr>
        <w:trPr>
          <w:trHeight w:val="540"/>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Annualized</w:t>
            </w:r>
          </w:p>
        </w:tc>
      </w:t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8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Income per</w:t>
            </w:r>
          </w:p>
        </w:tc>
      </w:t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Propert</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Tenant Lease</w:t>
            </w:r>
          </w:p>
        </w:tc>
        <w:tc>
          <w:tcPr>
            <w:tcW w:w="2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Leased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2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Leased</w:t>
            </w:r>
          </w:p>
        </w:tc>
      </w:tr>
      <w:tr>
        <w:trPr>
          <w:trHeight w:val="175"/>
        </w:trPr>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y</w:t>
            </w:r>
          </w:p>
        </w:tc>
        <w:tc>
          <w:tcPr>
            <w:tcW w:w="100" w:type="dxa"/>
            <w:vAlign w:val="bottom"/>
          </w:tcPr>
          <w:p>
            <w:pPr>
              <w:spacing w:after="0"/>
              <w:rPr>
                <w:sz w:val="15"/>
                <w:szCs w:val="15"/>
                <w:color w:val="auto"/>
              </w:rPr>
            </w:pPr>
          </w:p>
        </w:tc>
        <w:tc>
          <w:tcPr>
            <w:tcW w:w="11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Square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11"/>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220" w:type="dxa"/>
            <w:vAlign w:val="bottom"/>
          </w:tcPr>
          <w:p>
            <w:pPr>
              <w:spacing w:after="0"/>
              <w:rPr>
                <w:sz w:val="15"/>
                <w:szCs w:val="15"/>
                <w:color w:val="auto"/>
              </w:rPr>
            </w:pPr>
          </w:p>
        </w:tc>
        <w:tc>
          <w:tcPr>
            <w:tcW w:w="10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98"/>
              </w:rPr>
              <w:t>Square</w:t>
            </w:r>
          </w:p>
        </w:tc>
      </w:tr>
      <w:tr>
        <w:trPr>
          <w:trHeight w:val="246"/>
        </w:trPr>
        <w:tc>
          <w:tcPr>
            <w:tcW w:w="2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Property Name</w:t>
            </w:r>
          </w:p>
        </w:tc>
        <w:tc>
          <w:tcPr>
            <w:tcW w:w="120" w:type="dxa"/>
            <w:vAlign w:val="bottom"/>
          </w:tcPr>
          <w:p>
            <w:pPr>
              <w:spacing w:after="0"/>
              <w:rPr>
                <w:sz w:val="21"/>
                <w:szCs w:val="21"/>
                <w:color w:val="auto"/>
              </w:rPr>
            </w:pPr>
          </w:p>
        </w:tc>
        <w:tc>
          <w:tcPr>
            <w:tcW w:w="1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 xml:space="preserve">Type </w:t>
            </w:r>
            <w:r>
              <w:rPr>
                <w:rFonts w:ascii="Times New Roman" w:cs="Times New Roman" w:eastAsia="Times New Roman" w:hAnsi="Times New Roman"/>
                <w:sz w:val="21"/>
                <w:szCs w:val="21"/>
                <w:b w:val="1"/>
                <w:bCs w:val="1"/>
                <w:color w:val="auto"/>
                <w:w w:val="94"/>
                <w:vertAlign w:val="superscript"/>
              </w:rPr>
              <w:t>(1)</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 xml:space="preserve">Year </w:t>
            </w:r>
            <w:r>
              <w:rPr>
                <w:rFonts w:ascii="Times New Roman" w:cs="Times New Roman" w:eastAsia="Times New Roman" w:hAnsi="Times New Roman"/>
                <w:sz w:val="21"/>
                <w:szCs w:val="21"/>
                <w:b w:val="1"/>
                <w:bCs w:val="1"/>
                <w:color w:val="auto"/>
                <w:w w:val="92"/>
                <w:vertAlign w:val="superscript"/>
              </w:rPr>
              <w:t>(2)</w:t>
            </w: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Foot</w:t>
            </w:r>
          </w:p>
        </w:tc>
        <w:tc>
          <w:tcPr>
            <w:tcW w:w="120" w:type="dxa"/>
            <w:vAlign w:val="bottom"/>
          </w:tcPr>
          <w:p>
            <w:pPr>
              <w:spacing w:after="0"/>
              <w:rPr>
                <w:sz w:val="21"/>
                <w:szCs w:val="21"/>
                <w:color w:val="auto"/>
              </w:rPr>
            </w:pPr>
          </w:p>
        </w:tc>
      </w:tr>
      <w:tr>
        <w:trPr>
          <w:trHeight w:val="209"/>
        </w:trPr>
        <w:tc>
          <w:tcPr>
            <w:tcW w:w="48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Wholly Owned U.S. Government Leased Properties (Cont.)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FBI - Richmond</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Richmond, VA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3,369,153</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USFS II - Albuquerque</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Albuquerque, NM</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3,351,215</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ICE - Charleston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North Charleston, SC</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3,262,630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Sterling</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Sterling, VA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3,238,759</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JUD - Del Rio</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Del Rio, TX</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3,216,180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USCIS - Tustin</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Tustin,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66,818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3,198,547</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DEA - Vista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Vista, CA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3,175,630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 - Indianapolis</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Brownsburg, IN</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3,051,338</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VA - Orange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Orange, CT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2,961,653</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SSA - Charleston</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Charleston, WV</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2,912,001</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ICE - Albuquerque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Albuquerque, NM</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2,886,242</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JUD - El Centro</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El Centro,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2,843,624</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DEA - Dallas Lab</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Dallas, TX</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2,840,432</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Pleasanton</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Pleasanton,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2,803,986</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DHS - Burlington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Williston, VT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2,792,800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Upper Marlboro</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Upper Marlboro, MD</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50,978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2,789,546</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DEA - Dallas</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Dallas, TX</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2,742,744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NARA - Broomfield</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Broomfield, CO</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161,730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2,684,946</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JUD - Jackson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Jackson, TN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2,680,097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 - Birmingham</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Birmingham, AL</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2,647,284</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DHS - Atlanta </w:t>
            </w:r>
            <w:r>
              <w:rPr>
                <w:rFonts w:ascii="Times New Roman" w:cs="Times New Roman" w:eastAsia="Times New Roman" w:hAnsi="Times New Roman"/>
                <w:sz w:val="24"/>
                <w:szCs w:val="24"/>
                <w:color w:val="auto"/>
                <w:vertAlign w:val="superscript"/>
              </w:rPr>
              <w:t>(7)</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Atlanta, GA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2031 - 2038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2,635,485</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USAO - Louisville</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Louisville, KY</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2,566,248</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JUD - Charleston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Charleston, SC</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2,491,927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IRS - Ogden</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Ogden, UT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2,394,006</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CBP - Savannah</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Savannah, GA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2,337,990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Various GSA - Cleveland </w:t>
            </w:r>
            <w:r>
              <w:rPr>
                <w:rFonts w:ascii="Times New Roman" w:cs="Times New Roman" w:eastAsia="Times New Roman" w:hAnsi="Times New Roman"/>
                <w:sz w:val="24"/>
                <w:szCs w:val="24"/>
                <w:color w:val="auto"/>
                <w:vertAlign w:val="superscript"/>
              </w:rPr>
              <w:t>(8)</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Brooklyn Heights, OH</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2028 - 2040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2,267,525</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NWS - Kansas City</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Kansas City, MO</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2,180,189</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ICE - Orlando</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Orlando, FL</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2,136,063</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DEA - Santa Ana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Santa Ana, CA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2,070,469</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GSA - Clarksburg</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Clarksburg, WV</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1,958,481</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JUD - Aberdeen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Aberdeen, MS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1,948,573</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North Highlands</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Sacramento,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1,907,525</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NPS - Omaha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Omaha, NE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1,899,374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Riverside</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Riverside,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1,889,093</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VA - Golden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Golden, CO</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1,849,540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JUD - Newport News</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Newport News, VA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1,692,492</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USCG - Martinsburg</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Martinsburg, WV</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1,652,084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Birmingham</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Birmingham, AL</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1,632,111</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JUD - Council Bluffs</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Council Bluffs, IA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1,430,087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USAO - Springfield</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Springfield, IL</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1,408,680</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VA - Charleston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North Charleston, SC</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1,389,771</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Albany</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Albany, NY</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1,198,254</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HSI - Orlando</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Orlando, FL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1,123,185</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SSA - Dallas</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Dallas, TX</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1,083,262</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20" w:type="dxa"/>
            <w:vAlign w:val="bottom"/>
            <w:shd w:val="clear" w:color="auto" w:fill="CFF0FC"/>
          </w:tcPr>
          <w:p>
            <w:pPr>
              <w:spacing w:after="0"/>
              <w:rPr>
                <w:sz w:val="18"/>
                <w:szCs w:val="18"/>
                <w:color w:val="auto"/>
              </w:rPr>
            </w:pPr>
          </w:p>
        </w:tc>
      </w:tr>
      <w:tr>
        <w:trPr>
          <w:trHeight w:val="540"/>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79"/>
        </w:trPr>
        <w:tc>
          <w:tcPr>
            <w:tcW w:w="2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Annualized</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Income per</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Propert</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Tenant Lease</w:t>
            </w: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Leased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120" w:type="dxa"/>
            <w:vAlign w:val="bottom"/>
          </w:tcPr>
          <w:p>
            <w:pPr>
              <w:spacing w:after="0"/>
              <w:rPr>
                <w:sz w:val="17"/>
                <w:szCs w:val="17"/>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Leased</w:t>
            </w:r>
          </w:p>
        </w:tc>
      </w:tr>
      <w:tr>
        <w:trPr>
          <w:trHeight w:val="175"/>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y</w:t>
            </w: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tcPr>
          <w:p>
            <w:pPr>
              <w:spacing w:after="0"/>
              <w:rPr>
                <w:sz w:val="15"/>
                <w:szCs w:val="15"/>
                <w:color w:val="auto"/>
              </w:rPr>
            </w:pPr>
          </w:p>
        </w:tc>
        <w:tc>
          <w:tcPr>
            <w:tcW w:w="1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Square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391"/>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w w:val="98"/>
              </w:rPr>
              <w:t>Square</w:t>
            </w:r>
          </w:p>
        </w:tc>
      </w:tr>
      <w:tr>
        <w:trPr>
          <w:trHeight w:val="246"/>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Property Name</w:t>
            </w:r>
          </w:p>
        </w:tc>
        <w:tc>
          <w:tcPr>
            <w:tcW w:w="100" w:type="dxa"/>
            <w:vAlign w:val="bottom"/>
          </w:tcPr>
          <w:p>
            <w:pPr>
              <w:spacing w:after="0"/>
              <w:rPr>
                <w:sz w:val="21"/>
                <w:szCs w:val="21"/>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0"/>
              </w:rPr>
              <w:t xml:space="preserve">Type </w:t>
            </w:r>
            <w:r>
              <w:rPr>
                <w:rFonts w:ascii="Times New Roman" w:cs="Times New Roman" w:eastAsia="Times New Roman" w:hAnsi="Times New Roman"/>
                <w:sz w:val="21"/>
                <w:szCs w:val="21"/>
                <w:b w:val="1"/>
                <w:bCs w:val="1"/>
                <w:color w:val="auto"/>
                <w:w w:val="90"/>
                <w:vertAlign w:val="superscript"/>
              </w:rPr>
              <w:t>(1)</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Year </w:t>
            </w:r>
            <w:r>
              <w:rPr>
                <w:rFonts w:ascii="Times New Roman" w:cs="Times New Roman" w:eastAsia="Times New Roman" w:hAnsi="Times New Roman"/>
                <w:sz w:val="21"/>
                <w:szCs w:val="21"/>
                <w:b w:val="1"/>
                <w:bCs w:val="1"/>
                <w:color w:val="auto"/>
                <w:w w:val="96"/>
                <w:vertAlign w:val="superscript"/>
              </w:rPr>
              <w:t>(2)</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Foot</w:t>
            </w:r>
          </w:p>
        </w:tc>
        <w:tc>
          <w:tcPr>
            <w:tcW w:w="100" w:type="dxa"/>
            <w:vAlign w:val="bottom"/>
          </w:tcPr>
          <w:p>
            <w:pPr>
              <w:spacing w:after="0"/>
              <w:rPr>
                <w:sz w:val="21"/>
                <w:szCs w:val="21"/>
                <w:color w:val="auto"/>
              </w:rPr>
            </w:pPr>
          </w:p>
        </w:tc>
      </w:tr>
      <w:tr>
        <w:trPr>
          <w:trHeight w:val="209"/>
        </w:trPr>
        <w:tc>
          <w:tcPr>
            <w:tcW w:w="4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Wholly Owned U.S. Government Leased Properties (Cont.)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JUD - South Bend</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Bend, IN</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837,437</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ICE - Louisville</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Louisville, KY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782,609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San Diego</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 Diego, CA</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569,961</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DEA - Bakersfield</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Bakersfield, CA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502,549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SSA - San Diego</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 Diego, CA</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458,846</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shd w:val="clear" w:color="auto" w:fill="CFF0FC"/>
          </w:tcPr>
          <w:p>
            <w:pPr>
              <w:spacing w:after="0"/>
              <w:rPr>
                <w:sz w:val="18"/>
                <w:szCs w:val="18"/>
                <w:color w:val="auto"/>
              </w:rPr>
            </w:pPr>
          </w:p>
        </w:tc>
      </w:tr>
      <w:tr>
        <w:trPr>
          <w:trHeight w:val="20"/>
        </w:trPr>
        <w:tc>
          <w:tcPr>
            <w:tcW w:w="2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8,064,666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294,872,253</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Pr>
          <w:p>
            <w:pPr>
              <w:spacing w:after="0"/>
              <w:rPr>
                <w:sz w:val="18"/>
                <w:szCs w:val="18"/>
                <w:color w:val="auto"/>
              </w:rPr>
            </w:pPr>
          </w:p>
        </w:tc>
      </w:tr>
      <w:tr>
        <w:trPr>
          <w:trHeight w:val="210"/>
        </w:trPr>
        <w:tc>
          <w:tcPr>
            <w:tcW w:w="2320" w:type="dxa"/>
            <w:vAlign w:val="bottom"/>
            <w:gridSpan w:val="2"/>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Wholly Owned State and Local Government Property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DC - Capitol Plaza </w:t>
            </w:r>
            <w:r>
              <w:rPr>
                <w:rFonts w:ascii="Times New Roman" w:cs="Times New Roman" w:eastAsia="Times New Roman" w:hAnsi="Times New Roman"/>
                <w:sz w:val="24"/>
                <w:szCs w:val="24"/>
                <w:color w:val="auto"/>
                <w:vertAlign w:val="superscript"/>
              </w:rPr>
              <w:t>(9)</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Washington, DC</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2027 - 2038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280,485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17,593,797</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Wake County III - Cary </w:t>
            </w:r>
            <w:r>
              <w:rPr>
                <w:rFonts w:ascii="Times New Roman" w:cs="Times New Roman" w:eastAsia="Times New Roman" w:hAnsi="Times New Roman"/>
                <w:sz w:val="24"/>
                <w:szCs w:val="24"/>
                <w:color w:val="auto"/>
                <w:vertAlign w:val="superscript"/>
              </w:rPr>
              <w:t>(10)</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Cary, NC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 / 2034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113,722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3,508,330</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 - Anaheim</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Anaheim, CA</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 / 2034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95,273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3,364,379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SVA - Glen Allen I</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Glen Allen, VA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3,100,670</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Wake County II - Cary</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Cary, NC</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98,340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3,007,735</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NM - Albuquerque</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Albuquerque, NM</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2,342,930</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Wake County I - Cary</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Cary, NC</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75,401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2,226,569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SVA - Glen Allen II</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Glen Allen, VA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1,094,415</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918,291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36,238,825</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shd w:val="clear" w:color="auto" w:fill="CFF0FC"/>
          </w:tcPr>
          <w:p>
            <w:pPr>
              <w:spacing w:after="0"/>
              <w:rPr>
                <w:sz w:val="18"/>
                <w:szCs w:val="18"/>
                <w:color w:val="auto"/>
              </w:rPr>
            </w:pPr>
          </w:p>
        </w:tc>
      </w:tr>
      <w:tr>
        <w:trPr>
          <w:trHeight w:val="209"/>
        </w:trPr>
        <w:tc>
          <w:tcPr>
            <w:tcW w:w="2320" w:type="dxa"/>
            <w:vAlign w:val="bottom"/>
            <w:tcBorders>
              <w:top w:val="single" w:sz="8" w:color="CFF0FC"/>
            </w:tcBorders>
            <w:gridSpan w:val="2"/>
          </w:tcPr>
          <w:p>
            <w:pPr>
              <w:spacing w:after="0"/>
              <w:rPr>
                <w:sz w:val="18"/>
                <w:szCs w:val="18"/>
                <w:color w:val="auto"/>
              </w:rPr>
            </w:pPr>
          </w:p>
        </w:tc>
        <w:tc>
          <w:tcPr>
            <w:tcW w:w="18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Wholly Owned Privately Leased Property</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York Space Systems -</w:t>
            </w: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138,125</w:t>
            </w:r>
          </w:p>
        </w:tc>
        <w:tc>
          <w:tcPr>
            <w:tcW w:w="3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4,719,588</w:t>
            </w:r>
          </w:p>
        </w:tc>
        <w:tc>
          <w:tcPr>
            <w:tcW w:w="138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17"/>
                <w:szCs w:val="17"/>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Greenwood Village</w:t>
            </w:r>
          </w:p>
        </w:tc>
        <w:tc>
          <w:tcPr>
            <w:tcW w:w="10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Greenwood Village, CO</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SVA - Glen Allen III </w:t>
            </w:r>
            <w:r>
              <w:rPr>
                <w:rFonts w:ascii="Times New Roman" w:cs="Times New Roman" w:eastAsia="Times New Roman" w:hAnsi="Times New Roman"/>
                <w:sz w:val="24"/>
                <w:szCs w:val="24"/>
                <w:color w:val="auto"/>
                <w:vertAlign w:val="superscript"/>
              </w:rPr>
              <w:t>(11)</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Glen Allen, VA</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2027 - 2031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124,066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2,975,104</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Northrop Grumman - Dayton</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Beavercreek, OH</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2,588,312</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Northrop Grumman - Aurora</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Aurora, CO</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104,136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2,368,386</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FF0FC"/>
          </w:tcPr>
          <w:p>
            <w:pPr>
              <w:spacing w:after="0"/>
              <w:rPr>
                <w:sz w:val="18"/>
                <w:szCs w:val="18"/>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501 East Hunter Street -</w:t>
            </w: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70,078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410,164</w:t>
            </w:r>
          </w:p>
        </w:tc>
        <w:tc>
          <w:tcPr>
            <w:tcW w:w="138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7"/>
                <w:szCs w:val="17"/>
                <w:color w:val="auto"/>
              </w:rPr>
            </w:pPr>
          </w:p>
        </w:tc>
        <w:tc>
          <w:tcPr>
            <w:tcW w:w="7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7"/>
                <w:szCs w:val="17"/>
                <w:color w:val="auto"/>
              </w:rPr>
            </w:pPr>
          </w:p>
        </w:tc>
      </w:t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Lummus Corporation</w:t>
            </w:r>
          </w:p>
        </w:tc>
        <w:tc>
          <w:tcPr>
            <w:tcW w:w="1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Lubbock, TX</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535,651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13,061,554</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shd w:val="clear" w:color="auto" w:fill="CFF0FC"/>
          </w:tcPr>
          <w:p>
            <w:pPr>
              <w:spacing w:after="0"/>
              <w:rPr>
                <w:sz w:val="18"/>
                <w:szCs w:val="18"/>
                <w:color w:val="auto"/>
              </w:rPr>
            </w:pPr>
          </w:p>
        </w:tc>
      </w:tr>
      <w:tr>
        <w:trPr>
          <w:trHeight w:val="209"/>
        </w:trPr>
        <w:tc>
          <w:tcPr>
            <w:tcW w:w="2320" w:type="dxa"/>
            <w:vAlign w:val="bottom"/>
            <w:tcBorders>
              <w:top w:val="single" w:sz="8" w:color="CFF0FC"/>
            </w:tcBorders>
            <w:gridSpan w:val="2"/>
          </w:tcPr>
          <w:p>
            <w:pPr>
              <w:spacing w:after="0"/>
              <w:rPr>
                <w:sz w:val="18"/>
                <w:szCs w:val="18"/>
                <w:color w:val="auto"/>
              </w:rPr>
            </w:pPr>
          </w:p>
        </w:tc>
        <w:tc>
          <w:tcPr>
            <w:tcW w:w="18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0"/>
        </w:trPr>
        <w:tc>
          <w:tcPr>
            <w:tcW w:w="4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Wholly Owned Properties Total / Weighted Average</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9,518,608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344,172,632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shd w:val="clear" w:color="auto" w:fill="CFF0FC"/>
          </w:tcPr>
          <w:p>
            <w:pPr>
              <w:spacing w:after="0"/>
              <w:rPr>
                <w:sz w:val="19"/>
                <w:szCs w:val="19"/>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-3368040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-3368040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-3368040</wp:posOffset>
            </wp:positionV>
            <wp:extent cx="1117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-1696720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-1696720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-1696720</wp:posOffset>
            </wp:positionV>
            <wp:extent cx="1117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-316230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-316230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wp:posOffset>
            </wp:positionV>
            <wp:extent cx="1117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1117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1117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Annualize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per</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Propert</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Tenant Lease</w:t>
            </w:r>
          </w:p>
        </w:tc>
        <w:tc>
          <w:tcPr>
            <w:tcW w:w="2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Leased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2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10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Leased</w:t>
            </w:r>
          </w:p>
        </w:tc>
      </w:tr>
      <w:tr>
        <w:trPr>
          <w:trHeight w:val="175"/>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y</w:t>
            </w:r>
          </w:p>
        </w:tc>
        <w:tc>
          <w:tcPr>
            <w:tcW w:w="120" w:type="dxa"/>
            <w:vAlign w:val="bottom"/>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Square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52"/>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220" w:type="dxa"/>
            <w:vAlign w:val="bottom"/>
          </w:tcPr>
          <w:p>
            <w:pPr>
              <w:spacing w:after="0"/>
              <w:rPr>
                <w:sz w:val="15"/>
                <w:szCs w:val="15"/>
                <w:color w:val="auto"/>
              </w:rPr>
            </w:pPr>
          </w:p>
        </w:tc>
        <w:tc>
          <w:tcPr>
            <w:tcW w:w="114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Square</w:t>
            </w:r>
          </w:p>
        </w:tc>
      </w:tr>
      <w:tr>
        <w:trPr>
          <w:trHeight w:val="246"/>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Property Name</w:t>
            </w:r>
          </w:p>
        </w:tc>
        <w:tc>
          <w:tcPr>
            <w:tcW w:w="120" w:type="dxa"/>
            <w:vAlign w:val="bottom"/>
          </w:tcPr>
          <w:p>
            <w:pPr>
              <w:spacing w:after="0"/>
              <w:rPr>
                <w:sz w:val="21"/>
                <w:szCs w:val="21"/>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 xml:space="preserve">Type </w:t>
            </w:r>
            <w:r>
              <w:rPr>
                <w:rFonts w:ascii="Times New Roman" w:cs="Times New Roman" w:eastAsia="Times New Roman" w:hAnsi="Times New Roman"/>
                <w:sz w:val="21"/>
                <w:szCs w:val="21"/>
                <w:b w:val="1"/>
                <w:bCs w:val="1"/>
                <w:color w:val="auto"/>
                <w:w w:val="94"/>
                <w:vertAlign w:val="superscript"/>
              </w:rPr>
              <w:t>(1)</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Year </w:t>
            </w:r>
            <w:r>
              <w:rPr>
                <w:rFonts w:ascii="Times New Roman" w:cs="Times New Roman" w:eastAsia="Times New Roman" w:hAnsi="Times New Roman"/>
                <w:sz w:val="21"/>
                <w:szCs w:val="21"/>
                <w:b w:val="1"/>
                <w:bCs w:val="1"/>
                <w:color w:val="auto"/>
                <w:w w:val="96"/>
                <w:vertAlign w:val="superscript"/>
              </w:rPr>
              <w:t>(2)</w:t>
            </w: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Feet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Foot</w:t>
            </w:r>
          </w:p>
        </w:tc>
        <w:tc>
          <w:tcPr>
            <w:tcW w:w="100" w:type="dxa"/>
            <w:vAlign w:val="bottom"/>
          </w:tcPr>
          <w:p>
            <w:pPr>
              <w:spacing w:after="0"/>
              <w:rPr>
                <w:sz w:val="21"/>
                <w:szCs w:val="21"/>
                <w:color w:val="auto"/>
              </w:rPr>
            </w:pPr>
          </w:p>
        </w:tc>
      </w:tr>
      <w:tr>
        <w:trPr>
          <w:trHeight w:val="209"/>
        </w:trPr>
        <w:tc>
          <w:tcPr>
            <w:tcW w:w="62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Unconsolidated Real Estate Venture U.S. Government Leased Properties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Phoenix </w:t>
            </w:r>
            <w:r>
              <w:rPr>
                <w:rFonts w:ascii="Times New Roman" w:cs="Times New Roman" w:eastAsia="Times New Roman" w:hAnsi="Times New Roman"/>
                <w:sz w:val="24"/>
                <w:szCs w:val="24"/>
                <w:color w:val="auto"/>
                <w:vertAlign w:val="superscript"/>
              </w:rPr>
              <w:t>(12)</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Phoenix, AZ</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257,294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10,850,231</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8"/>
                <w:szCs w:val="18"/>
                <w:color w:val="auto"/>
              </w:rPr>
            </w:pPr>
          </w:p>
        </w:tc>
      </w:tr>
      <w:tr>
        <w:trPr>
          <w:trHeight w:val="216"/>
        </w:trPr>
        <w:tc>
          <w:tcPr>
            <w:tcW w:w="2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San Antonio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San Antonio, TX</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9,271,825</w:t>
            </w: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FF0FC"/>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Jacksonville </w:t>
            </w:r>
            <w:r>
              <w:rPr>
                <w:rFonts w:ascii="Times New Roman" w:cs="Times New Roman" w:eastAsia="Times New Roman" w:hAnsi="Times New Roman"/>
                <w:sz w:val="24"/>
                <w:szCs w:val="24"/>
                <w:color w:val="auto"/>
                <w:vertAlign w:val="superscript"/>
              </w:rPr>
              <w:t>(12)</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FL</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7,731,086</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Pr>
          <w:p>
            <w:pPr>
              <w:spacing w:after="0"/>
              <w:rPr>
                <w:sz w:val="18"/>
                <w:szCs w:val="18"/>
                <w:color w:val="auto"/>
              </w:rPr>
            </w:pPr>
          </w:p>
        </w:tc>
      </w:tr>
      <w:tr>
        <w:trPr>
          <w:trHeight w:val="216"/>
        </w:trPr>
        <w:tc>
          <w:tcPr>
            <w:tcW w:w="2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Chattanooga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Chattanooga, TN</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4,310,316</w:t>
            </w: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shd w:val="clear" w:color="auto" w:fill="CFF0FC"/>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Lubbock </w:t>
            </w:r>
            <w:r>
              <w:rPr>
                <w:rFonts w:ascii="Times New Roman" w:cs="Times New Roman" w:eastAsia="Times New Roman" w:hAnsi="Times New Roman"/>
                <w:sz w:val="24"/>
                <w:szCs w:val="24"/>
                <w:color w:val="auto"/>
                <w:vertAlign w:val="superscript"/>
              </w:rPr>
              <w:t>(12) (13)</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Lubbock, TX</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4,250,332</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Pr>
          <w:p>
            <w:pPr>
              <w:spacing w:after="0"/>
              <w:rPr>
                <w:sz w:val="18"/>
                <w:szCs w:val="18"/>
                <w:color w:val="auto"/>
              </w:rPr>
            </w:pPr>
          </w:p>
        </w:tc>
      </w:tr>
      <w:tr>
        <w:trPr>
          <w:trHeight w:val="216"/>
        </w:trPr>
        <w:tc>
          <w:tcPr>
            <w:tcW w:w="2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Marietta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Marietta, GA</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3,880,745</w:t>
            </w: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shd w:val="clear" w:color="auto" w:fill="CFF0FC"/>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Birmingham </w:t>
            </w:r>
            <w:r>
              <w:rPr>
                <w:rFonts w:ascii="Times New Roman" w:cs="Times New Roman" w:eastAsia="Times New Roman" w:hAnsi="Times New Roman"/>
                <w:sz w:val="24"/>
                <w:szCs w:val="24"/>
                <w:color w:val="auto"/>
                <w:vertAlign w:val="superscript"/>
              </w:rPr>
              <w:t>(12)</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Irondale, AL</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3,212,594</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18"/>
                <w:szCs w:val="18"/>
                <w:color w:val="auto"/>
              </w:rPr>
            </w:pPr>
          </w:p>
        </w:tc>
      </w:tr>
      <w:tr>
        <w:trPr>
          <w:trHeight w:val="216"/>
        </w:trPr>
        <w:tc>
          <w:tcPr>
            <w:tcW w:w="2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Corpus Christi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Corpus Christi, TX</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2,994,311</w:t>
            </w: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FF0FC"/>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Columbus </w:t>
            </w:r>
            <w:r>
              <w:rPr>
                <w:rFonts w:ascii="Times New Roman" w:cs="Times New Roman" w:eastAsia="Times New Roman" w:hAnsi="Times New Roman"/>
                <w:sz w:val="24"/>
                <w:szCs w:val="24"/>
                <w:color w:val="auto"/>
                <w:vertAlign w:val="superscript"/>
              </w:rPr>
              <w:t>(12)</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Columbus, GA</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2,981,857</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Pr>
          <w:p>
            <w:pPr>
              <w:spacing w:after="0"/>
              <w:rPr>
                <w:sz w:val="18"/>
                <w:szCs w:val="18"/>
                <w:color w:val="auto"/>
              </w:rPr>
            </w:pPr>
          </w:p>
        </w:tc>
      </w:tr>
      <w:tr>
        <w:trPr>
          <w:trHeight w:val="216"/>
        </w:trPr>
        <w:tc>
          <w:tcPr>
            <w:tcW w:w="2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Lenexa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Lenexa, KS</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1,347,188</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shd w:val="clear" w:color="auto" w:fill="CFF0FC"/>
          </w:tcPr>
          <w:p>
            <w:pPr>
              <w:spacing w:after="0"/>
              <w:rPr>
                <w:sz w:val="18"/>
                <w:szCs w:val="18"/>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50,830,485</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tcPr>
          <w:p>
            <w:pPr>
              <w:spacing w:after="0"/>
              <w:rPr>
                <w:sz w:val="18"/>
                <w:szCs w:val="18"/>
                <w:color w:val="auto"/>
              </w:rPr>
            </w:pPr>
          </w:p>
        </w:tc>
      </w:tr>
      <w:tr>
        <w:trPr>
          <w:trHeight w:val="210"/>
        </w:trPr>
        <w:tc>
          <w:tcPr>
            <w:tcW w:w="24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 Weighted Average</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10,732,773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395,003,117</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r>
              <w:rPr>
                <w:rFonts w:ascii="Times New Roman" w:cs="Times New Roman" w:eastAsia="Times New Roman" w:hAnsi="Times New Roman"/>
                <w:sz w:val="18"/>
                <w:szCs w:val="18"/>
                <w:u w:val="single" w:color="auto"/>
                <w:color w:val="auto"/>
              </w:rPr>
              <w:t>80</w:t>
            </w:r>
          </w:p>
        </w:tc>
        <w:tc>
          <w:tcPr>
            <w:tcW w:w="100" w:type="dxa"/>
            <w:vAlign w:val="bottom"/>
          </w:tcPr>
          <w:p>
            <w:pPr>
              <w:spacing w:after="0"/>
              <w:rPr>
                <w:sz w:val="18"/>
                <w:szCs w:val="18"/>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580" w:type="dxa"/>
            <w:vAlign w:val="bottom"/>
            <w:tcBorders>
              <w:bottom w:val="single" w:sz="8" w:color="CFF0FC"/>
            </w:tcBorders>
            <w:gridSpan w:val="2"/>
            <w:shd w:val="clear" w:color="auto" w:fill="CFF0FC"/>
          </w:tcPr>
          <w:p>
            <w:pPr>
              <w:spacing w:after="0"/>
              <w:rPr>
                <w:sz w:val="17"/>
                <w:szCs w:val="17"/>
                <w:color w:val="auto"/>
              </w:rPr>
            </w:pPr>
          </w:p>
        </w:tc>
        <w:tc>
          <w:tcPr>
            <w:tcW w:w="17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 Weighted Average at Easterly's Share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10,162,114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371,112,789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r>
              <w:rPr>
                <w:rFonts w:ascii="Times New Roman" w:cs="Times New Roman" w:eastAsia="Times New Roman" w:hAnsi="Times New Roman"/>
                <w:sz w:val="18"/>
                <w:szCs w:val="18"/>
                <w:u w:val="single" w:color="auto"/>
                <w:color w:val="auto"/>
              </w:rPr>
              <w:t>52</w:t>
            </w:r>
          </w:p>
        </w:tc>
        <w:tc>
          <w:tcPr>
            <w:tcW w:w="100" w:type="dxa"/>
            <w:vAlign w:val="bottom"/>
          </w:tcPr>
          <w:p>
            <w:pPr>
              <w:spacing w:after="0"/>
              <w:rPr>
                <w:sz w:val="18"/>
                <w:szCs w:val="18"/>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-770890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-770890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-770890</wp:posOffset>
            </wp:positionV>
            <wp:extent cx="11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-479425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-479425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-479425</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OC=Outpatient Clinic; SF=Specialized Facility; O=Office; C=Courthouse; L=Laboratory; W=Warehouse.</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of lease expiration does not include renewal options.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tenants occupy 101,627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government tenant occupies 14,274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tenants occupy 14,386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tenants occupy 54,677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tenant occupies 17,373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tenant occupies 11,402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tenants occupy 16,096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tenant occupies 37,858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private tenants occupy 124,066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53.0% of the property through an unconsolidated joint venture.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is subject to a ground lease where the unconsolidated joint venture is the lessee.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4" w:name="page35"/>
    <w:bookmarkEnd w:id="34"/>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Certain of our leases are currently in the “soft-term” period of the lease, meaning that the U.S. Government tenant agency has the right to terminate the lease prior to its stated lease end date. We believe that, from the U.S. Government’s perspective, leases with such provisions are helpful for budgetary purposes. While some of our leases are contractually subject to early termination, we do not believe that our tenant agencies are likely to terminate these leases early given the build-to-suit features at the properties subject to the leases, the weighted average age of these properties based on the date the property was built or renovated-to-suit, where applicable (approximately 21.3 years as of September 30, 2026), the mission-critical focus of the properties subject to the leases and the current level of operations at such properties.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schedule of lease expirations for leases in place (including for wholly owned properties and properties held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JV) as of September 30,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Leased Square</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22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Lease Income</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Portfolio Leased</w:t>
            </w: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Annualized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 Leased</w:t>
            </w:r>
          </w:p>
        </w:tc>
        <w:tc>
          <w:tcPr>
            <w:tcW w:w="0" w:type="dxa"/>
            <w:vAlign w:val="bottom"/>
          </w:tcPr>
          <w:p>
            <w:pPr>
              <w:spacing w:after="0"/>
              <w:rPr>
                <w:sz w:val="1"/>
                <w:szCs w:val="1"/>
                <w:color w:val="auto"/>
              </w:rPr>
            </w:pPr>
          </w:p>
        </w:tc>
      </w:tr>
      <w:tr>
        <w:trPr>
          <w:trHeight w:val="148"/>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Year of Lease Expiration </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Footage</w:t>
            </w: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Square</w:t>
            </w:r>
          </w:p>
        </w:tc>
        <w:tc>
          <w:tcPr>
            <w:tcW w:w="100" w:type="dxa"/>
            <w:vAlign w:val="bottom"/>
          </w:tcPr>
          <w:p>
            <w:pPr>
              <w:spacing w:after="0"/>
              <w:rPr>
                <w:sz w:val="12"/>
                <w:szCs w:val="12"/>
                <w:color w:val="auto"/>
              </w:rPr>
            </w:pPr>
          </w:p>
        </w:tc>
        <w:tc>
          <w:tcPr>
            <w:tcW w:w="96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Lease Income</w:t>
            </w:r>
          </w:p>
        </w:tc>
        <w:tc>
          <w:tcPr>
            <w:tcW w:w="2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Lease 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Square Foot</w:t>
            </w:r>
          </w:p>
        </w:tc>
        <w:tc>
          <w:tcPr>
            <w:tcW w:w="0" w:type="dxa"/>
            <w:vAlign w:val="bottom"/>
          </w:tcPr>
          <w:p>
            <w:pPr>
              <w:spacing w:after="0"/>
              <w:rPr>
                <w:sz w:val="1"/>
                <w:szCs w:val="1"/>
                <w:color w:val="auto"/>
              </w:rPr>
            </w:pPr>
          </w:p>
        </w:tc>
      </w:tr>
      <w:tr>
        <w:trPr>
          <w:trHeight w:val="173"/>
        </w:trPr>
        <w:tc>
          <w:tcPr>
            <w:tcW w:w="3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20" w:type="dxa"/>
            <w:vAlign w:val="bottom"/>
          </w:tcPr>
          <w:p>
            <w:pPr>
              <w:spacing w:after="0"/>
              <w:rPr>
                <w:sz w:val="15"/>
                <w:szCs w:val="15"/>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Footage Expiring</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761,371</w:t>
            </w:r>
          </w:p>
        </w:tc>
        <w:tc>
          <w:tcPr>
            <w:tcW w:w="16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28,847,107</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905,036</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22,352,713</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757,363</w:t>
            </w:r>
          </w:p>
        </w:tc>
        <w:tc>
          <w:tcPr>
            <w:tcW w:w="16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24,946,345</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95,888</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2,789,150</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544,416</w:t>
            </w:r>
          </w:p>
        </w:tc>
        <w:tc>
          <w:tcPr>
            <w:tcW w:w="16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18,460,375</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712,188</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22,470,883</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571,247</w:t>
            </w:r>
          </w:p>
        </w:tc>
        <w:tc>
          <w:tcPr>
            <w:tcW w:w="16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22,486,479</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2034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639,124</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24,635,426</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429,138</w:t>
            </w:r>
          </w:p>
        </w:tc>
        <w:tc>
          <w:tcPr>
            <w:tcW w:w="16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17,183,471</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5,317,002</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210,831,168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 Weighted Average</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10,732,773</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395,003,117</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right="40" w:hanging="378"/>
        <w:spacing w:after="0" w:line="281" w:lineRule="auto"/>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year of lease expiration is pursuant to current contract terms. Some U.S. Government tenants have the right to vacate their space during a specified period, or “soft term,” before the stated terms of their leases expire. As of September 30, 2026, six U.S. Government tenants occupying approximately 2.3% of our leased square feet and contributing approximately 2.3% of our annualized lease income are currently operating under lease provisions that allow them to exercise their right to terminate their lease before the stated term of their respective lease expires.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color w:val="auto"/>
        </w:rPr>
        <w:t>Information about our development properties as of September 30, 2026 is set forth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Leased</w:t>
            </w:r>
          </w:p>
        </w:tc>
        <w:tc>
          <w:tcPr>
            <w:tcW w:w="0" w:type="dxa"/>
            <w:vAlign w:val="bottom"/>
          </w:tcPr>
          <w:p>
            <w:pPr>
              <w:spacing w:after="0"/>
              <w:rPr>
                <w:sz w:val="1"/>
                <w:szCs w:val="1"/>
                <w:color w:val="auto"/>
              </w:rPr>
            </w:pPr>
          </w:p>
        </w:tc>
      </w:tr>
      <w:tr>
        <w:trPr>
          <w:trHeight w:val="146"/>
        </w:trPr>
        <w:tc>
          <w:tcPr>
            <w:tcW w:w="14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60" w:type="dxa"/>
            <w:vAlign w:val="bottom"/>
          </w:tcPr>
          <w:p>
            <w:pPr>
              <w:spacing w:after="0"/>
              <w:rPr>
                <w:sz w:val="12"/>
                <w:szCs w:val="12"/>
                <w:color w:val="auto"/>
              </w:rPr>
            </w:pPr>
          </w:p>
        </w:tc>
        <w:tc>
          <w:tcPr>
            <w:tcW w:w="14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2"/>
                <w:szCs w:val="12"/>
                <w:color w:val="auto"/>
              </w:rPr>
            </w:pPr>
          </w:p>
        </w:tc>
        <w:tc>
          <w:tcPr>
            <w:tcW w:w="424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Lease Term</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75"/>
        </w:trPr>
        <w:tc>
          <w:tcPr>
            <w:tcW w:w="14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2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Type </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 - Fort Myers</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Fort Myers, FL</w:t>
            </w:r>
          </w:p>
        </w:tc>
        <w:tc>
          <w:tcPr>
            <w:tcW w:w="160" w:type="dxa"/>
            <w:vAlign w:val="bottom"/>
            <w:shd w:val="clear" w:color="auto" w:fill="CFF0FC"/>
          </w:tcPr>
          <w:p>
            <w:pPr>
              <w:spacing w:after="0"/>
              <w:rPr>
                <w:sz w:val="18"/>
                <w:szCs w:val="18"/>
                <w:color w:val="auto"/>
              </w:rPr>
            </w:pPr>
          </w:p>
        </w:tc>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Florida Department of Law Enforcement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25-year</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JUD - Flagstaff</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Flagstaff, AZ</w:t>
            </w:r>
          </w:p>
        </w:tc>
        <w:tc>
          <w:tcPr>
            <w:tcW w:w="16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Judiciary of the U.S. Government</w:t>
            </w:r>
          </w:p>
        </w:tc>
        <w:tc>
          <w:tcPr>
            <w:tcW w:w="1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1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20-year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JUD - Medford</w:t>
            </w:r>
          </w:p>
        </w:tc>
        <w:tc>
          <w:tcPr>
            <w:tcW w:w="1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Medford, OR</w:t>
            </w:r>
          </w:p>
        </w:tc>
        <w:tc>
          <w:tcPr>
            <w:tcW w:w="160" w:type="dxa"/>
            <w:vAlign w:val="bottom"/>
            <w:tcBorders>
              <w:bottom w:val="single" w:sz="8" w:color="CFF0FC"/>
            </w:tcBorders>
            <w:shd w:val="clear" w:color="auto" w:fill="CFF0FC"/>
          </w:tcPr>
          <w:p>
            <w:pPr>
              <w:spacing w:after="0"/>
              <w:rPr>
                <w:sz w:val="18"/>
                <w:szCs w:val="18"/>
                <w:color w:val="auto"/>
              </w:rPr>
            </w:pPr>
          </w:p>
        </w:tc>
        <w:tc>
          <w:tcPr>
            <w:tcW w:w="42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Judiciary of the U.S. Government</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20-year</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C=Courthouse; L=Laboratory.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three months ended September 30, 2026 and 2025</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financial information presented below summarizes our results of operations for the three months ended September 30, 2026 and 2025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Rental income</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90,035</w:t>
            </w:r>
          </w:p>
        </w:tc>
        <w:tc>
          <w:tcPr>
            <w:tcW w:w="28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82,210</w:t>
            </w:r>
          </w:p>
        </w:tc>
        <w:tc>
          <w:tcPr>
            <w:tcW w:w="18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Tenant reimbursements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management income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93,611</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20" w:type="dxa"/>
            <w:vAlign w:val="bottom"/>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operating</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Real estate taxes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Acquisition costs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10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(752)</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(1,054)</w:t>
            </w:r>
          </w:p>
        </w:tc>
      </w:tr>
      <w:tr>
        <w:trPr>
          <w:trHeight w:val="210"/>
        </w:trPr>
        <w:tc>
          <w:tcPr>
            <w:tcW w:w="53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10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69,660</w:t>
            </w:r>
          </w:p>
        </w:tc>
        <w:tc>
          <w:tcPr>
            <w:tcW w:w="2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64,878</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Borders>
              <w:top w:val="single" w:sz="8" w:color="CFF0FC"/>
            </w:tcBorders>
          </w:tcPr>
          <w:p>
            <w:pPr>
              <w:spacing w:after="0"/>
              <w:rPr>
                <w:sz w:val="18"/>
                <w:szCs w:val="18"/>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real estate venture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(20,040)</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(19,037)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2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shd w:val="clear" w:color="auto" w:fill="CFF0FC"/>
          </w:tcPr>
          <w:p>
            <w:pPr>
              <w:spacing w:after="0"/>
              <w:rPr>
                <w:sz w:val="18"/>
                <w:szCs w:val="18"/>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-1971040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-1971040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-1971040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-856615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-856615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Total revenues increased $7.5 million to $93.6 million for the three months ended September 30, 2026 compared to $86.2 million for the three months ended September 30, 2025.</w:t>
      </w:r>
    </w:p>
    <w:p>
      <w:pPr>
        <w:spacing w:after="0" w:line="16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$7.8 million increase in Rental income is primarily attributable to the three operating properties acquired since September 30, 2025, one development property placed into service since September 30, 2025 and a full period of operations from the one operating property acquired during the quarter ended September 30,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$0.7 million decrease in tenant reimbursements is primarily attributable to a decrease in reimbursable tenant project activity.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$0.1 million increase in Asset management income is primarily attributable to the fee earned by us for asset management of the JV.</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$0.3 million increase in Other income is primarily attributable to an increase in miscellaneous income.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Total expenses increased $4.8 million to $69.7 million for the three months ended September 30, 2026 compared to $64.9 million for the three months ended September 30, 2025.</w:t>
      </w:r>
    </w:p>
    <w:p>
      <w:pPr>
        <w:spacing w:after="0" w:line="16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$2.2 million increase in Property operating expenses is primarily attributable to the three operating properties acquired since September 30, 2025, one development property placed into service since September 30, 2025 and a full period of operations from the one operating property acquired during the quarter ended September 30, 2025.</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$0.2 million increase in Real estate taxes is primarily attributable to the three operating properties acquired since September 30, 2025, one development property placed into service since September 30, 2025 and a full period of operations from the one operating property acquired during the quarter ended September 30, 2025.</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$2.0 million increase in Depreciation and amortization is primarily attributable to the three operating properties acquired since September 30, 2025, one development property placed into service since September 30, 2025 and a full period of operations from the one operating property acquired during the quarter ended September 30,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$1.4 million increase in Corporate general and administrative is primarily due to an increase in employee costs and non-cash compensation.</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$1.1 million increase in Provision for (recovery of) credit losses is primarily due to a downward adjustment to our credit loss allowance for a $35.6 million repayment of the DEA Bedford Real estate loan receivable and change in market conditions.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from unconsolidated real estate venture</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$0.2 million increase in Income from unconsolidated real estate venture is primarily attributable to lower operating expenses during the quarter ended September 30, 2026.</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$1.0 million increase in Interest expense, net is primarily attributable to higher weighted average borrowings and higher interest rates.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we recognized an impairment loss totaling approximately $2.5 million for our ICE - Otay property in order to reduce its carrying value to its estimated fair value. ICE - Otay is a 52,881 rentable square foot office building located in San Diego, California.</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nine months ended September 30, 2026 and 2025</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financial information presented below summarizes our results of operations for the nine months ended September 30, 2026 and 2025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Rental income</w:t>
            </w:r>
          </w:p>
        </w:tc>
        <w:tc>
          <w:tcPr>
            <w:tcW w:w="21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268,287</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238,123</w:t>
            </w:r>
          </w:p>
        </w:tc>
        <w:tc>
          <w:tcPr>
            <w:tcW w:w="2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30,164</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Tenant reimbursements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(2,484)</w:t>
            </w: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management income</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1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277,573</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249,060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28,513</w:t>
            </w:r>
          </w:p>
        </w:tc>
        <w:tc>
          <w:tcPr>
            <w:tcW w:w="100" w:type="dxa"/>
            <w:vAlign w:val="bottom"/>
          </w:tcPr>
          <w:p>
            <w:pPr>
              <w:spacing w:after="0"/>
              <w:rPr>
                <w:sz w:val="18"/>
                <w:szCs w:val="18"/>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operating</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Real estate taxes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 costs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r>
      <w:tr>
        <w:trPr>
          <w:trHeight w:val="210"/>
        </w:trPr>
        <w:tc>
          <w:tcPr>
            <w:tcW w:w="47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16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211,719</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186,575</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00" w:type="dxa"/>
            <w:vAlign w:val="bottom"/>
            <w:tcBorders>
              <w:top w:val="single" w:sz="8" w:color="CFF0FC"/>
            </w:tcBorders>
          </w:tcPr>
          <w:p>
            <w:pPr>
              <w:spacing w:after="0"/>
              <w:rPr>
                <w:sz w:val="18"/>
                <w:szCs w:val="18"/>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unconsolidated real estate venture</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(60,629)</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(56,374)</w:t>
            </w: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(4,255)</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loss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(2,545)</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FF0FC"/>
          </w:tcPr>
          <w:p>
            <w:pPr>
              <w:spacing w:after="0"/>
              <w:rPr>
                <w:sz w:val="18"/>
                <w:szCs w:val="18"/>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-1971040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-1971040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-856615</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-856615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Total revenues increased $28.5 million to $277.6 million for the nine months ended September 30, 2026 compared to $249.1 million for the nine months ended September 30, 2025.</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$30.2 million increase in Rental income is primarily attributable to the three operating properties acquired since September 30, 2025, one development property placed into service since September 30, 2025 and a full period of operations from the three operating properties acquired during the nine months ended September 30,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$2.5 million decrease in tenant reimbursements is primarily attributable to a decrease in reimbursable tenant project activity.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$0.2 million increase in Asset management income is primarily attributable to the fee earned by us for asset management of the JV.</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$0.7 million increase in Other income is primarily attributable to an increase in interest income on our loans receivable and miscellaneous income.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Total expenses increased $25.1 million to $211.7 million for the nine months ended September 30, 2026 compared to $186.6 million for the nine months ended September 30, 2025.</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$5.7 million increase in Property operating expenses is primarily attributable to the three operating properties acquired since September 30, 2025, one development property placed into service since September 30, 2025 and a full period of operations from the three operating properties acquired during the nine months ended September 30, 2025.</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$1.4 million increase in Real estate taxes is primarily attributable to the three operating properties acquired since September 30, 2025, one development property placed into service since September 30, 2025 and a full period of operations from the three operating properties acquired during the nine months ended September 30, 2025.</w:t>
      </w:r>
    </w:p>
    <w:p>
      <w:pPr>
        <w:spacing w:after="0" w:line="17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$12.1 million increase in Depreciation and amortization is primarily attributable to the three operating properties acquired since September 30, 2025, one development property placed into service since September 30, 2025 and a full period of operations from the three operating properties acquired during the nine months ended September 30,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$5.8 million increase in Corporate general and administrative is primarily due to an increase in employee costs and non-cash compensation.</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$0.4 million increase in Recovery of credit losses is primarily due to a downward adjustment to our credit loss allowance for a cumulative $50.6 million repayment of the DEA Bedford Real estate loan receivable in April 2025 and September 2026 and change in market conditions.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from unconsolidated real estate venture</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$0.2 million decrease in Income from unconsolidated real estate venture is primarily attributable to higher operating expenses during the nine months ended September 30, 2026.</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$4.3 million increase in Interest expense, net is primarily attributable to higher weighted average borrowings.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we recognized an impairment loss totaling approximately $2.5 million for our ICE - Otay property in order to reduce its carrying value to its estimated fair value. ICE - Otay is a 52,881 rentable square foot office building located in San Diego, California.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anticipate that our cash flows from the sources listed below will provide adequate capital for the next 12 months for all anticipated uses, including all scheduled principal and interest payments on our outstanding indebtedness, current and anticipated tenant improvements, development activities at JUD – Flagstaff and JUD – Medford, planned and possible acquisitions of properties, stockholder distributions to maintain our qualification as a REIT, potential repurchases of common stock under our share repurchase program and other capital obligations associated with conducting our business. At September 30, 2026, we had approximately $2.9 million available in cash and cash equivalents, $8.8 million of restricted cash and there was approximately $383.8 million available under our 2024 revolving credit facility.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primary expected sources of capital are as follows:</w:t>
      </w:r>
    </w:p>
    <w:p>
      <w:pPr>
        <w:spacing w:after="0" w:line="119"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cash balances;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cash flows from the JV;</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borrowings under our 2024 revolving credit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long-term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equity, including under our 2021 ATM Program (as described below);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short-term liquidity requirements consist primarily of funds to pay for the following:</w:t>
      </w:r>
    </w:p>
    <w:p>
      <w:pPr>
        <w:spacing w:after="0" w:line="119" w:lineRule="exact"/>
        <w:rPr>
          <w:sz w:val="20"/>
          <w:szCs w:val="20"/>
          <w:color w:val="auto"/>
        </w:rPr>
      </w:pPr>
    </w:p>
    <w:p>
      <w:pPr>
        <w:ind w:left="1020" w:right="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redevelopment activities, including major redevelopment, renovation or expansion programs at JUD – Flagstaff and JUD – Medford and other individual properties;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acquisitions;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improvements, allowances and leasing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maintenance and capital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repayment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to fund advancements through loans receivable;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our outstanding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swap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repurchases of common stock under our share repurchase program.</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long-term liquidity needs, in addition to recurring short-term liquidity needs as discussed above, consist primarily of funds necessary to pay for acquisitions, non-recurring capital expenditures, and scheduled debt maturities. Although we may be able to anticipate and plan for certain of our liquidity needs, unexpected increases in uses of cash that are beyond our control and which affect our financial condition and results of operations may arise, or our sources of liquidity may be fewer than, and the funds available from such sources may be less than, anticipated or required. As of the date of this filing, there were no known commitments or events that would have a material impact on our liquidity.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entered into equity distribution agreements on June 22, 2021 with various financial institutions relating to our $300.0 million “at the market” equity offering program (the “2021 ATM Program”). On August 4, 2026, we entered into amended and restated equity distribution agreements governing the 2021 ATM Program in order to, among other things, permit our entry into contingent forward transactions, as described below. Pursuant to the 2021 ATM Program, we may issue and sell shares of our common stock having an aggregate offering price of up to $300.0 million from time to time in negotiated transactions or transactions that are deemed to be “at the market” offerings as defined in Rule 415 under the Securities Act. Under the 2021 ATM Program, we may enter into one or more forward transactions, including transactions on a contingent and non-contingent basis (each, a “forward sale transaction”), under separate master forward sale confirmations and related supplemental confirmations with certain financial institutions party to the amended and restated agreements governing the 2021 ATM Program for the sale of shares of our common stock on a forward basis.</w:t>
      </w:r>
    </w:p>
    <w:p>
      <w:pPr>
        <w:spacing w:after="0" w:line="19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issuances under the 2021 ATM Program during the nine months ended September 30, 2026 (amounts in thousands, except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 ATM Program</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40" w:type="dxa"/>
            <w:vAlign w:val="bottom"/>
          </w:tcPr>
          <w:p>
            <w:pPr>
              <w:spacing w:after="0"/>
              <w:rPr>
                <w:sz w:val="18"/>
                <w:szCs w:val="18"/>
                <w:color w:val="auto"/>
              </w:rPr>
            </w:pPr>
          </w:p>
        </w:tc>
        <w:tc>
          <w:tcPr>
            <w:tcW w:w="2520" w:type="dxa"/>
            <w:vAlign w:val="bottom"/>
            <w:tcBorders>
              <w:bottom w:val="single" w:sz="8" w:color="auto"/>
            </w:tcBorders>
          </w:tcPr>
          <w:p>
            <w:pPr>
              <w:jc w:val="right"/>
              <w:ind w:right="336"/>
              <w:spacing w:after="0" w:line="216" w:lineRule="exact"/>
              <w:rPr>
                <w:sz w:val="20"/>
                <w:szCs w:val="20"/>
                <w:color w:val="auto"/>
              </w:rPr>
            </w:pPr>
            <w:r>
              <w:rPr>
                <w:rFonts w:ascii="Times New Roman" w:cs="Times New Roman" w:eastAsia="Times New Roman" w:hAnsi="Times New Roman"/>
                <w:sz w:val="14"/>
                <w:szCs w:val="14"/>
                <w:b w:val="1"/>
                <w:bCs w:val="1"/>
                <w:color w:val="auto"/>
              </w:rPr>
              <w:t xml:space="preserve">Number of Shares Issued </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00" w:type="dxa"/>
            <w:vAlign w:val="bottom"/>
          </w:tcPr>
          <w:p>
            <w:pPr>
              <w:spacing w:after="0"/>
              <w:rPr>
                <w:sz w:val="18"/>
                <w:szCs w:val="18"/>
                <w:color w:val="auto"/>
              </w:rPr>
            </w:pPr>
          </w:p>
        </w:tc>
      </w:tr>
      <w:tr>
        <w:trPr>
          <w:trHeight w:val="21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94,170</w:t>
            </w:r>
          </w:p>
        </w:tc>
        <w:tc>
          <w:tcPr>
            <w:tcW w:w="11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796,943</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00" w:type="dxa"/>
            <w:vAlign w:val="bottom"/>
          </w:tcPr>
          <w:p>
            <w:pPr>
              <w:spacing w:after="0"/>
              <w:rPr>
                <w:sz w:val="18"/>
                <w:szCs w:val="18"/>
                <w:color w:val="auto"/>
              </w:rPr>
            </w:pPr>
          </w:p>
        </w:tc>
      </w:tr>
      <w:tr>
        <w:trPr>
          <w:trHeight w:val="216"/>
        </w:trPr>
        <w:tc>
          <w:tcPr>
            <w:tcW w:w="55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2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891,113</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-710565</wp:posOffset>
            </wp:positionV>
            <wp:extent cx="35744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right="700" w:hanging="365"/>
        <w:spacing w:after="0" w:line="282" w:lineRule="auto"/>
        <w:tabs>
          <w:tab w:leader="none" w:pos="6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by us, which were all issued in settlement of forward sale transactions. As of September 30, 2026, we had settled all of our outstanding forward sale transactions under the 2021 ATM Program. We accounted for the forward sale transactions as equity.</w:t>
      </w:r>
    </w:p>
    <w:p>
      <w:pPr>
        <w:spacing w:after="0" w:line="162" w:lineRule="exact"/>
        <w:rPr>
          <w:sz w:val="20"/>
          <w:szCs w:val="20"/>
          <w:color w:val="auto"/>
        </w:rPr>
      </w:pPr>
    </w:p>
    <w:p>
      <w:pPr>
        <w:jc w:val="center"/>
        <w:ind w:left="360" w:right="480"/>
        <w:spacing w:after="0" w:line="407" w:lineRule="auto"/>
        <w:rPr>
          <w:sz w:val="20"/>
          <w:szCs w:val="20"/>
          <w:color w:val="auto"/>
        </w:rPr>
      </w:pPr>
      <w:r>
        <w:rPr>
          <w:rFonts w:ascii="Times New Roman" w:cs="Times New Roman" w:eastAsia="Times New Roman" w:hAnsi="Times New Roman"/>
          <w:sz w:val="18"/>
          <w:szCs w:val="18"/>
          <w:color w:val="auto"/>
        </w:rPr>
        <w:t>As of September 30, 2026, we had approximately $215.0 million of gross sales of our common stock available under the 2021 ATM Program.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April 28, 2022, our Board of Directors authorized a share repurchase program whereby we may repurchase up to 1,815,597 shares of our common stock (adjusted for the 1-for-2.5 reverse stock split of the Company’s issued and outstanding Common Stock, effective April 28, 2025), or approximately 5% of our outstanding shares as of the original authorization date. We are not required to purchase shares under the share repurchase program but may choose to do so in the open market or through privately negotiated transactions at times and amounts based on our evaluation of market conditions and other factors.</w:t>
      </w:r>
    </w:p>
    <w:p>
      <w:pPr>
        <w:spacing w:after="0" w:line="183" w:lineRule="exact"/>
        <w:rPr>
          <w:sz w:val="20"/>
          <w:szCs w:val="20"/>
          <w:color w:val="auto"/>
        </w:rPr>
      </w:pPr>
    </w:p>
    <w:p>
      <w:pPr>
        <w:jc w:val="center"/>
        <w:ind w:left="840"/>
        <w:spacing w:after="0" w:line="407" w:lineRule="auto"/>
        <w:rPr>
          <w:sz w:val="20"/>
          <w:szCs w:val="20"/>
          <w:color w:val="auto"/>
        </w:rPr>
      </w:pPr>
      <w:r>
        <w:rPr>
          <w:rFonts w:ascii="Times New Roman" w:cs="Times New Roman" w:eastAsia="Times New Roman" w:hAnsi="Times New Roman"/>
          <w:sz w:val="18"/>
          <w:szCs w:val="18"/>
          <w:color w:val="auto"/>
        </w:rPr>
        <w:t>No repurchases of shares of our common stock were made under the share repurchase program during the nine months ended September 30, 2026.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7" w:right="51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Indebtedness Outstanding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outstanding indebtedness as of September 30, 2026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96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Rate</w:t>
            </w:r>
            <w:r>
              <w:rPr>
                <w:rFonts w:ascii="Times New Roman" w:cs="Times New Roman" w:eastAsia="Times New Roman" w:hAnsi="Times New Roman"/>
                <w:sz w:val="9"/>
                <w:szCs w:val="9"/>
                <w:b w:val="1"/>
                <w:bCs w:val="1"/>
                <w:color w:val="auto"/>
              </w:rPr>
              <w:t xml:space="preserve"> (1)(2)</w:t>
            </w:r>
          </w:p>
        </w:tc>
        <w:tc>
          <w:tcPr>
            <w:tcW w:w="160" w:type="dxa"/>
            <w:vAlign w:val="bottom"/>
          </w:tcPr>
          <w:p>
            <w:pPr>
              <w:spacing w:after="0"/>
              <w:rPr>
                <w:sz w:val="17"/>
                <w:szCs w:val="17"/>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w:t>
            </w:r>
          </w:p>
        </w:tc>
      </w:tr>
      <w:tr>
        <w:trPr>
          <w:trHeight w:val="209"/>
        </w:trPr>
        <w:tc>
          <w:tcPr>
            <w:tcW w:w="4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2024 revolving credit facility </w:t>
            </w:r>
            <w:r>
              <w:rPr>
                <w:rFonts w:ascii="Times New Roman" w:cs="Times New Roman" w:eastAsia="Times New Roman" w:hAnsi="Times New Roman"/>
                <w:sz w:val="24"/>
                <w:szCs w:val="24"/>
                <w:color w:val="auto"/>
                <w:vertAlign w:val="superscript"/>
              </w:rPr>
              <w:t>(3)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+ 135 bps</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5"/>
              </w:rPr>
              <w:t xml:space="preserve">June 2028 </w:t>
            </w:r>
            <w:r>
              <w:rPr>
                <w:rFonts w:ascii="Times New Roman" w:cs="Times New Roman" w:eastAsia="Times New Roman" w:hAnsi="Times New Roman"/>
                <w:sz w:val="24"/>
                <w:szCs w:val="24"/>
                <w:color w:val="auto"/>
                <w:w w:val="95"/>
                <w:vertAlign w:val="superscript"/>
              </w:rPr>
              <w:t>(4)</w:t>
            </w: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revolving credit facility</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16,050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Term loan facilities: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2016 term loan facility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9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5.21% </w:t>
            </w:r>
            <w:r>
              <w:rPr>
                <w:rFonts w:ascii="Times New Roman" w:cs="Times New Roman" w:eastAsia="Times New Roman" w:hAnsi="Times New Roman"/>
                <w:sz w:val="24"/>
                <w:szCs w:val="24"/>
                <w:color w:val="auto"/>
                <w:w w:val="94"/>
                <w:vertAlign w:val="superscript"/>
              </w:rPr>
              <w:t>(5)</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6"/>
              </w:rPr>
              <w:t xml:space="preserve">January 2028 </w:t>
            </w:r>
            <w:r>
              <w:rPr>
                <w:rFonts w:ascii="Times New Roman" w:cs="Times New Roman" w:eastAsia="Times New Roman" w:hAnsi="Times New Roman"/>
                <w:sz w:val="24"/>
                <w:szCs w:val="24"/>
                <w:color w:val="auto"/>
                <w:w w:val="96"/>
                <w:vertAlign w:val="superscript"/>
              </w:rPr>
              <w:t>(6)</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term loan facility</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4.99% </w:t>
            </w:r>
            <w:r>
              <w:rPr>
                <w:rFonts w:ascii="Times New Roman" w:cs="Times New Roman" w:eastAsia="Times New Roman" w:hAnsi="Times New Roman"/>
                <w:sz w:val="24"/>
                <w:szCs w:val="24"/>
                <w:color w:val="auto"/>
                <w:w w:val="94"/>
                <w:vertAlign w:val="superscript"/>
              </w:rPr>
              <w:t>(7)</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6"/>
              </w:rPr>
              <w:t xml:space="preserve">August 2028 </w:t>
            </w:r>
            <w:r>
              <w:rPr>
                <w:rFonts w:ascii="Times New Roman" w:cs="Times New Roman" w:eastAsia="Times New Roman" w:hAnsi="Times New Roman"/>
                <w:sz w:val="24"/>
                <w:szCs w:val="24"/>
                <w:color w:val="auto"/>
                <w:w w:val="96"/>
                <w:vertAlign w:val="superscript"/>
              </w:rPr>
              <w:t>(8)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2026 term loan facility</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+ 130 bps</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June 2031</w:t>
            </w: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loan facilities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(3,778)</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term loan facilities, net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496,222</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2017 series A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4.05%</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2027</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series B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2029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2017 series C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4.30%</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2032</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series A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3.73%</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2029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2019 series B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2031</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series C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3.98%</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2034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2021 series A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2.62%</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October 2028</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series B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2.89%</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October 2030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2024 series A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2033</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series B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August 2033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2025 series A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6.13%</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March 2030</w:t>
            </w: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series B senior notes</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6.33% </w:t>
            </w:r>
            <w:r>
              <w:rPr>
                <w:rFonts w:ascii="Times New Roman" w:cs="Times New Roman" w:eastAsia="Times New Roman" w:hAnsi="Times New Roman"/>
                <w:sz w:val="24"/>
                <w:szCs w:val="24"/>
                <w:color w:val="auto"/>
                <w:w w:val="94"/>
                <w:vertAlign w:val="superscript"/>
              </w:rPr>
              <w:t>(9)</w:t>
            </w:r>
          </w:p>
        </w:tc>
        <w:tc>
          <w:tcPr>
            <w:tcW w:w="16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CFF0FC"/>
            </w:tcBorders>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March 2032</w:t>
            </w: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(5,364)</w:t>
            </w: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1,019,636</w:t>
            </w:r>
          </w:p>
        </w:tc>
        <w:tc>
          <w:tcPr>
            <w:tcW w:w="300" w:type="dxa"/>
            <w:vAlign w:val="bottom"/>
            <w:tcBorders>
              <w:top w:val="single" w:sz="8" w:color="CFF0FC"/>
            </w:tcBorders>
          </w:tcPr>
          <w:p>
            <w:pPr>
              <w:spacing w:after="0"/>
              <w:rPr>
                <w:sz w:val="18"/>
                <w:szCs w:val="18"/>
                <w:color w:val="auto"/>
              </w:rPr>
            </w:pPr>
          </w:p>
        </w:tc>
        <w:tc>
          <w:tcPr>
            <w:tcW w:w="19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r>
      <w:tr>
        <w:trPr>
          <w:trHeight w:val="216"/>
        </w:trPr>
        <w:tc>
          <w:tcPr>
            <w:tcW w:w="4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ICE – Charleston</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4.21%</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January 2027</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VA – Loma Linda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3.59%</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July 2027</w:t>
            </w: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CBP – Savannah</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30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3.40%</w:t>
            </w:r>
          </w:p>
        </w:tc>
        <w:tc>
          <w:tcPr>
            <w:tcW w:w="16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CFF0FC"/>
            </w:tcBorders>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July 2033</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mortgage 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142,297</w:t>
            </w: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Total unamortized premium/discount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mortgage notes payable, net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141,957</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1,673,865</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-1962150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-1679575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-848360</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760" w:hanging="378"/>
        <w:spacing w:after="0" w:line="254"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rates are as follows: 2016 term loan facility 5.49%, 2018 term loan facility 5.43%, 2026 term loan facility 5.11%, 2017 series A senior notes 4.15%, 2017 series B senior notes 4.23%, 2017 series C senior notes 4.37%, 2019 series A senior notes 3.82%, 2019 series B senior notes 3.91%, 2019 series C senior notes 4.04%, 2021 series A senior notes 2.74%, 2021 series B senior notes 2.99%, 2024 series A senior notes 6.74%, 2024 series B senior notes 6.73%, 2025 series A senior notes 6.36%, 2025 series B senior notes 6.51%, ICE – Charleston 3.93%, VA – Loma Linda 3.78%, CBP – Savannah 4.12%.</w:t>
      </w:r>
    </w:p>
    <w:p>
      <w:pPr>
        <w:spacing w:after="0" w:line="3" w:lineRule="exact"/>
        <w:rPr>
          <w:rFonts w:ascii="Times New Roman" w:cs="Times New Roman" w:eastAsia="Times New Roman" w:hAnsi="Times New Roman"/>
          <w:sz w:val="18"/>
          <w:szCs w:val="18"/>
          <w:color w:val="auto"/>
        </w:rPr>
      </w:pPr>
    </w:p>
    <w:p>
      <w:pPr>
        <w:ind w:left="760" w:right="40" w:hanging="378"/>
        <w:spacing w:after="0" w:line="253"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the USD secured overnight financing rate (“SOFR”) with a five day lookback was 3.87%. The current interest rate is not adjusted to include the amortization of deferred financing fees or debt issuance costs incurred in obtaining debt or any unamortized fair market value premiums. The spread over the applicable rate for each of our $400.0 million senior unsecured revolving credit facility (the “2024 revolving credit facility”), our $200.0 million senior unsecured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ind w:left="760" w:right="280"/>
        <w:spacing w:after="0" w:line="257" w:lineRule="auto"/>
        <w:rPr>
          <w:sz w:val="20"/>
          <w:szCs w:val="20"/>
          <w:color w:val="auto"/>
        </w:rPr>
      </w:pPr>
      <w:r>
        <w:rPr>
          <w:rFonts w:ascii="Times New Roman" w:cs="Times New Roman" w:eastAsia="Times New Roman" w:hAnsi="Times New Roman"/>
          <w:sz w:val="18"/>
          <w:szCs w:val="18"/>
          <w:color w:val="auto"/>
        </w:rPr>
        <w:t>term loan facility (our “2026 term loan facility”), our $200.0 million senior unsecured term loan facility (as amended, our “2018 term loan facility”) and our $100.0 million senior unsecured term loan facility (as amended, our “2016 term loan facility”) is based on our consolidated leverage ratio, as set forth in the respective loan agreements.</w:t>
      </w:r>
    </w:p>
    <w:p>
      <w:pPr>
        <w:spacing w:after="0" w:line="1" w:lineRule="exact"/>
        <w:rPr>
          <w:sz w:val="20"/>
          <w:szCs w:val="20"/>
          <w:color w:val="auto"/>
        </w:rPr>
      </w:pPr>
    </w:p>
    <w:p>
      <w:pPr>
        <w:ind w:left="760" w:hanging="378"/>
        <w:spacing w:after="0" w:line="25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$400.0 million senior unsecured 2024 revolving credit facility had available capacity of $383.8 million at September 30, 2026, in addition to an accordion feature that provides us with additional capacity of up to $300.0 million, subject to syndication of the increase and the satisfaction of customary terms and conditions.</w:t>
      </w:r>
    </w:p>
    <w:p>
      <w:pPr>
        <w:spacing w:after="0" w:line="1"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2024 revolving credit facility has two six-month as-of-right extension options subject to certain conditions and the payment of an extension fee.</w:t>
      </w:r>
    </w:p>
    <w:p>
      <w:pPr>
        <w:jc w:val="both"/>
        <w:ind w:left="760" w:right="300" w:hanging="378"/>
        <w:spacing w:after="0" w:line="25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2016 term loan facility is subject to three interest rate swaps with an effective date of December 23, 2024 and a notional value of $100.0 million, which effectively fixes the interest rate at 5.21% annually, based on our consolidated leverage ratio as defined in our 2016 term loan facility agreement.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2016 term loan facility has two one-year as-of-right extension options subject to certain conditions and the payment of an extension fee.</w:t>
      </w:r>
    </w:p>
    <w:p>
      <w:pPr>
        <w:spacing w:after="0" w:line="9"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term loan facility is subject to three interest rate swaps, of which one has an effective date of March 24, 2025 and two of the swaps have an effective date of June 30, 2025. The three swaps have an aggregate notional value of $200.0 million, which effectively fixes the interest rate at 4.99% annually, based on our consolidated leverage ratio as defined in our 2018 term loan facility agreement.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term loan facility has two one-year as-of-right extension options subject to certain conditions and the payment of an extension fee.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two $50.0 million treasury lock agreements to fix the Treasury rate of our 2025 series B senior notes.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July 14, 2026, we used $6.4 million of available cash to extinguish the mortgage note obligation on USFS II — Albuquerque.</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2026 Term Loan Facility</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25, 2026, we entered into our $200.0 million senior unsecured 2026 term loan facility, which includes an accordion feature that provides us with additional capacity, subject to the satisfaction of customary terms and conditions, of up to $50.0 million for a total facility size of $250.0 million. Our 2026 term loan facility matures on June 25, 2031 and is prepayable without penalty.</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Borrowings under our 2026 term loan facility will, at our option, bear interest at floating rates equal to either (i) a fluctuating rate equal to the sum of (a) highest of (x) PNC Bank's base rate, (y) the federal funds effective rate plus 0.50% and (z) the one-month adjusted term SOFR rate plus 1.00%, plus, in each case, (b) a margin ranging from 0.20% to 0.70% based on the Company’s leverage ratio, (ii) the daily simple SOFR (the “DSS”), or (iii) the term SOFR (the “Term SOFR”), plus, in the case of borrowings bearing interest at DSS or Term SOFR, a margin ranging from 1.20% to 1.70% based on the Company’s leverage ratio.</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2026 term loan facility also contains certain customary covenants, including but not limited to financial covenants that require us to maintain maximum ratios of consolidated total indebtedness, consolidated secured indebtedness and consolidated secured recourse indebtedness to total asset value and a minimum consolidated fixed charge ratio.</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2016 Term Loan Facility</w:t>
      </w:r>
    </w:p>
    <w:p>
      <w:pPr>
        <w:spacing w:after="0" w:line="22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June 25, 2026, we entered into the eleventh amendment to our 2016 term loan facility to remove the credit spread adjustment applicable to SOFR-based borrowings, consistent with the terms of our 2026 term loan facility.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2018 Term Loan Facility</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On July 28, 2026, we entered into the sixth amendment to our 2018 term loan facility to remove the credit spread adjustment applicable to SOFR-based borrowings, consistent with the terms of our 2016 term loan facility and 2026 term loan facility.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2024 Revolving Credit Facility</w:t>
      </w:r>
    </w:p>
    <w:p>
      <w:pPr>
        <w:spacing w:after="0" w:line="22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July 28, 2026, we entered into the second amendment to our 2024 revolving credit facility to remove the credit spread adjustment applicable to SOFR-based borrowings, consistent with the terms of each of our term loan facilities.</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2024 revolving credit facility, term loan facilities, notes payable, and mortgage notes payable are subject to ongoing compliance with a number of financial and other covenants. As of September 30, 2026, we were in compliance with all applicable financial covenants.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color w:val="auto"/>
        </w:rPr>
        <w:t>The chart below details our debt capital structure as of September 30, 2026 (dollar amounts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Debt Capital Structure</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outstanding</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1,683,347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maturity</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 Variable debt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 Fixed debt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 Secured debt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Our 2016 term loan facility and 2018 term loan facility are swapped to be fixed and as such are included as fixed rate debt in the table above.</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Commitments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entered into a construction loan agreement on August 6, 2024 (the “Construction Loan”) to lend up to $52.1 million to a developer (the “Borrower”). On September 3, 2026, the Borrower repaid the remaining $35.6 million outstanding under the Construction Loan, inclusive of accrued interest. No cash commitments remain on the Construction Loan as of September 30, 2026. During the nine months ended September 30, 2026, there were no other material changes to the cash commitment information presented in Item 7 of Part II of our Annual Report on Form 10-K for the year ended December 31, 2025.</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Real Estate Venture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consolidate entities in which we have a controlling interest or are the primary beneficiary in a variable interest entity. From time to time, we may have off-balance sheet unconsolidated real estate ventures and other unconsolidated arrangements with varying structures.</w:t>
      </w:r>
    </w:p>
    <w:p>
      <w:pPr>
        <w:spacing w:after="0" w:line="16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our investment in the JV is $294.1 million. As of September 30, 2026, we had committed capital, net of return of over committed capital, to the JV totaling $332.9 million and had a remaining commitment of $11.6 million available. None of the properties owned by the JV are encumbered by mortgage indebtedness.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more complete description of the JV, see Note 4 to the Consolidated Financial Statements.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order to qualify as a REIT, we are required to distribute to our stockholders, on an annual basis, at least 90% of our REIT taxable income, determined without regard to the deduction for dividends paid and excluding net capital gains. We anticipate distributing all of our taxable income. We expect to make quarterly distributions to our stockholders in a manner intended to satisfy this requirement. Prior to making any distributions for U.S. federal tax purposes or otherwise, we must first satisfy our operating and debt service obligations. It is possible that it would be necessary to utilize cash reserves, liquidate assets at unfavorable prices or incur additional indebtedness in order to make required distributions. It is also possible that our Board of Directors could decide to make required distributions in part by using shares of our common stock.</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dividends declared by the Board of Directors per share of common stock and per common unit at the date of record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2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2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9"/>
                <w:szCs w:val="19"/>
                <w:color w:val="auto"/>
              </w:rPr>
            </w:pPr>
          </w:p>
        </w:tc>
      </w:tr>
      <w:tr>
        <w:trPr>
          <w:trHeight w:val="196"/>
        </w:trPr>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Q1 2026</w:t>
            </w:r>
          </w:p>
        </w:tc>
        <w:tc>
          <w:tcPr>
            <w:tcW w:w="22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April 22,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May 7,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May 21, 2026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shd w:val="clear" w:color="auto" w:fill="CFF0FC"/>
          </w:tcPr>
          <w:p>
            <w:pPr>
              <w:spacing w:after="0"/>
              <w:rPr>
                <w:sz w:val="17"/>
                <w:szCs w:val="17"/>
                <w:color w:val="auto"/>
              </w:rPr>
            </w:pPr>
          </w:p>
        </w:tc>
      </w:tr>
      <w:tr>
        <w:trPr>
          <w:trHeight w:val="203"/>
        </w:trPr>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Q2 2026</w:t>
            </w:r>
          </w:p>
        </w:tc>
        <w:tc>
          <w:tcPr>
            <w:tcW w:w="22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July 29, 2026</w:t>
            </w:r>
          </w:p>
        </w:tc>
        <w:tc>
          <w:tcPr>
            <w:tcW w:w="2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10, 2026</w:t>
            </w:r>
          </w:p>
        </w:tc>
        <w:tc>
          <w:tcPr>
            <w:tcW w:w="2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20, 2026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tcPr>
          <w:p>
            <w:pPr>
              <w:spacing w:after="0"/>
              <w:rPr>
                <w:sz w:val="17"/>
                <w:szCs w:val="17"/>
                <w:color w:val="auto"/>
              </w:rPr>
            </w:pPr>
          </w:p>
        </w:tc>
      </w:tr>
      <w:tr>
        <w:trPr>
          <w:trHeight w:val="203"/>
        </w:trPr>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Q3 2026</w:t>
            </w:r>
          </w:p>
        </w:tc>
        <w:tc>
          <w:tcPr>
            <w:tcW w:w="22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October 22,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November 5,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November 20, 2026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shd w:val="clear" w:color="auto" w:fill="CFF0FC"/>
          </w:tcPr>
          <w:p>
            <w:pPr>
              <w:spacing w:after="0"/>
              <w:rPr>
                <w:sz w:val="17"/>
                <w:szCs w:val="17"/>
                <w:color w:val="auto"/>
              </w:rPr>
            </w:pPr>
          </w:p>
        </w:tc>
      </w:tr>
    </w:tbl>
    <w:p>
      <w:pPr>
        <w:spacing w:after="0" w:line="90" w:lineRule="exact"/>
        <w:rPr>
          <w:sz w:val="20"/>
          <w:szCs w:val="20"/>
          <w:color w:val="auto"/>
        </w:rPr>
      </w:pPr>
    </w:p>
    <w:p>
      <w:pPr>
        <w:ind w:left="760" w:right="60" w:hanging="378"/>
        <w:spacing w:after="0" w:line="25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end of the performance period as set forth in the applicable LTIP unit award, holders of performance-based LTIP units are entitled to receive dividends per LTIP unit equal to 10% of the dividend paid per common unit. After the end of the performance period, the number of LTIP units, both vested and unvested, that LTIP award recipients have earned, if any, are entitled to receive dividends in an amount per LTIP unit equal to dividends, both regular and special, payable per common unit. Holders of LTIP units that are not subject to the attainment of performance goals are entitled to receive dividends per LTIP unit equal to 100% of the dividend paid per common unit beginning on the grant date.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Substantially all of our leases provide for operating expense escalations. We believe inflationary increases in expenses may be at least partially offset by the operating expenses that are passed through to our tenants and by contractual rent increases. We do not believe inflation has had a material impact on our historical financial position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cash flows for the nine months ended September 30, 2026 and 2025 (amounts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119,303</w:t>
            </w:r>
          </w:p>
        </w:tc>
        <w:tc>
          <w:tcPr>
            <w:tcW w:w="1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217,263</w:t>
            </w:r>
          </w:p>
        </w:tc>
        <w:tc>
          <w:tcPr>
            <w:tcW w:w="80" w:type="dxa"/>
            <w:vAlign w:val="bottom"/>
          </w:tcPr>
          <w:p>
            <w:pPr>
              <w:spacing w:after="0"/>
              <w:rPr>
                <w:sz w:val="18"/>
                <w:szCs w:val="18"/>
                <w:color w:val="auto"/>
              </w:rPr>
            </w:pPr>
          </w:p>
        </w:tc>
      </w:tr>
      <w:tr>
        <w:trPr>
          <w:trHeight w:val="216"/>
        </w:trPr>
        <w:tc>
          <w:tcPr>
            <w:tcW w:w="4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(101,662)</w:t>
            </w: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(257,559)</w:t>
            </w:r>
          </w:p>
        </w:tc>
      </w:tr>
      <w:tr>
        <w:trPr>
          <w:trHeight w:val="234"/>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(39,495)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26,701</w:t>
            </w:r>
          </w:p>
        </w:tc>
        <w:tc>
          <w:tcPr>
            <w:tcW w:w="80" w:type="dxa"/>
            <w:vAlign w:val="bottom"/>
          </w:tcPr>
          <w:p>
            <w:pPr>
              <w:spacing w:after="0"/>
              <w:rPr>
                <w:sz w:val="20"/>
                <w:szCs w:val="20"/>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generated $119.3 million and $217.3 million of cash from operating activities during the nine months ended September 30, 2026 and 2025, respectively. Net cash provided by operating activities for the nine months ended September 30, 2026 includes $93.3 million in net cash from rental activities net of expenses, $13.4 million related to the change in tenant accounts receivable, prepaid expenses and other assets, real estate loan interest receivable, deferred revenue associated with operating leases, principal payments on operating lease obligations, principal repayment of sales-type lease, and accounts payable, accrued expenses and other liabilities and $12.6 million related to distributions from investment in unconsolidated real estate venture. Net cash provided by operating activities for the nine months ended September 30, 2025 includes $111.0 million related to the change in tenant accounts receivable, prepaid expenses and other assets, real estate loan interest receivable, deferred revenue associated with operating leases, principal payments on operating lease obligations, and accounts payable, accrued expenses and other liabilities, $91.1 million in net cash from rental activities net of expenses and $15.2 million related to distributions from investment in unconsolidated real estate venture.</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used $101.7 million and $257.6 million in cash for investing activities during the nine months ended September 30, 2026 and 2025, respectively. Net cash used in investing activities for the nine months ended September 30, 2026 includes $64.8 million in additions to development properties, $44.3 million in real estate acquisitions and deposits, $22.2 million in additions to operating properties and $6.9 million in investments in real estate loans receivable, net offset by $33.5 million in repayments of real estate loan receivable and $3.1 million in distributions of capital from unconsolidated real estate venture. Net cash used in investing activities for the nine months ended September 30, 2025 includes $179.4 million in real estate acquisitions and deposits, $58.1 million in additions to development properties, $25.0 million in additions to operating properties and $14.0 million in investment in real estate loan receivable, net offset by $15.5 million in repayments of real estate loan receivable and $3.5 million in proceeds from sale of operating property, net.</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used $39.5 million and generated $26.7 million in cash from financing activities during the nine months ended September 30, 2026 and 2025, respectively. Net cash used in financing activities for the nine months ended September 30, 2026 includes $183.0 million in net paydowns under our 2024 revolving credit facility, $65.9 million in dividend payments, $9.4 million in mortgage notes payable repayment, $1.9 million in deferred financing costs and $0.5 million in the payment of offering costs offset by $200.0 million in term loan draws on our 2026 term loan facility and $21.2 million in gross proceeds from issuance of shares of our common stock. Net cash generated by financing activities for the nine months ended September 30, 2025 includes $125.0 million in note payable issuances, $63.6 million in gross proceeds from issuance of shares of our common stock and $25.5 million in term loan proceeds, offset by $103.7 million in net paydowns under our 2024 revolving credit facility, $72.9 million in dividend payments, $4.8 million in deferred financing costs, $3.4 million in mortgage notes payable repayment, $1.9 million in treasury lock settlement and $0.7 million in the payment of offering costs.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use and present Funds From Operations (“FFO”) and Core FFO as supplemental measures of our performance. The summary below describes our use of FFO and Core FFO and provides information regarding why we believe these measures are meaningful supplemental measures of our performance and reconciles these measures from net income, presented in accordance with GAAP.</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Funds From Operations and Core Funds From Operations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FFO is a supplemental measure of our performance. We present FFO calculated in accordance with the current National Association of Real Estate Investment Trusts (“Nareit”) definition set forth in the Nareit FFO White Paper – Restatement 2018. FFO includes the REIT’s share of FFO generated by unconsolidated affiliates. In addition, we present Core FFO for certain other adjustments that we believe enhance the comparability of our FFO across periods and to the FFO reported by other publicly traded REITs. FFO is a supplemental performance measure that is commonly used in the real estate industry to assist investors and analysts in comparing results of REITs.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FFO is defined by Nareit as net income (calculated in accordance with GAAP), excluding:</w:t>
      </w:r>
    </w:p>
    <w:p>
      <w:pPr>
        <w:spacing w:after="0" w:line="225"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related to real estate.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from the sale of certain real estate assets.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from change in control.</w:t>
      </w:r>
    </w:p>
    <w:p>
      <w:pPr>
        <w:spacing w:after="0" w:line="225"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write-downs of certain real estate assets and investments in entities when the impairment is directly attributable to decreases in the value of depreciable real estate held by the entity.</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present FFO because we consider it an important supplemental measure of our operating performance, and we believe it is frequently used by securities analysts, investors and other interested parties in the evaluation of REITs, many of which present FFO when reporting results.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adjust FFO to present Core FFO as an alternative measure of our operating performance, which, when applicable, excludes items which we believe are not representative of ongoing operating results, such as liability management related costs (including losses on extinguishment of debt and modification costs), catastrophic event charges, depreciation of non-real estate assets, provision for (recovery of) credit losses and the unconsolidated real estate venture’s allocated share of these adjustments. In future periods, we may also exclude other items from Core FFO that we believe may help investors compare our results. We believe Core FFO more accurately reflects the ongoing operational and financial performance of our core business.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FFO and Core FFO are presented as supplemental financial measures and do not fully represent our operating performance. Other REITs may use different methodologies for calculating FFO and Core FFO or use other definitions of FFO and Core FFO and, accordingly, our presentation of these measures may not be comparable to other REITs. Neither FFO nor Core FFO is intended to be a measure of cash flow or liquidity. Please refer to our financial statements, prepared in accordance with GAAP, for purposes of evaluating our financial condition, results of operations and cash flows.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46" w:name="page47"/>
    <w:bookmarkEnd w:id="46"/>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our net income to FFO and Core FFO for the three and nine months ended September 30, 2026 and 2025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20" w:type="dxa"/>
            <w:vAlign w:val="bottom"/>
          </w:tcPr>
          <w:p>
            <w:pPr>
              <w:spacing w:after="0"/>
              <w:rPr>
                <w:sz w:val="15"/>
                <w:szCs w:val="15"/>
                <w:color w:val="auto"/>
              </w:rPr>
            </w:pPr>
          </w:p>
        </w:tc>
        <w:tc>
          <w:tcPr>
            <w:tcW w:w="272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56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5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of real estate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83,523</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loss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Unconsolidated real estate venture allocated share of above adjustments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Pr>
          <w:p>
            <w:pPr>
              <w:spacing w:after="0"/>
              <w:rPr>
                <w:sz w:val="18"/>
                <w:szCs w:val="18"/>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FFO</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101,693</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FFO:</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 and modification costs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Natural disaster event expense, net of recovery</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of non-real estate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Unconsolidated real estate venture allocated share of above adjustments</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Core FFO</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-156845</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-156845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-156845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use judgment in the application of accounting policies, including making estimates and assumptions. We base these estimates, judgments, and assumptions on historical experience, current trends, and various other factors that we believe to be reasonable under the circumstances. If our judgment or interpretation of the facts and circumstances relating to various transactions had been different, or different assumptions were made, it is possible that different accounting policies would have been applied, resulting in different financial results or a different presentation of our financial statements.</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2025 contains a discussion of our significant accounting policies, which utilize relevant critical accounting estimates. During the nine months ended September 30, 2026, there were no material changes to the discussion of our significant accounting policies included in our Annual Report on Form 10-K for the year ended December 31,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interest rates. Our future earnings, cash flows and fair values relevant to financial instruments are dependent upon prevailing market interest rates. Our primary market risk results from our indebtedness, which bears interest at both fixed and variable rates. We manage and may continue to manage our market risk on variable rate debt by entering into swap arrangements to, in effect, fix the rate on all or a portion of the debt for varying periods up to maturity. This in turn, reduces the risks of variability of cash flows created by variable rate debt and mitigates the risk of increases in interest rates. Our objective when undertaking such arrangements is to reduce our floating rate exposure and we do not intend to enter into hedging arrangements for speculative purposes. For more information on our interest rate swaps, see Note 7 to the Consolidated Financial Statements.</w:t>
      </w:r>
    </w:p>
    <w:p>
      <w:pPr>
        <w:spacing w:after="0" w:line="18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$1.5 billion, or 87.2% of our debt, excluding unamortized premiums and discounts, had fixed interest rates and $216.1 million, or 12.8%, had variable interest rates based on SOFR. If market interest rates on our variable rate debt fluctuate by 25 basis points, our interest expense would increase or decrease, depending on rate movement, by $0.5 million annually.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and Rule 15d-15(e) of the Exchange Act, as of September 30, 2026. Based on this evaluation, our principal executive officer and principal financial officer concluded that, as of September 30, 2026, our disclosure controls and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220"/>
        <w:spacing w:after="0" w:line="261" w:lineRule="auto"/>
        <w:rPr>
          <w:sz w:val="20"/>
          <w:szCs w:val="20"/>
          <w:color w:val="auto"/>
        </w:rPr>
      </w:pPr>
      <w:r>
        <w:rPr>
          <w:rFonts w:ascii="Times New Roman" w:cs="Times New Roman" w:eastAsia="Times New Roman" w:hAnsi="Times New Roman"/>
          <w:sz w:val="18"/>
          <w:szCs w:val="18"/>
          <w:color w:val="auto"/>
        </w:rPr>
        <w:t>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2026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involved in any material litigation nor, to our knowledge, is any material litigation currently threatened against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Except to the extent additional factual information disclosed elsewhere in this Quarterly Report on Form 10-Q relates to such risk factors (including, without limitation, the matters discussed in Part I, “Item 2—Management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Discussion and Analysis of Financial Condition and Results of Operations”), there were no material changes to the risk factors disclosed in Part I, “Item 1A. Risk Factors” of our Annual Report on Form 10-K for the year ended December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included, or incorporated by reference, in this Quarterly Report on Form 10-Q:</w:t>
      </w:r>
    </w:p>
    <w:p>
      <w:pPr>
        <w:spacing w:after="0" w:line="219"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u w:val="single" w:color="auto"/>
          <w:color w:val="auto"/>
        </w:rPr>
        <w:t>Exhibit Description</w:t>
      </w:r>
    </w:p>
    <w:p>
      <w:pPr>
        <w:spacing w:after="0" w:line="277" w:lineRule="exact"/>
        <w:rPr>
          <w:sz w:val="20"/>
          <w:szCs w:val="20"/>
          <w:color w:val="auto"/>
        </w:rPr>
      </w:pPr>
    </w:p>
    <w:p>
      <w:pPr>
        <w:ind w:left="1000" w:right="140" w:hanging="773"/>
        <w:spacing w:after="0" w:line="282"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78">
        <w:r>
          <w:rPr>
            <w:rFonts w:ascii="Times New Roman" w:cs="Times New Roman" w:eastAsia="Times New Roman" w:hAnsi="Times New Roman"/>
            <w:sz w:val="18"/>
            <w:szCs w:val="18"/>
            <w:u w:val="single" w:color="auto"/>
            <w:color w:val="0000FF"/>
          </w:rPr>
          <w:t>Amended and Restated Articles of Amendment and Restatement of Easterly Government Properties, Inc. (previously filed as Exhibit 3.1 to</w:t>
        </w:r>
      </w:hyperlink>
      <w:r>
        <w:rPr>
          <w:rFonts w:ascii="Times New Roman" w:cs="Times New Roman" w:eastAsia="Times New Roman" w:hAnsi="Times New Roman"/>
          <w:sz w:val="18"/>
          <w:szCs w:val="18"/>
          <w:u w:val="single" w:color="auto"/>
          <w:color w:val="0000FF"/>
        </w:rPr>
        <w:t xml:space="preserve"> </w:t>
      </w:r>
      <w:hyperlink r:id="rId278">
        <w:r>
          <w:rPr>
            <w:rFonts w:ascii="Times New Roman" w:cs="Times New Roman" w:eastAsia="Times New Roman" w:hAnsi="Times New Roman"/>
            <w:sz w:val="18"/>
            <w:szCs w:val="18"/>
            <w:u w:val="single" w:color="auto"/>
            <w:color w:val="0000FF"/>
          </w:rPr>
          <w:t>Amendment No. 2 to the Company’s Registration Statement on Form S-11 on January 30, 2015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-185420</wp:posOffset>
            </wp:positionV>
            <wp:extent cx="63963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3963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-48260</wp:posOffset>
            </wp:positionV>
            <wp:extent cx="61271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6127115" cy="8890"/>
                    </a:xfrm>
                    <a:prstGeom prst="rect">
                      <a:avLst/>
                    </a:prstGeom>
                    <a:noFill/>
                  </pic:spPr>
                </pic:pic>
              </a:graphicData>
            </a:graphic>
          </wp:anchor>
        </w:drawing>
      </w:r>
    </w:p>
    <w:p>
      <w:pPr>
        <w:spacing w:after="0" w:line="142" w:lineRule="exact"/>
        <w:rPr>
          <w:sz w:val="20"/>
          <w:szCs w:val="20"/>
          <w:color w:val="auto"/>
        </w:rPr>
      </w:pPr>
    </w:p>
    <w:p>
      <w:pPr>
        <w:jc w:val="right"/>
        <w:ind w:left="240" w:right="42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      </w:t>
      </w:r>
      <w:hyperlink r:id="rId281">
        <w:r>
          <w:rPr>
            <w:rFonts w:ascii="Times New Roman" w:cs="Times New Roman" w:eastAsia="Times New Roman" w:hAnsi="Times New Roman"/>
            <w:sz w:val="18"/>
            <w:szCs w:val="18"/>
            <w:u w:val="single" w:color="auto"/>
            <w:color w:val="0000FF"/>
          </w:rPr>
          <w:t>Articles of Amendment to the Amended and Restated Articles of Amendment and Restatement of Easterly Government Properties, Inc.</w:t>
        </w:r>
      </w:hyperlink>
      <w:r>
        <w:rPr>
          <w:rFonts w:ascii="Times New Roman" w:cs="Times New Roman" w:eastAsia="Times New Roman" w:hAnsi="Times New Roman"/>
          <w:sz w:val="18"/>
          <w:szCs w:val="18"/>
          <w:color w:val="auto"/>
        </w:rPr>
        <w:t xml:space="preserve"> </w:t>
      </w:r>
      <w:hyperlink r:id="rId281">
        <w:r>
          <w:rPr>
            <w:rFonts w:ascii="Times New Roman" w:cs="Times New Roman" w:eastAsia="Times New Roman" w:hAnsi="Times New Roman"/>
            <w:sz w:val="18"/>
            <w:szCs w:val="18"/>
            <w:u w:val="single" w:color="auto"/>
            <w:color w:val="0000FF"/>
          </w:rPr>
          <w:t>(previously filed as Exhibit 3.1 to the Company’s Current Report on Form 8-K on April 28, 2025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-185420</wp:posOffset>
            </wp:positionV>
            <wp:extent cx="62249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622490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-48260</wp:posOffset>
            </wp:positionV>
            <wp:extent cx="61906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6190615" cy="8255"/>
                    </a:xfrm>
                    <a:prstGeom prst="rect">
                      <a:avLst/>
                    </a:prstGeom>
                    <a:noFill/>
                  </pic:spPr>
                </pic:pic>
              </a:graphicData>
            </a:graphic>
          </wp:anchor>
        </w:drawing>
      </w:r>
    </w:p>
    <w:p>
      <w:pPr>
        <w:spacing w:after="0" w:line="142" w:lineRule="exact"/>
        <w:rPr>
          <w:sz w:val="20"/>
          <w:szCs w:val="20"/>
          <w:color w:val="auto"/>
        </w:rPr>
      </w:pPr>
    </w:p>
    <w:p>
      <w:pPr>
        <w:jc w:val="right"/>
        <w:ind w:left="240" w:right="42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3.3      </w:t>
      </w:r>
      <w:hyperlink r:id="rId284">
        <w:r>
          <w:rPr>
            <w:rFonts w:ascii="Times New Roman" w:cs="Times New Roman" w:eastAsia="Times New Roman" w:hAnsi="Times New Roman"/>
            <w:sz w:val="18"/>
            <w:szCs w:val="18"/>
            <w:u w:val="single" w:color="auto"/>
            <w:color w:val="0000FF"/>
          </w:rPr>
          <w:t>Articles of Amendment to the Amended and Restated Articles of Amendment and Restatement of Easterly Government Properties, Inc.</w:t>
        </w:r>
      </w:hyperlink>
      <w:r>
        <w:rPr>
          <w:rFonts w:ascii="Times New Roman" w:cs="Times New Roman" w:eastAsia="Times New Roman" w:hAnsi="Times New Roman"/>
          <w:sz w:val="18"/>
          <w:szCs w:val="18"/>
          <w:color w:val="auto"/>
        </w:rPr>
        <w:t xml:space="preserve"> </w:t>
      </w:r>
      <w:hyperlink r:id="rId284">
        <w:r>
          <w:rPr>
            <w:rFonts w:ascii="Times New Roman" w:cs="Times New Roman" w:eastAsia="Times New Roman" w:hAnsi="Times New Roman"/>
            <w:sz w:val="18"/>
            <w:szCs w:val="18"/>
            <w:u w:val="single" w:color="auto"/>
            <w:color w:val="0000FF"/>
          </w:rPr>
          <w:t>(previously filed as Exhibit 3.2 to the Company’s Current Report on Form 8-K on April 28, 2025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-185420</wp:posOffset>
            </wp:positionV>
            <wp:extent cx="62249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622490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-48260</wp:posOffset>
            </wp:positionV>
            <wp:extent cx="619061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6190615" cy="8890"/>
                    </a:xfrm>
                    <a:prstGeom prst="rect">
                      <a:avLst/>
                    </a:prstGeom>
                    <a:noFill/>
                  </pic:spPr>
                </pic:pic>
              </a:graphicData>
            </a:graphic>
          </wp:anchor>
        </w:drawing>
      </w:r>
    </w:p>
    <w:p>
      <w:pPr>
        <w:spacing w:after="0" w:line="142" w:lineRule="exact"/>
        <w:rPr>
          <w:sz w:val="20"/>
          <w:szCs w:val="20"/>
          <w:color w:val="auto"/>
        </w:rPr>
      </w:pPr>
    </w:p>
    <w:p>
      <w:pPr>
        <w:ind w:left="1000" w:right="420" w:hanging="773"/>
        <w:spacing w:after="0" w:line="312"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287">
        <w:r>
          <w:rPr>
            <w:rFonts w:ascii="Times New Roman" w:cs="Times New Roman" w:eastAsia="Times New Roman" w:hAnsi="Times New Roman"/>
            <w:sz w:val="17"/>
            <w:szCs w:val="17"/>
            <w:u w:val="single" w:color="auto"/>
            <w:color w:val="0000FF"/>
          </w:rPr>
          <w:t>Articles of Amendment to the Amended and Restated Articles of Amendment and Restatement of Easterly Government Properties, Inc.</w:t>
        </w:r>
      </w:hyperlink>
      <w:r>
        <w:rPr>
          <w:rFonts w:ascii="Times New Roman" w:cs="Times New Roman" w:eastAsia="Times New Roman" w:hAnsi="Times New Roman"/>
          <w:sz w:val="17"/>
          <w:szCs w:val="17"/>
          <w:u w:val="single" w:color="auto"/>
          <w:color w:val="0000FF"/>
        </w:rPr>
        <w:t xml:space="preserve"> </w:t>
      </w:r>
      <w:hyperlink r:id="rId287">
        <w:r>
          <w:rPr>
            <w:rFonts w:ascii="Times New Roman" w:cs="Times New Roman" w:eastAsia="Times New Roman" w:hAnsi="Times New Roman"/>
            <w:sz w:val="17"/>
            <w:szCs w:val="17"/>
            <w:u w:val="single" w:color="auto"/>
            <w:color w:val="0000FF"/>
          </w:rPr>
          <w:t>(previously filed as Exhibit 3.1 to the Company’s Current Report on Form 8-K on May 8, 2025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-198755</wp:posOffset>
            </wp:positionV>
            <wp:extent cx="62249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622490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-61595</wp:posOffset>
            </wp:positionV>
            <wp:extent cx="61017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6101715" cy="8255"/>
                    </a:xfrm>
                    <a:prstGeom prst="rect">
                      <a:avLst/>
                    </a:prstGeom>
                    <a:noFill/>
                  </pic:spPr>
                </pic:pic>
              </a:graphicData>
            </a:graphic>
          </wp:anchor>
        </w:drawing>
      </w:r>
    </w:p>
    <w:p>
      <w:pPr>
        <w:spacing w:after="0" w:line="120" w:lineRule="exact"/>
        <w:rPr>
          <w:sz w:val="20"/>
          <w:szCs w:val="20"/>
          <w:color w:val="auto"/>
        </w:rPr>
      </w:pPr>
    </w:p>
    <w:p>
      <w:pPr>
        <w:ind w:left="1000" w:right="720" w:hanging="773"/>
        <w:spacing w:after="0" w:line="282"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3.5</w:t>
      </w:r>
      <w:r>
        <w:rPr>
          <w:sz w:val="20"/>
          <w:szCs w:val="20"/>
          <w:color w:val="auto"/>
        </w:rPr>
        <w:tab/>
      </w:r>
      <w:hyperlink r:id="rId290">
        <w:r>
          <w:rPr>
            <w:rFonts w:ascii="Times New Roman" w:cs="Times New Roman" w:eastAsia="Times New Roman" w:hAnsi="Times New Roman"/>
            <w:sz w:val="18"/>
            <w:szCs w:val="18"/>
            <w:u w:val="single" w:color="auto"/>
            <w:color w:val="0000FF"/>
          </w:rPr>
          <w:t>Amended and Restated Bylaws of Easterly Government Properties, Inc. (previously filed as Exhibit 3.2 to Amendment No. 2 to the</w:t>
        </w:r>
      </w:hyperlink>
      <w:r>
        <w:rPr>
          <w:rFonts w:ascii="Times New Roman" w:cs="Times New Roman" w:eastAsia="Times New Roman" w:hAnsi="Times New Roman"/>
          <w:sz w:val="18"/>
          <w:szCs w:val="18"/>
          <w:u w:val="single" w:color="auto"/>
          <w:color w:val="0000FF"/>
        </w:rPr>
        <w:t xml:space="preserve"> </w:t>
      </w:r>
      <w:hyperlink r:id="rId290">
        <w:r>
          <w:rPr>
            <w:rFonts w:ascii="Times New Roman" w:cs="Times New Roman" w:eastAsia="Times New Roman" w:hAnsi="Times New Roman"/>
            <w:sz w:val="18"/>
            <w:szCs w:val="18"/>
            <w:u w:val="single" w:color="auto"/>
            <w:color w:val="0000FF"/>
          </w:rPr>
          <w:t>Company’s Registration Statement on Form S-11 on January 30, 2015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-185420</wp:posOffset>
            </wp:positionV>
            <wp:extent cx="60350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-48260</wp:posOffset>
            </wp:positionV>
            <wp:extent cx="49657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4965700" cy="8255"/>
                    </a:xfrm>
                    <a:prstGeom prst="rect">
                      <a:avLst/>
                    </a:prstGeom>
                    <a:noFill/>
                  </pic:spPr>
                </pic:pic>
              </a:graphicData>
            </a:graphic>
          </wp:anchor>
        </w:drawing>
      </w:r>
    </w:p>
    <w:p>
      <w:pPr>
        <w:spacing w:after="0" w:line="142" w:lineRule="exact"/>
        <w:rPr>
          <w:sz w:val="20"/>
          <w:szCs w:val="20"/>
          <w:color w:val="auto"/>
        </w:rPr>
      </w:pPr>
    </w:p>
    <w:p>
      <w:pPr>
        <w:ind w:left="1000" w:right="780" w:hanging="773"/>
        <w:spacing w:after="0" w:line="282"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hyperlink r:id="rId293">
        <w:r>
          <w:rPr>
            <w:rFonts w:ascii="Times New Roman" w:cs="Times New Roman" w:eastAsia="Times New Roman" w:hAnsi="Times New Roman"/>
            <w:sz w:val="18"/>
            <w:szCs w:val="18"/>
            <w:u w:val="single" w:color="auto"/>
            <w:color w:val="0000FF"/>
          </w:rPr>
          <w:t>First Amendment to Amended and Restated Bylaws of Easterly Government Properties, Inc. (previously filed as Exhibit 3.1 to the</w:t>
        </w:r>
      </w:hyperlink>
      <w:r>
        <w:rPr>
          <w:rFonts w:ascii="Times New Roman" w:cs="Times New Roman" w:eastAsia="Times New Roman" w:hAnsi="Times New Roman"/>
          <w:sz w:val="18"/>
          <w:szCs w:val="18"/>
          <w:u w:val="single" w:color="auto"/>
          <w:color w:val="0000FF"/>
        </w:rPr>
        <w:t xml:space="preserve"> </w:t>
      </w:r>
      <w:hyperlink r:id="rId293">
        <w:r>
          <w:rPr>
            <w:rFonts w:ascii="Times New Roman" w:cs="Times New Roman" w:eastAsia="Times New Roman" w:hAnsi="Times New Roman"/>
            <w:sz w:val="18"/>
            <w:szCs w:val="18"/>
            <w:u w:val="single" w:color="auto"/>
            <w:color w:val="0000FF"/>
          </w:rPr>
          <w:t>Company’s Current Report on Form 8-K on February 27, 2019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-185420</wp:posOffset>
            </wp:positionV>
            <wp:extent cx="59905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59905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-48260</wp:posOffset>
            </wp:positionV>
            <wp:extent cx="46291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142" w:lineRule="exact"/>
        <w:rPr>
          <w:sz w:val="20"/>
          <w:szCs w:val="20"/>
          <w:color w:val="auto"/>
        </w:rPr>
      </w:pPr>
    </w:p>
    <w:p>
      <w:pPr>
        <w:ind w:left="1000" w:right="580" w:hanging="773"/>
        <w:spacing w:after="0" w:line="282"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3.7</w:t>
      </w:r>
      <w:r>
        <w:rPr>
          <w:sz w:val="20"/>
          <w:szCs w:val="20"/>
          <w:color w:val="auto"/>
        </w:rPr>
        <w:tab/>
      </w:r>
      <w:hyperlink r:id="rId296">
        <w:r>
          <w:rPr>
            <w:rFonts w:ascii="Times New Roman" w:cs="Times New Roman" w:eastAsia="Times New Roman" w:hAnsi="Times New Roman"/>
            <w:sz w:val="18"/>
            <w:szCs w:val="18"/>
            <w:u w:val="single" w:color="auto"/>
            <w:color w:val="0000FF"/>
          </w:rPr>
          <w:t>Second Amendment to Amended and Restated Bylaws of Easterly Government Properties, Inc. (previously filed as Exhibit 3.1 to the</w:t>
        </w:r>
      </w:hyperlink>
      <w:r>
        <w:rPr>
          <w:rFonts w:ascii="Times New Roman" w:cs="Times New Roman" w:eastAsia="Times New Roman" w:hAnsi="Times New Roman"/>
          <w:sz w:val="18"/>
          <w:szCs w:val="18"/>
          <w:u w:val="single" w:color="auto"/>
          <w:color w:val="0000FF"/>
        </w:rPr>
        <w:t xml:space="preserve"> </w:t>
      </w:r>
      <w:hyperlink r:id="rId296">
        <w:r>
          <w:rPr>
            <w:rFonts w:ascii="Times New Roman" w:cs="Times New Roman" w:eastAsia="Times New Roman" w:hAnsi="Times New Roman"/>
            <w:sz w:val="18"/>
            <w:szCs w:val="18"/>
            <w:u w:val="single" w:color="auto"/>
            <w:color w:val="0000FF"/>
          </w:rPr>
          <w:t>Company’s Current Report on Form 8-K on May 20,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-185420</wp:posOffset>
            </wp:positionV>
            <wp:extent cx="61175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61175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-48260</wp:posOffset>
            </wp:positionV>
            <wp:extent cx="44259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4425950" cy="8890"/>
                    </a:xfrm>
                    <a:prstGeom prst="rect">
                      <a:avLst/>
                    </a:prstGeom>
                    <a:noFill/>
                  </pic:spPr>
                </pic:pic>
              </a:graphicData>
            </a:graphic>
          </wp:anchor>
        </w:drawing>
      </w:r>
    </w:p>
    <w:p>
      <w:pPr>
        <w:spacing w:after="0" w:line="142" w:lineRule="exact"/>
        <w:rPr>
          <w:sz w:val="20"/>
          <w:szCs w:val="20"/>
          <w:color w:val="auto"/>
        </w:rPr>
      </w:pPr>
    </w:p>
    <w:p>
      <w:pPr>
        <w:ind w:left="1000" w:right="80" w:hanging="773"/>
        <w:spacing w:after="0" w:line="282"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299">
        <w:r>
          <w:rPr>
            <w:rFonts w:ascii="Times New Roman" w:cs="Times New Roman" w:eastAsia="Times New Roman" w:hAnsi="Times New Roman"/>
            <w:sz w:val="18"/>
            <w:szCs w:val="18"/>
            <w:u w:val="single" w:color="auto"/>
            <w:color w:val="0000FF"/>
          </w:rPr>
          <w:t>Specimen Certificate of Common Stock of Easterly Government Properties, Inc. (previously filed as Exhibit 4.1 to Amendment No. 2 to the</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Company’s Registration Statement on Form S-11 on January 30, 2015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-185420</wp:posOffset>
            </wp:positionV>
            <wp:extent cx="64319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643191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-48260</wp:posOffset>
            </wp:positionV>
            <wp:extent cx="4965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line="250" w:lineRule="exact"/>
        <w:rPr>
          <w:sz w:val="20"/>
          <w:szCs w:val="20"/>
          <w:color w:val="auto"/>
        </w:rPr>
      </w:pPr>
    </w:p>
    <w:p>
      <w:pPr>
        <w:ind w:left="1000" w:hanging="773"/>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02">
        <w:r>
          <w:rPr>
            <w:rFonts w:ascii="Times New Roman" w:cs="Times New Roman" w:eastAsia="Times New Roman" w:hAnsi="Times New Roman"/>
            <w:sz w:val="18"/>
            <w:szCs w:val="18"/>
            <w:u w:val="single" w:color="auto"/>
            <w:color w:val="0000FF"/>
          </w:rPr>
          <w:t>Second Amendment to Credit Agreement, dated as of July 28, 2026, by and among Easterly Government Properties, Inc., Easterly</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Government Properties LP, the Guarantors named therein, the Initial Lenders and Initial Issuing Banks named therein, and Citibank, N.A., as</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Administrative Agent, Wells Fargo Bank, N.A., PNC Bank, National Association and Truist Bank (previously filed as Exhibit 10.5 to the</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Company's Quarterly Report on Form 10-Q on August 3, 2026 and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639445</wp:posOffset>
            </wp:positionH>
            <wp:positionV relativeFrom="paragraph">
              <wp:posOffset>-448310</wp:posOffset>
            </wp:positionV>
            <wp:extent cx="59874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598741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-311150</wp:posOffset>
            </wp:positionV>
            <wp:extent cx="64820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648208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-173990</wp:posOffset>
            </wp:positionV>
            <wp:extent cx="63119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631190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-36830</wp:posOffset>
            </wp:positionV>
            <wp:extent cx="46177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4617720" cy="8890"/>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1000" w:right="20" w:hanging="773"/>
        <w:spacing w:after="0" w:line="255"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307">
        <w:r>
          <w:rPr>
            <w:rFonts w:ascii="Times New Roman" w:cs="Times New Roman" w:eastAsia="Times New Roman" w:hAnsi="Times New Roman"/>
            <w:sz w:val="18"/>
            <w:szCs w:val="18"/>
            <w:u w:val="single" w:color="auto"/>
            <w:color w:val="0000FF"/>
          </w:rPr>
          <w:t>Sixth Amendment to Second Amended and Restated Credit Agreement, dated as of July 28, 2026, by and among Easterly Government</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Properties, Inc., Easterly Government Properties LP, the Guarantors named therein, the Initial Lenders named therein, and Citibank, N.A., as</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Administrative Agent, Wells Fargo Bank, N.A., PNC Bank, National Association, Truist Bank and U.S. Bank National Association as Co-</w:t>
        </w:r>
      </w:hyperlink>
      <w:hyperlink r:id="rId307">
        <w:r>
          <w:rPr>
            <w:rFonts w:ascii="Times New Roman" w:cs="Times New Roman" w:eastAsia="Times New Roman" w:hAnsi="Times New Roman"/>
            <w:sz w:val="18"/>
            <w:szCs w:val="18"/>
            <w:u w:val="single" w:color="auto"/>
            <w:color w:val="0000FF"/>
          </w:rPr>
          <w:t>Syndication Agents, Raymond James Bank, Royal Bank of Canada, as Documentation Agent, and Citibank, N.A., Wells Fargo Securities,</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LLC, PNC Capital Markets LLC, Truist Bank and U.S. Bank National Association as Joint Lead Arrangers and Joint Book Running</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Managers (previously filed as Exhibit 10.6 to the Company's Quarterly Report on Form 10-Q on August 3, 2026 and incorporated herein by</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639445</wp:posOffset>
            </wp:positionH>
            <wp:positionV relativeFrom="paragraph">
              <wp:posOffset>-854075</wp:posOffset>
            </wp:positionV>
            <wp:extent cx="61906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619061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-716915</wp:posOffset>
            </wp:positionV>
            <wp:extent cx="64693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646938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-579755</wp:posOffset>
            </wp:positionV>
            <wp:extent cx="63373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-442595</wp:posOffset>
            </wp:positionV>
            <wp:extent cx="63430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634301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-305435</wp:posOffset>
            </wp:positionV>
            <wp:extent cx="60737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607377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-168275</wp:posOffset>
            </wp:positionV>
            <wp:extent cx="64236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642366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-31115</wp:posOffset>
            </wp:positionV>
            <wp:extent cx="4629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9"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2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8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Required by Rule 13a-14(a) of the Securities Exchange Act of 1934, as amended</w:t>
            </w:r>
          </w:p>
        </w:tc>
        <w:tc>
          <w:tcPr>
            <w:tcW w:w="1400" w:type="dxa"/>
            <w:vAlign w:val="bottom"/>
            <w:gridSpan w:val="2"/>
          </w:tcPr>
          <w:p>
            <w:pPr>
              <w:spacing w:after="0"/>
              <w:rPr>
                <w:sz w:val="24"/>
                <w:szCs w:val="24"/>
                <w:color w:val="auto"/>
              </w:rPr>
            </w:pPr>
          </w:p>
        </w:tc>
      </w:tr>
      <w:tr>
        <w:trPr>
          <w:trHeight w:val="318"/>
        </w:trPr>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13a-14(a) of the Securities Exchange Act of 1934, as amended</w:t>
            </w:r>
          </w:p>
        </w:tc>
      </w:tr>
      <w:tr>
        <w:trPr>
          <w:trHeight w:val="20"/>
        </w:trPr>
        <w:tc>
          <w:tcPr>
            <w:tcW w:w="1000" w:type="dxa"/>
            <w:vAlign w:val="bottom"/>
            <w:gridSpan w:val="3"/>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40" w:type="dxa"/>
            <w:vAlign w:val="bottom"/>
            <w:tcBorders>
              <w:right w:val="single" w:sz="8" w:color="0000EE"/>
            </w:tcBorders>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Required by Rule 13a-14(b) of the Securities Exchange Act of 1934, as</w:t>
            </w:r>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amended</w:t>
            </w:r>
          </w:p>
        </w:tc>
        <w:tc>
          <w:tcPr>
            <w:tcW w:w="20" w:type="dxa"/>
            <w:vAlign w:val="bottom"/>
            <w:tcBorders>
              <w:bottom w:val="single" w:sz="8" w:color="0000EE"/>
            </w:tcBorders>
          </w:tcPr>
          <w:p>
            <w:pPr>
              <w:spacing w:after="0"/>
              <w:rPr>
                <w:sz w:val="17"/>
                <w:szCs w:val="17"/>
                <w:color w:val="auto"/>
              </w:rPr>
            </w:pPr>
          </w:p>
        </w:tc>
        <w:tc>
          <w:tcPr>
            <w:tcW w:w="9480" w:type="dxa"/>
            <w:vAlign w:val="bottom"/>
            <w:gridSpan w:val="6"/>
          </w:tcPr>
          <w:p>
            <w:pPr>
              <w:spacing w:after="0"/>
              <w:rPr>
                <w:sz w:val="17"/>
                <w:szCs w:val="17"/>
                <w:color w:val="auto"/>
              </w:rPr>
            </w:pPr>
          </w:p>
        </w:tc>
      </w:tr>
      <w:tr>
        <w:trPr>
          <w:trHeight w:val="43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as its XBRL tags are embedded within</w:t>
            </w:r>
          </w:p>
        </w:tc>
      </w:tr>
      <w:tr>
        <w:trPr>
          <w:trHeight w:val="234"/>
        </w:trPr>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43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43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78" w:right="419" w:bottom="1440" w:gutter="0" w:footer="0" w:header="0"/>
        </w:sectPr>
      </w:pPr>
    </w:p>
    <w:bookmarkStart w:id="50" w:name="page51"/>
    <w:bookmarkEnd w:id="50"/>
    <w:p>
      <w:pPr>
        <w:jc w:val="center"/>
        <w:ind w:left="50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1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Easterly Government Properties, Inc.</w:t>
            </w:r>
          </w:p>
        </w:tc>
      </w:tr>
      <w:tr>
        <w:trPr>
          <w:trHeight w:val="418"/>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Darrell W. Crate</w:t>
            </w:r>
          </w:p>
        </w:tc>
      </w:tr>
      <w:tr>
        <w:trPr>
          <w:trHeight w:val="21"/>
        </w:trPr>
        <w:tc>
          <w:tcPr>
            <w:tcW w:w="44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Darrell W. Crate</w:t>
            </w:r>
          </w:p>
        </w:tc>
      </w:tr>
      <w:tr>
        <w:trPr>
          <w:trHeight w:val="216"/>
        </w:trPr>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Allison E. Marino</w:t>
            </w:r>
          </w:p>
        </w:tc>
      </w:tr>
      <w:tr>
        <w:trPr>
          <w:trHeight w:val="21"/>
        </w:trPr>
        <w:tc>
          <w:tcPr>
            <w:tcW w:w="44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Allison E. Marino</w:t>
            </w:r>
          </w:p>
        </w:tc>
      </w:tr>
      <w:tr>
        <w:trPr>
          <w:trHeight w:val="216"/>
        </w:trPr>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08"/>
        </w:trPr>
        <w:tc>
          <w:tcPr>
            <w:tcW w:w="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Rule 13a-14(a) and Rule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Darrell W. Crate, certify that:</w:t>
      </w:r>
    </w:p>
    <w:p>
      <w:pPr>
        <w:spacing w:after="0" w:line="117"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Easterly Government Properties,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Darrell W. Crate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Rule 13a-14(a) and Rule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E. Marino, certify that:</w:t>
      </w:r>
    </w:p>
    <w:p>
      <w:pPr>
        <w:spacing w:after="0" w:line="117" w:lineRule="exact"/>
        <w:rPr>
          <w:sz w:val="20"/>
          <w:szCs w:val="20"/>
          <w:color w:val="auto"/>
        </w:rPr>
      </w:pPr>
    </w:p>
    <w:p>
      <w:pPr>
        <w:ind w:left="360" w:hanging="352"/>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Easterly Government Properties,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Allison E.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Allison E. Marino</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 Section 1350</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undersigned officers, who are the Chief Executive Officer and Chief Financial Officer of Easterly Government Properties, Inc. (the “Company”), each hereby certifies to the best of his or her knowledge, that the Company’s Quarterly Report on Form 10-Q to which this certification is attached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Darrell W. Crate</w:t>
            </w:r>
          </w:p>
        </w:tc>
        <w:tc>
          <w:tcPr>
            <w:tcW w:w="2260" w:type="dxa"/>
            <w:vAlign w:val="bottom"/>
          </w:tcPr>
          <w:p>
            <w:pPr>
              <w:spacing w:after="0"/>
              <w:rPr>
                <w:sz w:val="20"/>
                <w:szCs w:val="20"/>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Allison E. Marino</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Darrell W. Crate</w:t>
            </w:r>
          </w:p>
        </w:tc>
        <w:tc>
          <w:tcPr>
            <w:tcW w:w="22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Allison E. Marino</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45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October 26, 2026</w:t>
            </w:r>
          </w:p>
        </w:tc>
        <w:tc>
          <w:tcPr>
            <w:tcW w:w="2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1910"/>
        </w:trPr>
        <w:tc>
          <w:tcPr>
            <w:tcW w:w="45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1"/>
    </w:lvl>
    <w:lvl w:ilvl="1">
      <w:lvlJc w:val="left"/>
      <w:lvlText w:val="(%2)"/>
      <w:numFmt w:val="decimal"/>
      <w:start w:val="1"/>
    </w:lvl>
  </w:abstractNum>
  <w:abstractNum w:abstractNumId="7">
    <w:nsid w:val="431BD7B7"/>
    <w:multiLevelType w:val="hybridMultilevel"/>
    <w:lvl w:ilvl="0">
      <w:lvlJc w:val="left"/>
      <w:lvlText w:val="%1."/>
      <w:numFmt w:val="decimal"/>
      <w:start w:val="9"/>
    </w:lvl>
    <w:lvl w:ilvl="1">
      <w:lvlJc w:val="left"/>
      <w:lvlText w:val="%2"/>
      <w:numFmt w:val="decimal"/>
      <w:start w:val="1"/>
    </w:lvl>
  </w:abstractNum>
  <w:abstractNum w:abstractNumId="8">
    <w:nsid w:val="3F2DBA31"/>
    <w:multiLevelType w:val="hybridMultilevel"/>
    <w:lvl w:ilvl="0">
      <w:lvlJc w:val="left"/>
      <w:lvlText w:val="(%1)"/>
      <w:numFmt w:val="lowerRoman"/>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lvl w:ilvl="1">
      <w:lvlJc w:val="left"/>
      <w:lvlText w:val="(%2)"/>
      <w:numFmt w:val="decimal"/>
      <w:start w:val="1"/>
    </w:lvl>
  </w:abstractNum>
  <w:abstractNum w:abstractNumId="13">
    <w:nsid w:val="628C895D"/>
    <w:multiLevelType w:val="hybridMultilevel"/>
    <w:lvl w:ilvl="0">
      <w:lvlJc w:val="left"/>
      <w:lvlText w:val="%1."/>
      <w:numFmt w:val="decimal"/>
      <w:start w:val="12"/>
    </w:lvl>
    <w:lvl w:ilvl="1">
      <w:lvlJc w:val="left"/>
      <w:lvlText w:val="%2"/>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3"/>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278" Type="http://schemas.openxmlformats.org/officeDocument/2006/relationships/hyperlink" Target="https://www.sec.gov/Archives/edgar/data/1622194/000119312515027683/d803720dex31.htm" TargetMode="External"/><Relationship Id="rId281" Type="http://schemas.openxmlformats.org/officeDocument/2006/relationships/hyperlink" Target="https://www.sec.gov/Archives/edgar/data/1622194/000095017025058978/dea-ex3_1.htm" TargetMode="External"/><Relationship Id="rId284" Type="http://schemas.openxmlformats.org/officeDocument/2006/relationships/hyperlink" Target="https://www.sec.gov/Archives/edgar/data/1622194/000095017025058978/dea-ex3_2.htm" TargetMode="External"/><Relationship Id="rId287" Type="http://schemas.openxmlformats.org/officeDocument/2006/relationships/hyperlink" Target="https://www.sec.gov/Archives/edgar/data/1622194/000095017025067183/dea-ex3_1.htm" TargetMode="External"/><Relationship Id="rId290" Type="http://schemas.openxmlformats.org/officeDocument/2006/relationships/hyperlink" Target="https://www.sec.gov/Archives/edgar/data/1622194/000119312515027683/d803720dex32.htm" TargetMode="External"/><Relationship Id="rId293" Type="http://schemas.openxmlformats.org/officeDocument/2006/relationships/hyperlink" Target="https://www.sec.gov/Archives/edgar/data/0001622194/000156459019004911/dea-ex31_6.htm" TargetMode="External"/><Relationship Id="rId296" Type="http://schemas.openxmlformats.org/officeDocument/2006/relationships/hyperlink" Target="https://www.sec.gov/Archives/edgar/data/1622194/000156459021029111/dea-ex31_15.htm" TargetMode="External"/><Relationship Id="rId299" Type="http://schemas.openxmlformats.org/officeDocument/2006/relationships/hyperlink" Target="https://www.sec.gov/Archives/edgar/data/1622194/000119312515027683/d803720dex41.htm" TargetMode="External"/><Relationship Id="rId302" Type="http://schemas.openxmlformats.org/officeDocument/2006/relationships/hyperlink" Target="https://www.sec.gov/Archives/edgar/data/1622194/000162219426000026/dea-ex10_5.htm" TargetMode="External"/><Relationship Id="rId307" Type="http://schemas.openxmlformats.org/officeDocument/2006/relationships/hyperlink" Target="https://www.sec.gov/Archives/edgar/data/1622194/000162219426000026/dea-ex10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2026-10-26T15:51:13Z</dcterms:created>
  <dcterms:modified xsi:type="dcterms:W3CDTF">2026-10-26T15:51:13Z</dcterms:modified>
</cp:coreProperties>
</file>