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03" w:lineRule="exact"/>
        <w:rPr>
          <w:sz w:val="24"/>
          <w:szCs w:val="24"/>
          <w:color w:val="auto"/>
        </w:rPr>
      </w:pPr>
    </w:p>
    <w:p>
      <w:pPr>
        <w:ind w:left="760" w:right="320" w:hanging="752"/>
        <w:spacing w:after="0" w:line="254" w:lineRule="auto"/>
        <w:tabs>
          <w:tab w:leader="none" w:pos="76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40" w:lineRule="exact"/>
        <w:rPr>
          <w:sz w:val="24"/>
          <w:szCs w:val="24"/>
          <w:color w:val="auto"/>
        </w:rPr>
      </w:pPr>
    </w:p>
    <w:p>
      <w:pPr>
        <w:ind w:left="760" w:right="300" w:hanging="752"/>
        <w:spacing w:after="0" w:line="254" w:lineRule="auto"/>
        <w:tabs>
          <w:tab w:leader="none" w:pos="76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3677285</wp:posOffset>
            </wp:positionH>
            <wp:positionV relativeFrom="paragraph">
              <wp:posOffset>-5080</wp:posOffset>
            </wp:positionV>
            <wp:extent cx="571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001-36834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131445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EASTERLY GOVERNMENT PROPERTIES, INC.</w:t>
      </w:r>
    </w:p>
    <w:p>
      <w:pPr>
        <w:spacing w:after="0" w:line="8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102235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53" w:lineRule="exact"/>
        <w:rPr>
          <w:sz w:val="24"/>
          <w:szCs w:val="24"/>
          <w:color w:val="auto"/>
        </w:rPr>
      </w:pPr>
    </w:p>
    <w:tbl>
      <w:tblPr>
        <w:tblLayout w:type="fixed"/>
        <w:tblInd w:w="680" w:type="dxa"/>
        <w:tblCellMar>
          <w:top w:w="0" w:type="dxa"/>
          <w:left w:w="0" w:type="dxa"/>
          <w:bottom w:w="0" w:type="dxa"/>
          <w:right w:w="0" w:type="dxa"/>
        </w:tblCellMar>
      </w:tblPr>
      <w:tr>
        <w:trPr>
          <w:trHeight w:val="214"/>
        </w:trPr>
        <w:tc>
          <w:tcPr>
            <w:tcW w:w="6660" w:type="dxa"/>
            <w:vAlign w:val="bottom"/>
          </w:tcPr>
          <w:p>
            <w:pPr>
              <w:jc w:val="center"/>
              <w:ind w:right="2419"/>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200" w:type="dxa"/>
            <w:vAlign w:val="bottom"/>
          </w:tcPr>
          <w:p>
            <w:pPr>
              <w:jc w:val="right"/>
              <w:ind w:right="539"/>
              <w:spacing w:after="0"/>
              <w:rPr>
                <w:sz w:val="20"/>
                <w:szCs w:val="20"/>
                <w:color w:val="auto"/>
              </w:rPr>
            </w:pPr>
            <w:r>
              <w:rPr>
                <w:rFonts w:ascii="Times New Roman" w:cs="Times New Roman" w:eastAsia="Times New Roman" w:hAnsi="Times New Roman"/>
                <w:sz w:val="18"/>
                <w:szCs w:val="18"/>
                <w:b w:val="1"/>
                <w:bCs w:val="1"/>
                <w:color w:val="auto"/>
              </w:rPr>
              <w:t>47-2047728</w:t>
            </w:r>
          </w:p>
        </w:tc>
      </w:tr>
      <w:tr>
        <w:trPr>
          <w:trHeight w:val="151"/>
        </w:trPr>
        <w:tc>
          <w:tcPr>
            <w:tcW w:w="6660" w:type="dxa"/>
            <w:vAlign w:val="bottom"/>
          </w:tcPr>
          <w:p>
            <w:pPr>
              <w:jc w:val="center"/>
              <w:ind w:right="2399"/>
              <w:spacing w:after="0" w:line="151" w:lineRule="exact"/>
              <w:rPr>
                <w:sz w:val="20"/>
                <w:szCs w:val="20"/>
                <w:color w:val="auto"/>
              </w:rPr>
            </w:pPr>
            <w:r>
              <w:rPr>
                <w:rFonts w:ascii="Times New Roman" w:cs="Times New Roman" w:eastAsia="Times New Roman" w:hAnsi="Times New Roman"/>
                <w:sz w:val="14"/>
                <w:szCs w:val="14"/>
                <w:b w:val="1"/>
                <w:bCs w:val="1"/>
                <w:color w:val="auto"/>
              </w:rPr>
              <w:t>(State of Incorporation)</w:t>
            </w:r>
          </w:p>
        </w:tc>
        <w:tc>
          <w:tcPr>
            <w:tcW w:w="2200" w:type="dxa"/>
            <w:vAlign w:val="bottom"/>
          </w:tcPr>
          <w:p>
            <w:pPr>
              <w:jc w:val="center"/>
              <w:ind w:left="19"/>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214"/>
        </w:trPr>
        <w:tc>
          <w:tcPr>
            <w:tcW w:w="6660" w:type="dxa"/>
            <w:vAlign w:val="bottom"/>
          </w:tcPr>
          <w:p>
            <w:pPr>
              <w:jc w:val="center"/>
              <w:ind w:right="2419"/>
              <w:spacing w:after="0"/>
              <w:rPr>
                <w:sz w:val="20"/>
                <w:szCs w:val="20"/>
                <w:color w:val="auto"/>
              </w:rPr>
            </w:pPr>
            <w:r>
              <w:rPr>
                <w:rFonts w:ascii="Times New Roman" w:cs="Times New Roman" w:eastAsia="Times New Roman" w:hAnsi="Times New Roman"/>
                <w:sz w:val="18"/>
                <w:szCs w:val="18"/>
                <w:b w:val="1"/>
                <w:bCs w:val="1"/>
                <w:color w:val="auto"/>
                <w:w w:val="99"/>
              </w:rPr>
              <w:t>2001 K Street NW, Suite 775 North, Washington, D.C.</w:t>
            </w:r>
          </w:p>
        </w:tc>
        <w:tc>
          <w:tcPr>
            <w:tcW w:w="2200" w:type="dxa"/>
            <w:vAlign w:val="bottom"/>
          </w:tcPr>
          <w:p>
            <w:pPr>
              <w:jc w:val="right"/>
              <w:ind w:right="739"/>
              <w:spacing w:after="0"/>
              <w:rPr>
                <w:sz w:val="20"/>
                <w:szCs w:val="20"/>
                <w:color w:val="auto"/>
              </w:rPr>
            </w:pPr>
            <w:r>
              <w:rPr>
                <w:rFonts w:ascii="Times New Roman" w:cs="Times New Roman" w:eastAsia="Times New Roman" w:hAnsi="Times New Roman"/>
                <w:sz w:val="18"/>
                <w:szCs w:val="18"/>
                <w:b w:val="1"/>
                <w:bCs w:val="1"/>
                <w:color w:val="auto"/>
              </w:rPr>
              <w:t>20006</w:t>
            </w:r>
          </w:p>
        </w:tc>
      </w:tr>
      <w:tr>
        <w:trPr>
          <w:trHeight w:val="190"/>
        </w:trPr>
        <w:tc>
          <w:tcPr>
            <w:tcW w:w="6660" w:type="dxa"/>
            <w:vAlign w:val="bottom"/>
          </w:tcPr>
          <w:p>
            <w:pPr>
              <w:jc w:val="center"/>
              <w:ind w:right="23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00" w:type="dxa"/>
            <w:vAlign w:val="bottom"/>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42"/>
        </w:trPr>
        <w:tc>
          <w:tcPr>
            <w:tcW w:w="6660" w:type="dxa"/>
            <w:vAlign w:val="bottom"/>
          </w:tcPr>
          <w:p>
            <w:pPr>
              <w:jc w:val="right"/>
              <w:ind w:right="1099"/>
              <w:spacing w:after="0"/>
              <w:rPr>
                <w:sz w:val="20"/>
                <w:szCs w:val="20"/>
                <w:color w:val="auto"/>
              </w:rPr>
            </w:pPr>
            <w:r>
              <w:rPr>
                <w:rFonts w:ascii="Times New Roman" w:cs="Times New Roman" w:eastAsia="Times New Roman" w:hAnsi="Times New Roman"/>
                <w:sz w:val="18"/>
                <w:szCs w:val="18"/>
                <w:b w:val="1"/>
                <w:bCs w:val="1"/>
                <w:color w:val="auto"/>
              </w:rPr>
              <w:t>(202) 595-9500</w:t>
            </w:r>
          </w:p>
        </w:tc>
        <w:tc>
          <w:tcPr>
            <w:tcW w:w="2200" w:type="dxa"/>
            <w:vAlign w:val="bottom"/>
          </w:tcPr>
          <w:p>
            <w:pPr>
              <w:spacing w:after="0"/>
              <w:rPr>
                <w:sz w:val="21"/>
                <w:szCs w:val="21"/>
                <w:color w:val="auto"/>
              </w:rPr>
            </w:pPr>
          </w:p>
        </w:tc>
      </w:tr>
      <w:tr>
        <w:trPr>
          <w:trHeight w:val="190"/>
        </w:trPr>
        <w:tc>
          <w:tcPr>
            <w:tcW w:w="6660" w:type="dxa"/>
            <w:vAlign w:val="bottom"/>
          </w:tcPr>
          <w:p>
            <w:pPr>
              <w:jc w:val="center"/>
              <w:ind w:left="31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00" w:type="dxa"/>
            <w:vAlign w:val="bottom"/>
          </w:tcPr>
          <w:p>
            <w:pPr>
              <w:spacing w:after="0"/>
              <w:rPr>
                <w:sz w:val="16"/>
                <w:szCs w:val="16"/>
                <w:color w:val="auto"/>
              </w:rPr>
            </w:pPr>
          </w:p>
        </w:tc>
      </w:tr>
    </w:tbl>
    <w:p>
      <w:pPr>
        <w:spacing w:after="0" w:line="23"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63" w:lineRule="exact"/>
        <w:rPr>
          <w:sz w:val="24"/>
          <w:szCs w:val="24"/>
          <w:color w:val="auto"/>
        </w:rPr>
      </w:pPr>
    </w:p>
    <w:tbl>
      <w:tblPr>
        <w:tblLayout w:type="fixed"/>
        <w:tblInd w:w="10" w:type="dxa"/>
        <w:tblCellMar>
          <w:top w:w="0" w:type="dxa"/>
          <w:left w:w="0" w:type="dxa"/>
          <w:bottom w:w="0" w:type="dxa"/>
          <w:right w:w="0" w:type="dxa"/>
        </w:tblCellMar>
      </w:tblPr>
      <w:tr>
        <w:trPr>
          <w:trHeight w:val="141"/>
        </w:trPr>
        <w:tc>
          <w:tcPr>
            <w:tcW w:w="508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120" w:type="dxa"/>
            <w:vAlign w:val="bottom"/>
            <w:tcBorders>
              <w:top w:val="single" w:sz="8" w:color="auto"/>
              <w:right w:val="single" w:sz="8" w:color="auto"/>
            </w:tcBorders>
          </w:tcPr>
          <w:p>
            <w:pPr>
              <w:jc w:val="center"/>
              <w:spacing w:after="0" w:line="141" w:lineRule="exact"/>
              <w:rPr>
                <w:sz w:val="20"/>
                <w:szCs w:val="20"/>
                <w:color w:val="auto"/>
              </w:rPr>
            </w:pPr>
            <w:r>
              <w:rPr>
                <w:rFonts w:ascii="Times New Roman" w:cs="Times New Roman" w:eastAsia="Times New Roman" w:hAnsi="Times New Roman"/>
                <w:sz w:val="14"/>
                <w:szCs w:val="14"/>
                <w:b w:val="1"/>
                <w:bCs w:val="1"/>
                <w:color w:val="auto"/>
              </w:rPr>
              <w:t>Trading</w:t>
            </w:r>
          </w:p>
        </w:tc>
        <w:tc>
          <w:tcPr>
            <w:tcW w:w="50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90"/>
        </w:trPr>
        <w:tc>
          <w:tcPr>
            <w:tcW w:w="5080" w:type="dxa"/>
            <w:vAlign w:val="bottom"/>
            <w:tcBorders>
              <w:left w:val="single" w:sz="8" w:color="auto"/>
              <w:bottom w:val="single" w:sz="8" w:color="auto"/>
              <w:right w:val="single" w:sz="8" w:color="auto"/>
            </w:tcBorders>
            <w:vMerge w:val="continue"/>
          </w:tcPr>
          <w:p>
            <w:pPr>
              <w:spacing w:after="0"/>
              <w:rPr>
                <w:sz w:val="16"/>
                <w:szCs w:val="16"/>
                <w:color w:val="auto"/>
              </w:rPr>
            </w:pP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504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080" w:type="dxa"/>
            <w:vAlign w:val="bottom"/>
            <w:tcBorders>
              <w:left w:val="single" w:sz="8" w:color="auto"/>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w w:val="99"/>
              </w:rPr>
              <w:t>Common Stock</w:t>
            </w:r>
          </w:p>
        </w:tc>
        <w:tc>
          <w:tcPr>
            <w:tcW w:w="112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DEA</w:t>
            </w:r>
          </w:p>
        </w:tc>
        <w:tc>
          <w:tcPr>
            <w:tcW w:w="5040" w:type="dxa"/>
            <w:vAlign w:val="bottom"/>
            <w:tcBorders>
              <w:bottom w:val="single" w:sz="8" w:color="auto"/>
              <w:right w:val="single" w:sz="8" w:color="auto"/>
            </w:tcBorders>
          </w:tcPr>
          <w:p>
            <w:pPr>
              <w:jc w:val="center"/>
              <w:spacing w:after="0" w:line="179" w:lineRule="exact"/>
              <w:rPr>
                <w:sz w:val="20"/>
                <w:szCs w:val="20"/>
                <w:color w:val="auto"/>
              </w:rPr>
            </w:pPr>
            <w:r>
              <w:rPr>
                <w:rFonts w:ascii="Times New Roman" w:cs="Times New Roman" w:eastAsia="Times New Roman" w:hAnsi="Times New Roman"/>
                <w:sz w:val="16"/>
                <w:szCs w:val="16"/>
                <w:color w:val="auto"/>
              </w:rPr>
              <w:t>New York Stock Exchange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firstLine="509"/>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2" w:lineRule="exact"/>
        <w:rPr>
          <w:sz w:val="24"/>
          <w:szCs w:val="24"/>
          <w:color w:val="auto"/>
        </w:rPr>
      </w:pPr>
    </w:p>
    <w:p>
      <w:pPr>
        <w:ind w:right="18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1" w:lineRule="exact"/>
        <w:rPr>
          <w:sz w:val="24"/>
          <w:szCs w:val="24"/>
          <w:color w:val="auto"/>
        </w:rPr>
      </w:pPr>
    </w:p>
    <w:p>
      <w:pPr>
        <w:jc w:val="both"/>
        <w:ind w:right="240" w:firstLine="509"/>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620" w:type="dxa"/>
        <w:tblCellMar>
          <w:top w:w="0" w:type="dxa"/>
          <w:left w:w="0" w:type="dxa"/>
          <w:bottom w:w="0" w:type="dxa"/>
          <w:right w:w="0" w:type="dxa"/>
        </w:tblCellMar>
      </w:tblPr>
      <w:tr>
        <w:trPr>
          <w:trHeight w:val="272"/>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92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Accelerated filer</w:t>
            </w:r>
          </w:p>
        </w:tc>
        <w:tc>
          <w:tcPr>
            <w:tcW w:w="16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24"/>
        </w:trPr>
        <w:tc>
          <w:tcPr>
            <w:tcW w:w="3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92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6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30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3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162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28" w:lineRule="exact"/>
        <w:rPr>
          <w:sz w:val="24"/>
          <w:szCs w:val="24"/>
          <w:color w:val="auto"/>
        </w:rPr>
      </w:pPr>
    </w:p>
    <w:p>
      <w:pPr>
        <w:ind w:right="60" w:firstLine="509"/>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left="520" w:right="2140"/>
        <w:spacing w:after="0" w:line="24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April 20, 2026, the registrant had 46,449,374 shares of common stock, $0.01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73025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5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80" w:type="dxa"/>
            <w:vAlign w:val="bottom"/>
            <w:gridSpan w:val="10"/>
            <w:vMerge w:val="restart"/>
          </w:tcPr>
          <w:p>
            <w:pPr>
              <w:spacing w:after="0"/>
              <w:rPr>
                <w:sz w:val="20"/>
                <w:szCs w:val="20"/>
                <w:color w:val="auto"/>
              </w:rPr>
            </w:pPr>
            <w:r>
              <w:rPr>
                <w:rFonts w:ascii="Times New Roman" w:cs="Times New Roman" w:eastAsia="Times New Roman" w:hAnsi="Times New Roman"/>
                <w:sz w:val="18"/>
                <w:szCs w:val="18"/>
                <w:b w:val="1"/>
                <w:bCs w:val="1"/>
                <w:color w:val="auto"/>
                <w:w w:val="99"/>
              </w:rPr>
              <w:t>Part I: Financial Information</w:t>
            </w:r>
          </w:p>
        </w:tc>
        <w:tc>
          <w:tcPr>
            <w:tcW w:w="8180" w:type="dxa"/>
            <w:vAlign w:val="bottom"/>
            <w:gridSpan w:val="12"/>
            <w:vMerge w:val="restart"/>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3"/>
        </w:trPr>
        <w:tc>
          <w:tcPr>
            <w:tcW w:w="2280" w:type="dxa"/>
            <w:vAlign w:val="bottom"/>
            <w:tcBorders>
              <w:bottom w:val="single" w:sz="8" w:color="auto"/>
            </w:tcBorders>
            <w:gridSpan w:val="10"/>
            <w:vMerge w:val="continue"/>
          </w:tcPr>
          <w:p>
            <w:pPr>
              <w:spacing w:after="0"/>
              <w:rPr>
                <w:sz w:val="13"/>
                <w:szCs w:val="13"/>
                <w:color w:val="auto"/>
              </w:rPr>
            </w:pPr>
          </w:p>
        </w:tc>
        <w:tc>
          <w:tcPr>
            <w:tcW w:w="8180" w:type="dxa"/>
            <w:vAlign w:val="bottom"/>
            <w:gridSpan w:val="12"/>
            <w:vMerge w:val="continue"/>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2"/>
        </w:trPr>
        <w:tc>
          <w:tcPr>
            <w:tcW w:w="10460" w:type="dxa"/>
            <w:vAlign w:val="bottom"/>
            <w:gridSpan w:val="22"/>
          </w:tcPr>
          <w:p>
            <w:pPr>
              <w:ind w:left="14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9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auto"/>
              </w:rPr>
              <w:t>Consolidated Financial Statements</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Balance Sheets as of March 31, 2026 and December 31, 2025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2026 and 2025 (unaudited)</w:t>
            </w: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1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(Loss) for the Three Months Ended March 31, 2026 and 2025 (unaudited)</w:t>
            </w:r>
          </w:p>
        </w:tc>
        <w:tc>
          <w:tcPr>
            <w:tcW w:w="400" w:type="dxa"/>
            <w:vAlign w:val="bottom"/>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500" w:type="dxa"/>
            <w:vAlign w:val="bottom"/>
            <w:gridSpan w:val="18"/>
          </w:tcPr>
          <w:p>
            <w:pPr>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98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Notes to the Consolidated Financial Statements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860" w:type="dxa"/>
            <w:vAlign w:val="bottom"/>
            <w:gridSpan w:val="4"/>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24</w:t>
            </w:r>
          </w:p>
        </w:tc>
        <w:tc>
          <w:tcPr>
            <w:tcW w:w="0" w:type="dxa"/>
            <w:vAlign w:val="bottom"/>
          </w:tcPr>
          <w:p>
            <w:pPr>
              <w:spacing w:after="0" w:line="20" w:lineRule="exact"/>
              <w:rPr>
                <w:sz w:val="1"/>
                <w:szCs w:val="1"/>
                <w:color w:val="auto"/>
              </w:rPr>
            </w:pPr>
          </w:p>
        </w:tc>
      </w:tr>
      <w:tr>
        <w:trPr>
          <w:trHeight w:val="345"/>
        </w:trPr>
        <w:tc>
          <w:tcPr>
            <w:tcW w:w="160" w:type="dxa"/>
            <w:vAlign w:val="bottom"/>
          </w:tcPr>
          <w:p>
            <w:pPr>
              <w:spacing w:after="0"/>
              <w:rPr>
                <w:sz w:val="24"/>
                <w:szCs w:val="24"/>
                <w:color w:val="auto"/>
              </w:rPr>
            </w:pPr>
          </w:p>
        </w:tc>
        <w:tc>
          <w:tcPr>
            <w:tcW w:w="10300" w:type="dxa"/>
            <w:vAlign w:val="bottom"/>
            <w:gridSpan w:val="21"/>
          </w:tcPr>
          <w:p>
            <w:pPr>
              <w:ind w:left="20"/>
              <w:spacing w:after="0"/>
              <w:rPr>
                <w:sz w:val="20"/>
                <w:szCs w:val="20"/>
                <w:color w:val="auto"/>
              </w:rPr>
            </w:pPr>
            <w:r>
              <w:rPr>
                <w:rFonts w:ascii="Times New Roman" w:cs="Times New Roman" w:eastAsia="Times New Roman" w:hAnsi="Times New Roman"/>
                <w:sz w:val="18"/>
                <w:szCs w:val="18"/>
                <w:b w:val="1"/>
                <w:bCs w:val="1"/>
                <w:color w:val="0000FF"/>
              </w:rPr>
              <w:t>Item 2: Management’s Discussion and Analysis of Financial Condition and Results of Operations</w:t>
            </w: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5280" w:type="dxa"/>
            <w:vAlign w:val="bottom"/>
            <w:tcBorders>
              <w:top w:val="single" w:sz="8" w:color="0000EE"/>
              <w:bottom w:val="single" w:sz="8" w:color="0000EE"/>
            </w:tcBorders>
            <w:gridSpan w:val="15"/>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Item 3: Quantitative and Qualitative Disclosures About Market Risk</w:t>
            </w:r>
          </w:p>
        </w:tc>
        <w:tc>
          <w:tcPr>
            <w:tcW w:w="2160" w:type="dxa"/>
            <w:vAlign w:val="bottom"/>
            <w:tcBorders>
              <w:top w:val="single" w:sz="8" w:color="0000EE"/>
            </w:tcBorders>
            <w:gridSpan w:val="2"/>
          </w:tcPr>
          <w:p>
            <w:pPr>
              <w:spacing w:after="0"/>
              <w:rPr>
                <w:sz w:val="24"/>
                <w:szCs w:val="24"/>
                <w:color w:val="auto"/>
              </w:rPr>
            </w:pPr>
          </w:p>
        </w:tc>
        <w:tc>
          <w:tcPr>
            <w:tcW w:w="2860" w:type="dxa"/>
            <w:vAlign w:val="bottom"/>
            <w:gridSpan w:val="4"/>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39</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10300" w:type="dxa"/>
            <w:vAlign w:val="bottom"/>
            <w:gridSpan w:val="21"/>
          </w:tcPr>
          <w:p>
            <w:pPr>
              <w:ind w:left="20"/>
              <w:spacing w:after="0"/>
              <w:rPr>
                <w:sz w:val="20"/>
                <w:szCs w:val="20"/>
                <w:color w:val="auto"/>
              </w:rPr>
            </w:pPr>
            <w:r>
              <w:rPr>
                <w:rFonts w:ascii="Times New Roman" w:cs="Times New Roman" w:eastAsia="Times New Roman" w:hAnsi="Times New Roman"/>
                <w:sz w:val="18"/>
                <w:szCs w:val="18"/>
                <w:b w:val="1"/>
                <w:bCs w:val="1"/>
                <w:color w:val="0000FF"/>
              </w:rPr>
              <w:t>Item 4: Controls and Procedures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5120" w:type="dxa"/>
            <w:vAlign w:val="bottom"/>
            <w:gridSpan w:val="7"/>
          </w:tcPr>
          <w:p>
            <w:pPr>
              <w:spacing w:after="0" w:line="20" w:lineRule="exact"/>
              <w:rPr>
                <w:sz w:val="1"/>
                <w:szCs w:val="1"/>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line="20" w:lineRule="exact"/>
              <w:rPr>
                <w:sz w:val="1"/>
                <w:szCs w:val="1"/>
                <w:color w:val="auto"/>
              </w:rPr>
            </w:pPr>
          </w:p>
        </w:tc>
      </w:tr>
      <w:tr>
        <w:trPr>
          <w:trHeight w:val="331"/>
        </w:trPr>
        <w:tc>
          <w:tcPr>
            <w:tcW w:w="160" w:type="dxa"/>
            <w:vAlign w:val="bottom"/>
          </w:tcPr>
          <w:p>
            <w:pPr>
              <w:spacing w:after="0"/>
              <w:rPr>
                <w:sz w:val="24"/>
                <w:szCs w:val="24"/>
                <w:color w:val="auto"/>
              </w:rPr>
            </w:pPr>
          </w:p>
        </w:tc>
        <w:tc>
          <w:tcPr>
            <w:tcW w:w="2020" w:type="dxa"/>
            <w:vAlign w:val="bottom"/>
            <w:tcBorders>
              <w:bottom w:val="single" w:sz="8" w:color="0000EE"/>
            </w:tcBorders>
            <w:gridSpan w:val="7"/>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Item 1: Legal Proceedings</w:t>
            </w:r>
          </w:p>
        </w:tc>
        <w:tc>
          <w:tcPr>
            <w:tcW w:w="8280" w:type="dxa"/>
            <w:vAlign w:val="bottom"/>
            <w:gridSpan w:val="14"/>
          </w:tcPr>
          <w:p>
            <w:pPr>
              <w:spacing w:after="0"/>
              <w:rPr>
                <w:sz w:val="24"/>
                <w:szCs w:val="24"/>
                <w:color w:val="auto"/>
              </w:rPr>
            </w:pPr>
          </w:p>
        </w:tc>
        <w:tc>
          <w:tcPr>
            <w:tcW w:w="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172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Item 1A: Risk Factors</w:t>
            </w:r>
          </w:p>
        </w:tc>
        <w:tc>
          <w:tcPr>
            <w:tcW w:w="8580" w:type="dxa"/>
            <w:vAlign w:val="bottom"/>
            <w:gridSpan w:val="16"/>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10300" w:type="dxa"/>
            <w:vAlign w:val="bottom"/>
            <w:gridSpan w:val="21"/>
          </w:tcPr>
          <w:p>
            <w:pPr>
              <w:ind w:left="20"/>
              <w:spacing w:after="0"/>
              <w:rPr>
                <w:sz w:val="20"/>
                <w:szCs w:val="20"/>
                <w:color w:val="auto"/>
              </w:rPr>
            </w:pPr>
            <w:r>
              <w:rPr>
                <w:rFonts w:ascii="Times New Roman" w:cs="Times New Roman" w:eastAsia="Times New Roman" w:hAnsi="Times New Roman"/>
                <w:sz w:val="18"/>
                <w:szCs w:val="18"/>
                <w:b w:val="1"/>
                <w:bCs w:val="1"/>
                <w:color w:val="0000FF"/>
              </w:rPr>
              <w:t>Item 2: 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3060" w:type="dxa"/>
            <w:vAlign w:val="bottom"/>
            <w:tcBorders>
              <w:top w:val="single" w:sz="8" w:color="0000EE"/>
              <w:bottom w:val="single" w:sz="8" w:color="0000EE"/>
            </w:tcBorders>
            <w:gridSpan w:val="12"/>
          </w:tcPr>
          <w:p>
            <w:pPr>
              <w:ind w:left="20"/>
              <w:spacing w:after="0"/>
              <w:rPr>
                <w:sz w:val="20"/>
                <w:szCs w:val="20"/>
                <w:color w:val="auto"/>
              </w:rPr>
            </w:pPr>
            <w:r>
              <w:rPr>
                <w:rFonts w:ascii="Times New Roman" w:cs="Times New Roman" w:eastAsia="Times New Roman" w:hAnsi="Times New Roman"/>
                <w:sz w:val="18"/>
                <w:szCs w:val="18"/>
                <w:b w:val="1"/>
                <w:bCs w:val="1"/>
                <w:color w:val="0000FF"/>
                <w:w w:val="99"/>
              </w:rPr>
              <w:t>Item 3: Defaults Upon Senior Securities</w:t>
            </w:r>
          </w:p>
        </w:tc>
        <w:tc>
          <w:tcPr>
            <w:tcW w:w="2120" w:type="dxa"/>
            <w:vAlign w:val="bottom"/>
            <w:tcBorders>
              <w:top w:val="single" w:sz="8" w:color="0000EE"/>
            </w:tcBorders>
            <w:gridSpan w:val="2"/>
          </w:tcPr>
          <w:p>
            <w:pPr>
              <w:spacing w:after="0"/>
              <w:rPr>
                <w:sz w:val="24"/>
                <w:szCs w:val="24"/>
                <w:color w:val="auto"/>
              </w:rPr>
            </w:pPr>
          </w:p>
        </w:tc>
        <w:tc>
          <w:tcPr>
            <w:tcW w:w="5120" w:type="dxa"/>
            <w:vAlign w:val="bottom"/>
            <w:gridSpan w:val="7"/>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10300" w:type="dxa"/>
            <w:vAlign w:val="bottom"/>
            <w:gridSpan w:val="21"/>
          </w:tcPr>
          <w:p>
            <w:pPr>
              <w:ind w:left="20"/>
              <w:spacing w:after="0"/>
              <w:rPr>
                <w:sz w:val="20"/>
                <w:szCs w:val="20"/>
                <w:color w:val="auto"/>
              </w:rPr>
            </w:pPr>
            <w:r>
              <w:rPr>
                <w:rFonts w:ascii="Times New Roman" w:cs="Times New Roman" w:eastAsia="Times New Roman" w:hAnsi="Times New Roman"/>
                <w:sz w:val="18"/>
                <w:szCs w:val="18"/>
                <w:b w:val="1"/>
                <w:bCs w:val="1"/>
                <w:color w:val="0000FF"/>
              </w:rPr>
              <w:t>Item 4: Mine Safety Disclosures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40</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2060" w:type="dxa"/>
            <w:vAlign w:val="bottom"/>
            <w:tcBorders>
              <w:top w:val="single" w:sz="8" w:color="0000EE"/>
              <w:bottom w:val="single" w:sz="8" w:color="0000EE"/>
            </w:tcBorders>
            <w:gridSpan w:val="8"/>
          </w:tcPr>
          <w:p>
            <w:pPr>
              <w:ind w:left="20"/>
              <w:spacing w:after="0"/>
              <w:rPr>
                <w:sz w:val="20"/>
                <w:szCs w:val="20"/>
                <w:color w:val="auto"/>
              </w:rPr>
            </w:pPr>
            <w:r>
              <w:rPr>
                <w:rFonts w:ascii="Times New Roman" w:cs="Times New Roman" w:eastAsia="Times New Roman" w:hAnsi="Times New Roman"/>
                <w:sz w:val="18"/>
                <w:szCs w:val="18"/>
                <w:b w:val="1"/>
                <w:bCs w:val="1"/>
                <w:color w:val="0000FF"/>
                <w:w w:val="98"/>
              </w:rPr>
              <w:t>Item 5: Other Information</w:t>
            </w:r>
          </w:p>
        </w:tc>
        <w:tc>
          <w:tcPr>
            <w:tcW w:w="380" w:type="dxa"/>
            <w:vAlign w:val="bottom"/>
            <w:tcBorders>
              <w:top w:val="single" w:sz="8" w:color="0000EE"/>
            </w:tcBorders>
            <w:gridSpan w:val="2"/>
          </w:tcPr>
          <w:p>
            <w:pPr>
              <w:spacing w:after="0"/>
              <w:rPr>
                <w:sz w:val="24"/>
                <w:szCs w:val="24"/>
                <w:color w:val="auto"/>
              </w:rPr>
            </w:pPr>
          </w:p>
        </w:tc>
        <w:tc>
          <w:tcPr>
            <w:tcW w:w="7860" w:type="dxa"/>
            <w:vAlign w:val="bottom"/>
            <w:gridSpan w:val="11"/>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41</w:t>
            </w:r>
          </w:p>
        </w:tc>
        <w:tc>
          <w:tcPr>
            <w:tcW w:w="0" w:type="dxa"/>
            <w:vAlign w:val="bottom"/>
          </w:tcPr>
          <w:p>
            <w:pPr>
              <w:spacing w:after="0"/>
              <w:rPr>
                <w:sz w:val="1"/>
                <w:szCs w:val="1"/>
                <w:color w:val="auto"/>
              </w:rPr>
            </w:pPr>
          </w:p>
        </w:tc>
      </w:tr>
      <w:tr>
        <w:trPr>
          <w:trHeight w:val="331"/>
        </w:trPr>
        <w:tc>
          <w:tcPr>
            <w:tcW w:w="160" w:type="dxa"/>
            <w:vAlign w:val="bottom"/>
          </w:tcPr>
          <w:p>
            <w:pPr>
              <w:spacing w:after="0"/>
              <w:rPr>
                <w:sz w:val="24"/>
                <w:szCs w:val="24"/>
                <w:color w:val="auto"/>
              </w:rPr>
            </w:pPr>
          </w:p>
        </w:tc>
        <w:tc>
          <w:tcPr>
            <w:tcW w:w="10300" w:type="dxa"/>
            <w:vAlign w:val="bottom"/>
            <w:gridSpan w:val="21"/>
          </w:tcPr>
          <w:p>
            <w:pPr>
              <w:ind w:left="20"/>
              <w:spacing w:after="0"/>
              <w:rPr>
                <w:sz w:val="20"/>
                <w:szCs w:val="20"/>
                <w:color w:val="auto"/>
              </w:rPr>
            </w:pPr>
            <w:r>
              <w:rPr>
                <w:rFonts w:ascii="Times New Roman" w:cs="Times New Roman" w:eastAsia="Times New Roman" w:hAnsi="Times New Roman"/>
                <w:sz w:val="18"/>
                <w:szCs w:val="18"/>
                <w:b w:val="1"/>
                <w:bCs w:val="1"/>
                <w:color w:val="0000FF"/>
              </w:rPr>
              <w:t>Item 6: 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0" w:type="dxa"/>
            <w:vAlign w:val="bottom"/>
          </w:tcPr>
          <w:p>
            <w:pPr>
              <w:spacing w:after="0"/>
              <w:rPr>
                <w:sz w:val="1"/>
                <w:szCs w:val="1"/>
                <w:color w:val="auto"/>
              </w:rPr>
            </w:pPr>
          </w:p>
        </w:tc>
      </w:tr>
      <w:tr>
        <w:trPr>
          <w:trHeight w:val="20"/>
        </w:trPr>
        <w:tc>
          <w:tcPr>
            <w:tcW w:w="16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9060" w:type="dxa"/>
            <w:vAlign w:val="bottom"/>
            <w:gridSpan w:val="17"/>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6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31"/>
        </w:trPr>
        <w:tc>
          <w:tcPr>
            <w:tcW w:w="160" w:type="dxa"/>
            <w:vAlign w:val="bottom"/>
            <w:tcBorders>
              <w:top w:val="single" w:sz="8" w:color="0000FF"/>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Balance Sheets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Real estate properties, net</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2,738,755</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2,714,650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23,374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10,257</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Tenant accounts receivable</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73,041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51,493</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 in unconsolidated real estate venture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304,070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304,721</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Real estate loans receivable, net and investment in sales-type lease, net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44,462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34,286</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 assets,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183,911</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2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57,520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57,078</w:t>
            </w:r>
          </w:p>
        </w:tc>
        <w:tc>
          <w:tcPr>
            <w:tcW w:w="100" w:type="dxa"/>
            <w:vAlign w:val="bottom"/>
            <w:shd w:val="clear" w:color="auto" w:fill="CFF0FC"/>
          </w:tcPr>
          <w:p>
            <w:pPr>
              <w:spacing w:after="0"/>
              <w:rPr>
                <w:sz w:val="18"/>
                <w:szCs w:val="18"/>
                <w:color w:val="auto"/>
              </w:rPr>
            </w:pPr>
          </w:p>
        </w:tc>
      </w:tr>
      <w:tr>
        <w:trPr>
          <w:trHeight w:val="209"/>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3,420,060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3,379,770</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245,050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199,050</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Term loan facilities,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297,479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297,200</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Notes payable, net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1,019,132</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1,018,884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Mortgage notes payable, net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151,191</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liabilities, net</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11,959</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219,201</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108,203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109,686</w:t>
            </w:r>
          </w:p>
        </w:tc>
        <w:tc>
          <w:tcPr>
            <w:tcW w:w="100" w:type="dxa"/>
            <w:vAlign w:val="bottom"/>
          </w:tcPr>
          <w:p>
            <w:pPr>
              <w:spacing w:after="0"/>
              <w:rPr>
                <w:sz w:val="18"/>
                <w:szCs w:val="18"/>
                <w:color w:val="auto"/>
              </w:rPr>
            </w:pPr>
          </w:p>
        </w:tc>
      </w:tr>
      <w:tr>
        <w:trPr>
          <w:trHeight w:val="249"/>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2,064,557</w:t>
            </w:r>
          </w:p>
        </w:tc>
        <w:tc>
          <w:tcPr>
            <w:tcW w:w="1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2,010,205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Equity</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7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par value $0.01, 80,000,000 shares authorized,</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7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46,444,374 and 46,303,469 shares issued and outstanding at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77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1,961,587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1,958,412</w:t>
            </w:r>
          </w:p>
        </w:tc>
        <w:tc>
          <w:tcPr>
            <w:tcW w:w="100" w:type="dxa"/>
            <w:vAlign w:val="bottom"/>
            <w:shd w:val="clear" w:color="auto" w:fill="CFF0FC"/>
          </w:tcPr>
          <w:p>
            <w:pPr>
              <w:spacing w:after="0"/>
              <w:rPr>
                <w:sz w:val="18"/>
                <w:szCs w:val="18"/>
                <w:color w:val="auto"/>
              </w:rPr>
            </w:pP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146,222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144,857</w:t>
            </w:r>
          </w:p>
        </w:tc>
        <w:tc>
          <w:tcPr>
            <w:tcW w:w="100" w:type="dxa"/>
            <w:vAlign w:val="bottom"/>
          </w:tcPr>
          <w:p>
            <w:pPr>
              <w:spacing w:after="0"/>
              <w:rPr>
                <w:sz w:val="18"/>
                <w:szCs w:val="18"/>
                <w:color w:val="auto"/>
              </w:rPr>
            </w:pPr>
          </w:p>
        </w:tc>
      </w:tr>
      <w:tr>
        <w:trPr>
          <w:trHeight w:val="216"/>
        </w:trPr>
        <w:tc>
          <w:tcPr>
            <w:tcW w:w="7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Cumulative dividends</w:t>
            </w: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(796,880)</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(776,022)</w:t>
            </w:r>
          </w:p>
        </w:tc>
      </w:tr>
      <w:tr>
        <w:trPr>
          <w:trHeight w:val="216"/>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(4,578)</w:t>
            </w:r>
          </w:p>
        </w:tc>
      </w:tr>
      <w:tr>
        <w:trPr>
          <w:trHeight w:val="210"/>
        </w:trPr>
        <w:tc>
          <w:tcPr>
            <w:tcW w:w="7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1,308,839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1,323,132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in Operating Partnership</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46,433</w:t>
            </w:r>
          </w:p>
        </w:tc>
        <w:tc>
          <w:tcPr>
            <w:tcW w:w="100" w:type="dxa"/>
            <w:vAlign w:val="bottom"/>
          </w:tcPr>
          <w:p>
            <w:pPr>
              <w:spacing w:after="0"/>
              <w:rPr>
                <w:sz w:val="18"/>
                <w:szCs w:val="18"/>
                <w:color w:val="auto"/>
              </w:rPr>
            </w:pPr>
          </w:p>
        </w:tc>
      </w:tr>
      <w:tr>
        <w:trPr>
          <w:trHeight w:val="210"/>
        </w:trPr>
        <w:tc>
          <w:tcPr>
            <w:tcW w:w="77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1,355,503</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1,369,565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gridSpan w:val="2"/>
          </w:tcPr>
          <w:p>
            <w:pPr>
              <w:jc w:val="right"/>
              <w:ind w:right="44"/>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3,420,060</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3,379,770</w:t>
            </w:r>
          </w:p>
        </w:tc>
        <w:tc>
          <w:tcPr>
            <w:tcW w:w="100" w:type="dxa"/>
            <w:vAlign w:val="bottom"/>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-1868170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-1851025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-462280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-170815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 except share and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3460" w:type="dxa"/>
            <w:vAlign w:val="bottom"/>
            <w:tcBorders>
              <w:bottom w:val="single" w:sz="8" w:color="auto"/>
            </w:tcBorders>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Rental income</w:t>
            </w:r>
          </w:p>
        </w:tc>
        <w:tc>
          <w:tcPr>
            <w:tcW w:w="2820" w:type="dxa"/>
            <w:vAlign w:val="bottom"/>
            <w:gridSpan w:val="2"/>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88,593</w:t>
            </w:r>
          </w:p>
        </w:tc>
        <w:tc>
          <w:tcPr>
            <w:tcW w:w="280" w:type="dxa"/>
            <w:vAlign w:val="bottom"/>
          </w:tcPr>
          <w:p>
            <w:pPr>
              <w:spacing w:after="0"/>
              <w:rPr>
                <w:sz w:val="18"/>
                <w:szCs w:val="18"/>
                <w:color w:val="auto"/>
              </w:rPr>
            </w:pP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Tenant reimbursements</w:t>
            </w:r>
          </w:p>
        </w:tc>
        <w:tc>
          <w:tcPr>
            <w:tcW w:w="1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 management income</w:t>
            </w: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income</w:t>
            </w:r>
          </w:p>
        </w:tc>
        <w:tc>
          <w:tcPr>
            <w:tcW w:w="1600" w:type="dxa"/>
            <w:vAlign w:val="bottom"/>
            <w:tcBorders>
              <w:bottom w:val="single" w:sz="8" w:color="CFF0FC"/>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8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revenues</w:t>
            </w:r>
          </w:p>
        </w:tc>
        <w:tc>
          <w:tcPr>
            <w:tcW w:w="16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91,545</w:t>
            </w:r>
          </w:p>
        </w:tc>
        <w:tc>
          <w:tcPr>
            <w:tcW w:w="2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operating</w:t>
            </w: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Real estate taxes</w:t>
            </w:r>
          </w:p>
        </w:tc>
        <w:tc>
          <w:tcPr>
            <w:tcW w:w="1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33,221</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Acquisition costs</w:t>
            </w:r>
          </w:p>
        </w:tc>
        <w:tc>
          <w:tcPr>
            <w:tcW w:w="1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1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0"/>
        </w:trPr>
        <w:tc>
          <w:tcPr>
            <w:tcW w:w="5260" w:type="dxa"/>
            <w:vAlign w:val="bottom"/>
            <w:tcBorders>
              <w:top w:val="single" w:sz="8" w:color="CFF0FC"/>
            </w:tcBorders>
          </w:tcPr>
          <w:p>
            <w:pPr>
              <w:ind w:left="260"/>
              <w:spacing w:after="0"/>
              <w:rPr>
                <w:sz w:val="20"/>
                <w:szCs w:val="20"/>
                <w:color w:val="auto"/>
              </w:rPr>
            </w:pPr>
            <w:r>
              <w:rPr>
                <w:rFonts w:ascii="Times New Roman" w:cs="Times New Roman" w:eastAsia="Times New Roman" w:hAnsi="Times New Roman"/>
                <w:sz w:val="18"/>
                <w:szCs w:val="18"/>
                <w:color w:val="auto"/>
              </w:rPr>
              <w:t>Total expenses</w:t>
            </w:r>
          </w:p>
        </w:tc>
        <w:tc>
          <w:tcPr>
            <w:tcW w:w="1600" w:type="dxa"/>
            <w:vAlign w:val="bottom"/>
            <w:tcBorders>
              <w:top w:val="single" w:sz="8" w:color="CFF0FC"/>
            </w:tcBorders>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71,629</w:t>
            </w:r>
          </w:p>
        </w:tc>
        <w:tc>
          <w:tcPr>
            <w:tcW w:w="280" w:type="dxa"/>
            <w:vAlign w:val="bottom"/>
            <w:tcBorders>
              <w:top w:val="single" w:sz="8" w:color="CFF0FC"/>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58,837</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unconsolidated real estate venture</w:t>
            </w: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1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(20,166)</w:t>
            </w:r>
          </w:p>
        </w:tc>
        <w:tc>
          <w:tcPr>
            <w:tcW w:w="1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(18,377)</w:t>
            </w:r>
          </w:p>
        </w:tc>
        <w:tc>
          <w:tcPr>
            <w:tcW w:w="0" w:type="dxa"/>
            <w:vAlign w:val="bottom"/>
          </w:tcPr>
          <w:p>
            <w:pPr>
              <w:spacing w:after="0"/>
              <w:rPr>
                <w:sz w:val="1"/>
                <w:szCs w:val="1"/>
                <w:color w:val="auto"/>
              </w:rPr>
            </w:pPr>
          </w:p>
        </w:tc>
      </w:tr>
      <w:tr>
        <w:trPr>
          <w:trHeight w:val="210"/>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0" w:type="dxa"/>
            <w:vAlign w:val="bottom"/>
          </w:tcPr>
          <w:p>
            <w:pPr>
              <w:spacing w:after="0"/>
              <w:rPr>
                <w:sz w:val="18"/>
                <w:szCs w:val="18"/>
                <w:color w:val="auto"/>
              </w:rPr>
            </w:pPr>
          </w:p>
        </w:tc>
        <w:tc>
          <w:tcPr>
            <w:tcW w:w="122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80" w:type="dxa"/>
            <w:vAlign w:val="bottom"/>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 in Operating Partnership</w:t>
            </w:r>
          </w:p>
        </w:tc>
        <w:tc>
          <w:tcPr>
            <w:tcW w:w="1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(49)</w:t>
            </w:r>
          </w:p>
        </w:tc>
        <w:tc>
          <w:tcPr>
            <w:tcW w:w="110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0"/>
        </w:trPr>
        <w:tc>
          <w:tcPr>
            <w:tcW w:w="5260" w:type="dxa"/>
            <w:vAlign w:val="bottom"/>
            <w:shd w:val="clear" w:color="auto" w:fill="CFF0FC"/>
          </w:tcPr>
          <w:p>
            <w:pPr>
              <w:spacing w:after="0" w:line="20" w:lineRule="exact"/>
              <w:rPr>
                <w:sz w:val="1"/>
                <w:szCs w:val="1"/>
                <w:color w:val="auto"/>
              </w:rPr>
            </w:pPr>
          </w:p>
        </w:tc>
        <w:tc>
          <w:tcPr>
            <w:tcW w:w="16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52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Net income available to Easterly Government</w:t>
            </w:r>
          </w:p>
        </w:tc>
        <w:tc>
          <w:tcPr>
            <w:tcW w:w="2820" w:type="dxa"/>
            <w:vAlign w:val="bottom"/>
            <w:gridSpan w:val="2"/>
            <w:vMerge w:val="restart"/>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80" w:type="dxa"/>
            <w:vAlign w:val="bottom"/>
          </w:tcPr>
          <w:p>
            <w:pPr>
              <w:spacing w:after="0"/>
              <w:rPr>
                <w:sz w:val="16"/>
                <w:szCs w:val="16"/>
                <w:color w:val="auto"/>
              </w:rPr>
            </w:pPr>
          </w:p>
        </w:tc>
        <w:tc>
          <w:tcPr>
            <w:tcW w:w="1100" w:type="dxa"/>
            <w:vAlign w:val="bottom"/>
            <w:vMerge w:val="restart"/>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6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Properties, Inc.</w:t>
            </w:r>
          </w:p>
        </w:tc>
        <w:tc>
          <w:tcPr>
            <w:tcW w:w="2820" w:type="dxa"/>
            <w:vAlign w:val="bottom"/>
            <w:gridSpan w:val="2"/>
            <w:vMerge w:val="continue"/>
          </w:tcPr>
          <w:p>
            <w:pPr>
              <w:spacing w:after="0"/>
              <w:rPr>
                <w:sz w:val="16"/>
                <w:szCs w:val="16"/>
                <w:color w:val="auto"/>
              </w:rPr>
            </w:pPr>
          </w:p>
        </w:tc>
        <w:tc>
          <w:tcPr>
            <w:tcW w:w="86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260" w:type="dxa"/>
            <w:vAlign w:val="bottom"/>
            <w:shd w:val="clear" w:color="auto" w:fill="CFF0FC"/>
          </w:tcPr>
          <w:p>
            <w:pPr>
              <w:spacing w:after="0" w:line="178" w:lineRule="exact"/>
              <w:rPr>
                <w:sz w:val="20"/>
                <w:szCs w:val="20"/>
                <w:color w:val="auto"/>
              </w:rPr>
            </w:pPr>
            <w:r>
              <w:rPr>
                <w:rFonts w:ascii="Times New Roman" w:cs="Times New Roman" w:eastAsia="Times New Roman" w:hAnsi="Times New Roman"/>
                <w:sz w:val="18"/>
                <w:szCs w:val="18"/>
                <w:color w:val="auto"/>
              </w:rPr>
              <w:t>Net income available to Easterly Government</w:t>
            </w:r>
          </w:p>
        </w:tc>
        <w:tc>
          <w:tcPr>
            <w:tcW w:w="160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8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Properties, Inc. per share:</w:t>
            </w:r>
          </w:p>
        </w:tc>
        <w:tc>
          <w:tcPr>
            <w:tcW w:w="160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0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820" w:type="dxa"/>
            <w:vAlign w:val="bottom"/>
            <w:gridSpan w:val="2"/>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tcPr>
          <w:p>
            <w:pPr>
              <w:spacing w:after="0"/>
              <w:rPr>
                <w:sz w:val="18"/>
                <w:szCs w:val="18"/>
                <w:color w:val="auto"/>
              </w:rPr>
            </w:pPr>
          </w:p>
        </w:tc>
        <w:tc>
          <w:tcPr>
            <w:tcW w:w="1100" w:type="dxa"/>
            <w:vAlign w:val="bottom"/>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8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160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46,260,517</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43,224,145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46,453,599</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43,372,207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820" w:type="dxa"/>
            <w:vAlign w:val="bottom"/>
            <w:gridSpan w:val="2"/>
            <w:shd w:val="clear" w:color="auto" w:fill="CFF0FC"/>
          </w:tcPr>
          <w:p>
            <w:pPr>
              <w:jc w:val="right"/>
              <w:ind w:right="10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0.45</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ind w:right="938"/>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-3350895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-2236470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5667375</wp:posOffset>
            </wp:positionH>
            <wp:positionV relativeFrom="paragraph">
              <wp:posOffset>-1684020</wp:posOffset>
            </wp:positionV>
            <wp:extent cx="93980" cy="1797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-1684020</wp:posOffset>
            </wp:positionV>
            <wp:extent cx="9398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5680075</wp:posOffset>
            </wp:positionH>
            <wp:positionV relativeFrom="paragraph">
              <wp:posOffset>-1379220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-1379220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20" w:type="dxa"/>
            <w:vAlign w:val="bottom"/>
          </w:tcPr>
          <w:p>
            <w:pPr>
              <w:spacing w:after="0"/>
              <w:rPr>
                <w:sz w:val="15"/>
                <w:szCs w:val="15"/>
                <w:color w:val="auto"/>
              </w:rPr>
            </w:pPr>
          </w:p>
        </w:tc>
        <w:tc>
          <w:tcPr>
            <w:tcW w:w="3060" w:type="dxa"/>
            <w:vAlign w:val="bottom"/>
            <w:tcBorders>
              <w:bottom w:val="single" w:sz="8" w:color="auto"/>
            </w:tcBorders>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520" w:type="dxa"/>
            <w:vAlign w:val="bottom"/>
          </w:tcPr>
          <w:p>
            <w:pPr>
              <w:spacing w:after="0"/>
              <w:rPr>
                <w:sz w:val="12"/>
                <w:szCs w:val="12"/>
                <w:color w:val="auto"/>
              </w:rPr>
            </w:pPr>
          </w:p>
        </w:tc>
        <w:tc>
          <w:tcPr>
            <w:tcW w:w="110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6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5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20" w:type="dxa"/>
            <w:vAlign w:val="bottom"/>
            <w:tcBorders>
              <w:right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(loss) on treasury locks and interest rate swaps, net</w:t>
            </w: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20"/>
        </w:trPr>
        <w:tc>
          <w:tcPr>
            <w:tcW w:w="7520" w:type="dxa"/>
            <w:vAlign w:val="bottom"/>
            <w:tcBorders>
              <w:right w:val="single" w:sz="8" w:color="CFF0FC"/>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(3,832)</w:t>
            </w: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20" w:type="dxa"/>
            <w:vAlign w:val="bottom"/>
            <w:tcBorders>
              <w:right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110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(549)</w:t>
            </w:r>
          </w:p>
        </w:tc>
        <w:tc>
          <w:tcPr>
            <w:tcW w:w="0" w:type="dxa"/>
            <w:vAlign w:val="bottom"/>
          </w:tcPr>
          <w:p>
            <w:pPr>
              <w:spacing w:after="0"/>
              <w:rPr>
                <w:sz w:val="1"/>
                <w:szCs w:val="1"/>
                <w:color w:val="auto"/>
              </w:rPr>
            </w:pPr>
          </w:p>
        </w:tc>
      </w:tr>
      <w:tr>
        <w:trPr>
          <w:trHeight w:val="216"/>
        </w:trPr>
        <w:tc>
          <w:tcPr>
            <w:tcW w:w="75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Non-controlling interest in Operating Partnership</w:t>
            </w:r>
          </w:p>
        </w:tc>
        <w:tc>
          <w:tcPr>
            <w:tcW w:w="110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198"/>
        </w:trPr>
        <w:tc>
          <w:tcPr>
            <w:tcW w:w="7520" w:type="dxa"/>
            <w:vAlign w:val="bottom"/>
            <w:tcBorders>
              <w:right w:val="single" w:sz="8" w:color="CFF0FC"/>
            </w:tcBorders>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Other comprehensive (income) loss attributable to</w:t>
            </w:r>
          </w:p>
        </w:tc>
        <w:tc>
          <w:tcPr>
            <w:tcW w:w="1100" w:type="dxa"/>
            <w:vAlign w:val="bottom"/>
            <w:shd w:val="clear" w:color="auto" w:fill="CFF0FC"/>
          </w:tcPr>
          <w:p>
            <w:pPr>
              <w:spacing w:after="0"/>
              <w:rPr>
                <w:sz w:val="17"/>
                <w:szCs w:val="17"/>
                <w:color w:val="auto"/>
              </w:rPr>
            </w:pPr>
          </w:p>
        </w:tc>
        <w:tc>
          <w:tcPr>
            <w:tcW w:w="74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520" w:type="dxa"/>
            <w:vAlign w:val="bottom"/>
            <w:tcBorders>
              <w:right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100" w:type="dxa"/>
            <w:vAlign w:val="bottom"/>
            <w:shd w:val="clear" w:color="auto" w:fill="CFF0FC"/>
          </w:tcPr>
          <w:p>
            <w:pPr>
              <w:spacing w:after="0"/>
              <w:rPr>
                <w:sz w:val="19"/>
                <w:szCs w:val="19"/>
                <w:color w:val="auto"/>
              </w:rPr>
            </w:pPr>
          </w:p>
        </w:tc>
        <w:tc>
          <w:tcPr>
            <w:tcW w:w="740" w:type="dxa"/>
            <w:vAlign w:val="bottom"/>
            <w:gridSpan w:val="2"/>
            <w:vMerge w:val="continue"/>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56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20" w:type="dxa"/>
            <w:vAlign w:val="bottom"/>
            <w:tcBorders>
              <w:right w:val="single" w:sz="8" w:color="CFF0FC"/>
            </w:tcBorders>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7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Comprehensive income (loss) attributable to</w:t>
            </w:r>
          </w:p>
        </w:tc>
        <w:tc>
          <w:tcPr>
            <w:tcW w:w="1100" w:type="dxa"/>
            <w:vAlign w:val="bottom"/>
            <w:vMerge w:val="restart"/>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3,389</w:t>
            </w:r>
          </w:p>
        </w:tc>
        <w:tc>
          <w:tcPr>
            <w:tcW w:w="180" w:type="dxa"/>
            <w:vAlign w:val="bottom"/>
          </w:tcPr>
          <w:p>
            <w:pPr>
              <w:spacing w:after="0"/>
              <w:rPr>
                <w:sz w:val="16"/>
                <w:szCs w:val="16"/>
                <w:color w:val="auto"/>
              </w:rPr>
            </w:pPr>
          </w:p>
        </w:tc>
        <w:tc>
          <w:tcPr>
            <w:tcW w:w="1220" w:type="dxa"/>
            <w:vAlign w:val="bottom"/>
            <w:gridSpan w:val="2"/>
            <w:vMerge w:val="restart"/>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(527)</w:t>
            </w:r>
          </w:p>
        </w:tc>
        <w:tc>
          <w:tcPr>
            <w:tcW w:w="0" w:type="dxa"/>
            <w:vAlign w:val="bottom"/>
          </w:tcPr>
          <w:p>
            <w:pPr>
              <w:spacing w:after="0"/>
              <w:rPr>
                <w:sz w:val="1"/>
                <w:szCs w:val="1"/>
                <w:color w:val="auto"/>
              </w:rPr>
            </w:pPr>
          </w:p>
        </w:tc>
      </w:tr>
      <w:tr>
        <w:trPr>
          <w:trHeight w:val="194"/>
        </w:trPr>
        <w:tc>
          <w:tcPr>
            <w:tcW w:w="7520" w:type="dxa"/>
            <w:vAlign w:val="bottom"/>
          </w:tcPr>
          <w:p>
            <w:pPr>
              <w:ind w:left="140"/>
              <w:spacing w:after="0" w:line="194" w:lineRule="exact"/>
              <w:rPr>
                <w:sz w:val="20"/>
                <w:szCs w:val="20"/>
                <w:color w:val="auto"/>
              </w:rPr>
            </w:pPr>
            <w:r>
              <w:rPr>
                <w:rFonts w:ascii="Times New Roman" w:cs="Times New Roman" w:eastAsia="Times New Roman" w:hAnsi="Times New Roman"/>
                <w:sz w:val="18"/>
                <w:szCs w:val="18"/>
                <w:color w:val="auto"/>
              </w:rPr>
              <w:t>Easterly Government Properties, Inc.</w:t>
            </w:r>
          </w:p>
        </w:tc>
        <w:tc>
          <w:tcPr>
            <w:tcW w:w="1100" w:type="dxa"/>
            <w:vAlign w:val="bottom"/>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5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-976630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-976630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-282575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-282575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6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67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92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Straight line rent</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(2,007)</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Income from unconsolidated real estate venture</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(1,822)</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above- / below-market leases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(518)</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unearned revenue</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(3,704)</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(1,762)</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loan premium / discount</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deferred financing costs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lease inducements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Amortization of real estate loans receivable origination fees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treasury lock settlement</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Distributions from investment in unconsolidated real estate venture</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compensation</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Net change in:</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Tenant accounts receivable</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(19,272)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(1,652)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(3,312)</w:t>
            </w:r>
          </w:p>
        </w:tc>
      </w:tr>
      <w:tr>
        <w:trPr>
          <w:trHeight w:val="216"/>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loan interest receivable</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(931)</w:t>
            </w:r>
          </w:p>
        </w:tc>
      </w:tr>
      <w:tr>
        <w:trPr>
          <w:trHeight w:val="216"/>
        </w:trPr>
        <w:tc>
          <w:tcPr>
            <w:tcW w:w="6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Deferred revenue associated with operating leases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14,535</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r>
      <w:tr>
        <w:trPr>
          <w:trHeight w:val="216"/>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Principal payments on operating lease obligations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678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Principal repayment of sales-type lease</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accrued expenses and other liabilities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(3,399)</w:t>
            </w:r>
          </w:p>
        </w:tc>
      </w:tr>
      <w:tr>
        <w:trPr>
          <w:trHeight w:val="210"/>
        </w:trPr>
        <w:tc>
          <w:tcPr>
            <w:tcW w:w="67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00" w:type="dxa"/>
            <w:vAlign w:val="bottom"/>
            <w:tcBorders>
              <w:bottom w:val="single" w:sz="8" w:color="CFF0FC"/>
            </w:tcBorders>
            <w:shd w:val="clear" w:color="auto" w:fill="CFF0FC"/>
          </w:tcPr>
          <w:p>
            <w:pPr>
              <w:spacing w:after="0"/>
              <w:rPr>
                <w:sz w:val="18"/>
                <w:szCs w:val="18"/>
                <w:color w:val="auto"/>
              </w:rPr>
            </w:pPr>
          </w:p>
        </w:tc>
        <w:tc>
          <w:tcPr>
            <w:tcW w:w="920" w:type="dxa"/>
            <w:vAlign w:val="bottom"/>
            <w:tcBorders>
              <w:top w:val="single" w:sz="8" w:color="auto"/>
              <w:bottom w:val="single" w:sz="8" w:color="auto"/>
            </w:tcBorders>
            <w:shd w:val="clear" w:color="auto" w:fill="CFF0FC"/>
          </w:tcPr>
          <w:p>
            <w:pPr>
              <w:spacing w:after="0"/>
              <w:rPr>
                <w:sz w:val="18"/>
                <w:szCs w:val="18"/>
                <w:color w:val="auto"/>
              </w:rPr>
            </w:pPr>
          </w:p>
        </w:tc>
        <w:tc>
          <w:tcPr>
            <w:tcW w:w="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Real estate acquisitions and deposits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(43,195)</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(7,307)</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operating properties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(5,538)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(8,598)</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Additions to development properties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(17,770)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(20,793)</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Investments in real estate loans receivable, net</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(8,541)</w:t>
            </w:r>
          </w:p>
        </w:tc>
      </w:tr>
      <w:tr>
        <w:trPr>
          <w:trHeight w:val="20"/>
        </w:trPr>
        <w:tc>
          <w:tcPr>
            <w:tcW w:w="6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7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(73,433)</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(45,239)</w:t>
            </w:r>
          </w:p>
        </w:tc>
      </w:tr>
      <w:tr>
        <w:trPr>
          <w:trHeight w:val="209"/>
        </w:trPr>
        <w:tc>
          <w:tcPr>
            <w:tcW w:w="67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deferred financing costs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(2,302)</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common shares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41,270</w:t>
            </w:r>
          </w:p>
        </w:tc>
        <w:tc>
          <w:tcPr>
            <w:tcW w:w="100" w:type="dxa"/>
            <w:vAlign w:val="bottom"/>
          </w:tcPr>
          <w:p>
            <w:pPr>
              <w:spacing w:after="0"/>
              <w:rPr>
                <w:sz w:val="18"/>
                <w:szCs w:val="18"/>
                <w:color w:val="auto"/>
              </w:rPr>
            </w:pP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Credit facility draws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99,250</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55,500</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Credit facility repayments</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(53,250)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(175,000)</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Issuance of notes payable</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Treasury lock settlement</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(1,945)</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Repayments of mortgage notes payable</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(1,127)</w:t>
            </w:r>
          </w:p>
        </w:tc>
      </w:tr>
      <w:tr>
        <w:trPr>
          <w:trHeight w:val="216"/>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Dividends and distributions paid</w:t>
            </w:r>
          </w:p>
        </w:tc>
        <w:tc>
          <w:tcPr>
            <w:tcW w:w="10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(21,810)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(30,240)</w:t>
            </w:r>
          </w:p>
        </w:tc>
      </w:tr>
      <w:tr>
        <w:trPr>
          <w:trHeight w:val="216"/>
        </w:trPr>
        <w:tc>
          <w:tcPr>
            <w:tcW w:w="67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10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(419)</w:t>
            </w:r>
          </w:p>
        </w:tc>
      </w:tr>
      <w:tr>
        <w:trPr>
          <w:trHeight w:val="209"/>
        </w:trPr>
        <w:tc>
          <w:tcPr>
            <w:tcW w:w="678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0" w:type="dxa"/>
            <w:vAlign w:val="bottom"/>
            <w:tcBorders>
              <w:top w:val="single" w:sz="8" w:color="CFF0FC"/>
            </w:tcBorders>
          </w:tcPr>
          <w:p>
            <w:pPr>
              <w:spacing w:after="0"/>
              <w:rPr>
                <w:sz w:val="18"/>
                <w:szCs w:val="18"/>
                <w:color w:val="auto"/>
              </w:rPr>
            </w:pPr>
          </w:p>
        </w:tc>
        <w:tc>
          <w:tcPr>
            <w:tcW w:w="92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25,145</w:t>
            </w:r>
          </w:p>
        </w:tc>
        <w:tc>
          <w:tcPr>
            <w:tcW w:w="18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100" w:type="dxa"/>
            <w:vAlign w:val="bottom"/>
            <w:tcBorders>
              <w:top w:val="single" w:sz="8" w:color="CFF0FC"/>
            </w:tcBorders>
          </w:tcPr>
          <w:p>
            <w:pPr>
              <w:spacing w:after="0"/>
              <w:rPr>
                <w:sz w:val="18"/>
                <w:szCs w:val="18"/>
                <w:color w:val="auto"/>
              </w:rPr>
            </w:pPr>
          </w:p>
        </w:tc>
      </w:tr>
      <w:tr>
        <w:trPr>
          <w:trHeight w:val="534"/>
        </w:trPr>
        <w:tc>
          <w:tcPr>
            <w:tcW w:w="678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4</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678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-3350895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-2510790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-1130935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(Amounts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460" w:type="dxa"/>
            <w:vAlign w:val="bottom"/>
            <w:gridSpan w:val="7"/>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7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 and cash equivalents and Restricted cash</w:t>
            </w:r>
          </w:p>
        </w:tc>
        <w:tc>
          <w:tcPr>
            <w:tcW w:w="12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(20,953)</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(10,315)</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beginning of period</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27,804</w:t>
            </w:r>
          </w:p>
        </w:tc>
        <w:tc>
          <w:tcPr>
            <w:tcW w:w="100" w:type="dxa"/>
            <w:vAlign w:val="bottom"/>
          </w:tcPr>
          <w:p>
            <w:pPr>
              <w:spacing w:after="0"/>
              <w:rPr>
                <w:sz w:val="18"/>
                <w:szCs w:val="18"/>
                <w:color w:val="auto"/>
              </w:rPr>
            </w:pPr>
          </w:p>
        </w:tc>
      </w:tr>
      <w:tr>
        <w:trPr>
          <w:trHeight w:val="249"/>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and Restricted cash, end of period</w:t>
            </w:r>
          </w:p>
        </w:tc>
        <w:tc>
          <w:tcPr>
            <w:tcW w:w="12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12,678</w:t>
            </w:r>
          </w:p>
        </w:tc>
        <w:tc>
          <w:tcPr>
            <w:tcW w:w="180" w:type="dxa"/>
            <w:vAlign w:val="bottom"/>
            <w:shd w:val="clear" w:color="auto" w:fill="CFF0FC"/>
          </w:tcPr>
          <w:p>
            <w:pPr>
              <w:spacing w:after="0"/>
              <w:rPr>
                <w:sz w:val="21"/>
                <w:szCs w:val="21"/>
                <w:color w:val="auto"/>
              </w:rPr>
            </w:pP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17,489</w:t>
            </w:r>
          </w:p>
        </w:tc>
        <w:tc>
          <w:tcPr>
            <w:tcW w:w="100" w:type="dxa"/>
            <w:vAlign w:val="bottom"/>
            <w:shd w:val="clear" w:color="auto" w:fill="CFF0FC"/>
          </w:tcPr>
          <w:p>
            <w:pPr>
              <w:spacing w:after="0"/>
              <w:rPr>
                <w:sz w:val="21"/>
                <w:szCs w:val="21"/>
                <w:color w:val="auto"/>
              </w:rPr>
            </w:pPr>
          </w:p>
        </w:tc>
      </w:tr>
      <w:tr>
        <w:trPr>
          <w:trHeight w:val="197"/>
        </w:trPr>
        <w:tc>
          <w:tcPr>
            <w:tcW w:w="7500" w:type="dxa"/>
            <w:vAlign w:val="bottom"/>
            <w:tcBorders>
              <w:top w:val="single" w:sz="8" w:color="CFF0FC"/>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 (net of capitalized interest of $545 and $2,026 in 2026 and 2025, respectively)</w:t>
            </w:r>
          </w:p>
        </w:tc>
        <w:tc>
          <w:tcPr>
            <w:tcW w:w="12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18,522</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15,640</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Supplemental disclosure of non-cash information</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Additions to operating properties accrued, not paid</w:t>
            </w:r>
          </w:p>
        </w:tc>
        <w:tc>
          <w:tcPr>
            <w:tcW w:w="120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4,884</w:t>
            </w:r>
          </w:p>
        </w:tc>
        <w:tc>
          <w:tcPr>
            <w:tcW w:w="180" w:type="dxa"/>
            <w:vAlign w:val="bottom"/>
          </w:tcPr>
          <w:p>
            <w:pPr>
              <w:spacing w:after="0"/>
              <w:rPr>
                <w:sz w:val="18"/>
                <w:szCs w:val="18"/>
                <w:color w:val="auto"/>
              </w:rPr>
            </w:pPr>
          </w:p>
        </w:tc>
        <w:tc>
          <w:tcPr>
            <w:tcW w:w="4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Additions to development properties accrued, not paid</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19,279</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20,663</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financing costs accrued, not paid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Offering costs accrued, not paid</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asset acquisition costs accrued, not paid</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Unrealized gain (loss) on treasury locks and interest rate swaps, net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(3,832)</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Recognition of operating lease right-of-use assets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Recognition of liabilities related to operating lease right-of-use assets</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spacing w:after="0"/>
              <w:rPr>
                <w:sz w:val="20"/>
                <w:szCs w:val="20"/>
                <w:color w:val="auto"/>
              </w:rPr>
            </w:pPr>
            <w:r>
              <w:rPr>
                <w:rFonts w:ascii="Times New Roman" w:cs="Times New Roman" w:eastAsia="Times New Roman" w:hAnsi="Times New Roman"/>
                <w:sz w:val="18"/>
                <w:szCs w:val="18"/>
                <w:color w:val="auto"/>
              </w:rPr>
              <w:t>Exchange of Common Units for Shares of Common Stock</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 in Operating Partnership</w:t>
            </w:r>
          </w:p>
        </w:tc>
        <w:tc>
          <w:tcPr>
            <w:tcW w:w="12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(899)</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29"/>
        </w:trPr>
        <w:tc>
          <w:tcPr>
            <w:tcW w:w="750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gridSpan w:val="2"/>
            <w:shd w:val="clear" w:color="auto" w:fill="CFF0FC"/>
          </w:tcPr>
          <w:p>
            <w:pPr>
              <w:jc w:val="right"/>
              <w:ind w:right="76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-2254250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-2236470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-2254250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-2236470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Easterly Government Properties,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Consolidated Financial Statements (unaudited)</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and Basis of Presentation</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information contained in the following notes to the consolidated financial statements is condensed from that which would appear in the annual consolidated financial statements; accordingly, the consolidated financial statements included herein should be reviewed in conjunction with the consolidated financial statements for the fiscal year ended December 31, 2025, and related notes thereto, included in the Annual Report on Form 10-K of Easterly Government Properties, Inc. (the “Company”) for the year ended December 31, 2025 filed with the U.S. Securities and Exchange Commission (the “SEC”) on February 23, 2026.</w:t>
      </w:r>
    </w:p>
    <w:p>
      <w:pPr>
        <w:spacing w:after="0" w:line="183"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is a Maryland corporation that has elected to be taxed as a real estate investment trust (“REIT”) under the Internal Revenue Code of 1986, as amended (the “Code”), commencing with its taxable year ended December 31, 2015. The operations of the Company are carried out primarily through Easterly Government Properties LP (the “Operating Partnership”) and the wholly owned subsidiaries of the Operating Partnership. As used herein, the “Company,” “we,” “us,” or “our” refer to Easterly Government Properties, Inc. and its consolidated subsidiaries and partnerships, including the Operating Partnership, except where context otherwise requires.</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an internally managed REIT, focused primarily on the acquisition, development and management of Class A commercial properties that are leased to U.S. Government agencies that serve essential functions. We generate over 85% of our revenue by leasing our properties to such agencies, either directly or through the U.S. General Services Administration (“GSA”). Our objective is to generate attractive risk-adjusted returns for our stockholders over the long-term through dividends and capital appreciation.</w:t>
      </w:r>
    </w:p>
    <w:p>
      <w:pPr>
        <w:spacing w:after="0" w:line="180"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We focus primarily on acquiring, developing and managing U.S. Government leased properties that are essential to supporting the mission of the tenant agency and strive to be a partner of choice for the U.S. Government, working closely with the tenant agency to meet its needs and objectives. We may also consider other potential opportunities to add properties to our portfolio, including acquiring properties leased to state and local governments with strong creditworthiness and other opportunities that directly or indirectly support the mission of select government agencies. As of March 31, 2026, we wholly owned 96 operating properties and ten operating properties through an unconsolidated joint venture (the “JV”) in the United States, encompassing approximately 10.7 million leased square feet, including 93 operating properties that were leased primarily to U.S. Government tenant agencies, eight operating properties leased to tenant agencies of a U.S. state or local government and five operating properties that were entirely leased to private tenants. As of March 31, 2026, our operating properties were 97% leased. For purposes of calculating percentage leased, we exclude from the denominator total square feet that was unleased and to which we attributed no value at the time of acquisition. In addition, we wholly owned three properties under development that we expect will encompass approximately 0.2 million leased square feet upon completion.</w:t>
      </w:r>
    </w:p>
    <w:p>
      <w:pPr>
        <w:spacing w:after="0" w:line="194"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Operating Partnership holds substantially all of our assets and conducts substantially all of our business. We are the sole general partner of the Operating Partnership and owned approximately 96.6% of the aggregate limited partnership interests in the Operating Partnership (“common units”) as of March 31, 2026. We have elected to be taxed as a REIT and believe that we have operated and have been organized in conformity with the requirements for qualification and taxation as a REIT for U.S. federal income tax purposes commencing with our taxable year ended December 31, 2015.</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Principles of Consolidation</w:t>
      </w:r>
    </w:p>
    <w:p>
      <w:pPr>
        <w:spacing w:after="0" w:line="119"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are presented on the accrual basis of accounting in accordance with accounting principles generally accepted in the United States of America (“GAAP”) and include the accounts of the Company, Easterly Government Properties TRS, LLC, Easterly Government Services, LLC, the Operating Partnership and its other subsidiaries. All significant intercompany balances and transactions have been eliminated in consolidation.</w:t>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however, they include all adjustments (consisting only of normal recurring adjustments) which, in the opinion of management, are necessary to state fairly the consolidated financial position of the Company at March 31, 2026 and December 31, 2025, the consolidated results of operations for the three months ended March 31, 2026 and 2025, and the consolidated cash flows for the three months ended March 31, 2026 and 2025. The year-end consolidated balance sheet data was derived from audited financial statements but does not include all disclosures required by GAAP. The results of operations for the interim periods presented are not necessarily indicative of the results to be expected for the full year.</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jc w:val="both"/>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the consolidated financial statements requires management to make estimates and assumptions that affect the reported amounts of assets and liabilities, disclosures of contingent assets and liabilities at the date of the balance sheet, and the reported amounts of revenues and expenses during the reporting period. We base our estimates on historical experience and on various other assumptions that are believed to be reasonable under the circumstances, including the impact of extraordinary events, the results of which form the basis for making judgments about carrying values of assets and liabilities that are not readily apparent from other sources. Actual results may differ from these estimates under different assumptions or conditions.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During the three months ended March 31, 2026, we acquired a lease arrangement that qualifies for classification as a sales-type lease under Accounting Standards Codification Topic 842 Leases (“ASC 842”). Prior to the first quarter of 2026, all of our leases met the classification criteria of an operating lease in accordance with ASC 842. As a result, we updated our accounting policy to reflect the recognition and presentation of sales-type and direct financing leases as a lessor. There were no adjustments made retrospectively to the information in our consolidated financial statements as a result of the update in policy. See note 3, note 5 and note 12 for additional information on the impact of the adoption of sales-type lease accounting on our consolidated financial statements. All other significant accounting policies used in the preparation of our condensed consolidated financial statements are disclosed in our Annual Report on Form 10-K for the year ended December 31, 2025.</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Rental income includes base rents paid by each tenant in accordance with its lease agreement conditions. Upon lease commencement, we evaluate leases to determine if they meet criteria set forth in lease accounting guidance for classification as sales-type leases or direct financing leases; if a lease meets none of these criteria, we classify the lease as an operating lease. Upon commencement of sales-type leases, we derecognize the underlying asset, recognizing in its place a net investment in the lease equal to the sum of the lease receivable and the present value of any unguaranteed residual asset and recognize any selling profit or loss created as a result of the difference between those two amounts, less any related deferred initial direct lease costs. Similarly, for direct financing leases, we would derecognize the underlying asset and recognize a net investment in the lease, but, unlike in a sales-type lease, would defer profit and amortize it as interest income over the lease term. Our leases of properties as lessor are predominantly classified as operating leases, for which the underlying asset remains on our balance sheet and is depreciated consistently with other owned assets. We recognize rental income for our operating leases on a straight-line basis over the lease term of each lease. For acquisitions of existing buildings, we recognize rental income from leases already in place coincident with the date of property closing. Lease incentives are recorded as a deferred asset and amortized as a reduction of revenue on a straight-line basis over the respective lease term. Above- and below-market leases are amortized into rental income over the terms of the respective leases. Further, Rental income includes certain tenant reimbursement income (real estate taxes, operating expenses, utility usage, and other reimbursements), which are accrued as variable lease payments in the same periods as the related expenses are incurred in accordance with ASC 842.</w:t>
      </w:r>
    </w:p>
    <w:p>
      <w:pPr>
        <w:spacing w:after="0" w:line="79"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Tenant reimbursement income includes revenue from tenant construction projects. When revenue and costs for such projects can be estimated with reasonable accuracy, we recognize a percentage of the total estimated revenue on a project based on the cost of services provided on the project as of a point in time relative to the total estimated costs on the project (percentage of completion method). When these criteria do not apply to a project, we recognize revenue from that project using the completed contract method. Fully reimbursed income was included within Tenant reimbursements and associated expenses were included in Property operating expenses within the Consolidated Statements of Operations.</w:t>
      </w:r>
    </w:p>
    <w:p>
      <w:pPr>
        <w:spacing w:after="0" w:line="75"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Other income includes income on the associated tenant reimbursement construction projects, parking income, interest income recognized from our real estate loans receivable and other miscellaneous income.</w:t>
      </w:r>
    </w:p>
    <w:p>
      <w:pPr>
        <w:spacing w:after="0" w:line="54"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Asset management income includes revenue from asset and property management services to our unconsolidated real estate venture. The asset management fees are earned by us for managing properties owned by related parties. The asset management service fees are based upon contractual rates applied to actively invested capital, with fee income recognized on a monthly basis. The property management service and engineering fees are based on a contractual rate in accordance with the management agreement. If construction management services are provided, a construction management fee is charged to the tenant in accordance with the management agreement. The fees are recognized as a single performance obligation comprised of a series of distinct services related to property operations. We believe the overall services provided by asset management activities have the same pattern of performance over the term of the agreement. We account for this revenue gross of our ownership interest in the respective real estate venture and recognize such revenue as “Asset management income” in our Consolidated Statements of Operations when earned. Our proportionate share of related expense is recognized in “Income from unconsolidated real estate venture.”</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 w:name="page10"/>
    <w:bookmarkEnd w:id="9"/>
    <w:p>
      <w:pPr>
        <w:ind w:left="520"/>
        <w:spacing w:after="0"/>
        <w:rPr>
          <w:sz w:val="20"/>
          <w:szCs w:val="20"/>
          <w:color w:val="auto"/>
        </w:rPr>
      </w:pPr>
      <w:r>
        <w:rPr>
          <w:rFonts w:ascii="Times New Roman" w:cs="Times New Roman" w:eastAsia="Times New Roman" w:hAnsi="Times New Roman"/>
          <w:sz w:val="18"/>
          <w:szCs w:val="18"/>
          <w:i w:val="1"/>
          <w:iCs w:val="1"/>
          <w:color w:val="auto"/>
        </w:rPr>
        <w:t>Recent Accounting Pronouncements Not Yet Adopted</w:t>
      </w:r>
    </w:p>
    <w:p>
      <w:pPr>
        <w:spacing w:after="0" w:line="119"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ASU 2023-06, Disclosure Improvements: Codification Amendments in Response to the SEC’s Disclosure Update and Simplification Initiative (“ASU 2023-06”). ASU 2023-06 adds interim and annual disclosure requirements to GAAP at the request of the Securities and Exchange Commission (the “SEC”). The guidance in ASU 2023-06 is required to be applied prospectively and the GAAP requirements will be effective when the removal of the related SEC disclosure requirements is effective. If the SEC does not act to remove its related requirement by June 30, 2027, any related FASB amendments will be removed from the ASC and will not be effective. We do not anticipate that the adoption of ASU 2023-06 will have a material impact on our consolidated financial statements.</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Income Statement - Reporting Comprehensive Income - Expense Disaggregation Disclosures (Subtopic 220-40): Disaggregation of Income Statement Expenses. ASU 2024-03 requires expanded interim and annual disclosures of certain expense information in the notes to the consolidated financial statements. The guidance is effective for annual reporting periods beginning after December 15, 2026, and interim reporting periods within annual reporting periods beginning after December 15, 2027, with early adoption permitted. The guidance can be applied on a prospective or retrospective basis. We are currently evaluating the potential impact of adopting this new guidance on our consolidated financial statement disclosures.</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2025, the FASB issued ASU 2025-09, Derivatives and Hedging (Topic 815): Hedge Accounting Improvements. ASU 2025-09 amends certain aspects of the hedge accounting guidance in ASC 815, Derivatives and Hedging, to provide targeted improvements intended to enhance the application of hedge accounting, including expanded eligibility of forecasted transactions, additional flexibility in measuring hedge effectiveness and clarifications related to hedging non-financial items. The guidance is effective for annual reporting periods beginning after December 15, 2026, and interim reporting periods within those annual reporting periods, with early adoption permitted. The guidance should be applied on a prospective basis. We are currently evaluating the impact of this standard, however, we do not expect the standard to have a material impact on our consolidated financial statements and related disclosures.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0" w:name="page11"/>
    <w:bookmarkEnd w:id="10"/>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Real Estate and Intangibles</w:t>
      </w:r>
    </w:p>
    <w:p>
      <w:pPr>
        <w:spacing w:after="0" w:line="3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Acquisitions</w:t>
      </w:r>
    </w:p>
    <w:p>
      <w:pPr>
        <w:spacing w:after="0" w:line="11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we acquired three operating properties in asset acquisitions, a three building portfolio in Glen Allen, VA, for an aggregate purchase price of $44.6 million. We allocated the aggregate purchase price of these acquisitions based on the estimated fair values of the acquired assets and assumed liabilities as follows (amounts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89"/>
        </w:trPr>
        <w:tc>
          <w:tcPr>
            <w:tcW w:w="800" w:type="dxa"/>
            <w:vAlign w:val="bottom"/>
            <w:tcBorders>
              <w:bottom w:val="single" w:sz="8" w:color="auto"/>
            </w:tcBorders>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9"/>
              </w:rPr>
              <w:t>Real estate</w:t>
            </w:r>
          </w:p>
        </w:tc>
        <w:tc>
          <w:tcPr>
            <w:tcW w:w="8480" w:type="dxa"/>
            <w:vAlign w:val="bottom"/>
            <w:tcBorders>
              <w:bottom w:val="single" w:sz="8" w:color="CFF0FC"/>
              <w:right w:val="single" w:sz="8" w:color="CFF0FC"/>
            </w:tcBorders>
            <w:gridSpan w:val="4"/>
            <w:shd w:val="clear" w:color="auto" w:fill="CFF0FC"/>
          </w:tcPr>
          <w:p>
            <w:pPr>
              <w:spacing w:after="0"/>
              <w:rPr>
                <w:sz w:val="16"/>
                <w:szCs w:val="16"/>
                <w:color w:val="auto"/>
              </w:rPr>
            </w:pPr>
          </w:p>
        </w:tc>
        <w:tc>
          <w:tcPr>
            <w:tcW w:w="400" w:type="dxa"/>
            <w:vAlign w:val="bottom"/>
            <w:tcBorders>
              <w:top w:val="single" w:sz="8" w:color="auto"/>
              <w:bottom w:val="single" w:sz="8" w:color="CFF0FC"/>
            </w:tcBorders>
            <w:shd w:val="clear" w:color="auto" w:fill="CFF0FC"/>
          </w:tcPr>
          <w:p>
            <w:pPr>
              <w:spacing w:after="0"/>
              <w:rPr>
                <w:sz w:val="16"/>
                <w:szCs w:val="16"/>
                <w:color w:val="auto"/>
              </w:rPr>
            </w:pPr>
          </w:p>
        </w:tc>
        <w:tc>
          <w:tcPr>
            <w:tcW w:w="14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r>
      <w:tr>
        <w:trPr>
          <w:trHeight w:val="216"/>
        </w:trPr>
        <w:tc>
          <w:tcPr>
            <w:tcW w:w="9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400" w:type="dxa"/>
            <w:vAlign w:val="bottom"/>
          </w:tcPr>
          <w:p>
            <w:pPr>
              <w:jc w:val="right"/>
              <w:ind w:right="284"/>
              <w:spacing w:after="0"/>
              <w:rPr>
                <w:sz w:val="20"/>
                <w:szCs w:val="20"/>
                <w:color w:val="auto"/>
              </w:rPr>
            </w:pPr>
            <w:r>
              <w:rPr>
                <w:rFonts w:ascii="Times New Roman" w:cs="Times New Roman" w:eastAsia="Times New Roman" w:hAnsi="Times New Roman"/>
                <w:sz w:val="11"/>
                <w:szCs w:val="11"/>
                <w:color w:val="auto"/>
                <w:w w:val="71"/>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6,965</w:t>
            </w:r>
          </w:p>
        </w:tc>
        <w:tc>
          <w:tcPr>
            <w:tcW w:w="100" w:type="dxa"/>
            <w:vAlign w:val="bottom"/>
          </w:tcPr>
          <w:p>
            <w:pPr>
              <w:spacing w:after="0"/>
              <w:rPr>
                <w:sz w:val="18"/>
                <w:szCs w:val="18"/>
                <w:color w:val="auto"/>
              </w:rPr>
            </w:pPr>
          </w:p>
        </w:tc>
      </w:tr>
      <w:tr>
        <w:trPr>
          <w:trHeight w:val="216"/>
        </w:trPr>
        <w:tc>
          <w:tcPr>
            <w:tcW w:w="9280" w:type="dxa"/>
            <w:vAlign w:val="bottom"/>
            <w:tcBorders>
              <w:right w:val="single" w:sz="8" w:color="CFF0FC"/>
            </w:tcBorders>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Building</w:t>
            </w: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17,580</w:t>
            </w:r>
          </w:p>
        </w:tc>
        <w:tc>
          <w:tcPr>
            <w:tcW w:w="100" w:type="dxa"/>
            <w:vAlign w:val="bottom"/>
            <w:shd w:val="clear" w:color="auto" w:fill="CFF0FC"/>
          </w:tcPr>
          <w:p>
            <w:pPr>
              <w:spacing w:after="0"/>
              <w:rPr>
                <w:sz w:val="18"/>
                <w:szCs w:val="18"/>
                <w:color w:val="auto"/>
              </w:rPr>
            </w:pPr>
          </w:p>
        </w:tc>
      </w:tr>
      <w:tr>
        <w:trPr>
          <w:trHeight w:val="216"/>
        </w:trPr>
        <w:tc>
          <w:tcPr>
            <w:tcW w:w="9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Acquired tenant improvements</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5,913</w:t>
            </w:r>
          </w:p>
        </w:tc>
        <w:tc>
          <w:tcPr>
            <w:tcW w:w="100" w:type="dxa"/>
            <w:vAlign w:val="bottom"/>
          </w:tcPr>
          <w:p>
            <w:pPr>
              <w:spacing w:after="0"/>
              <w:rPr>
                <w:sz w:val="18"/>
                <w:szCs w:val="18"/>
                <w:color w:val="auto"/>
              </w:rPr>
            </w:pPr>
          </w:p>
        </w:tc>
      </w:tr>
      <w:tr>
        <w:trPr>
          <w:trHeight w:val="209"/>
        </w:trPr>
        <w:tc>
          <w:tcPr>
            <w:tcW w:w="9280" w:type="dxa"/>
            <w:vAlign w:val="bottom"/>
            <w:tcBorders>
              <w:bottom w:val="single" w:sz="8" w:color="CFF0FC"/>
              <w:right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real estate</w:t>
            </w: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30,458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69"/>
        </w:trPr>
        <w:tc>
          <w:tcPr>
            <w:tcW w:w="928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auto"/>
              </w:rPr>
              <w:t>Investment in sales-type lease, net</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8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280" w:type="dxa"/>
            <w:vAlign w:val="bottom"/>
            <w:tcBorders>
              <w:bottom w:val="single" w:sz="8" w:color="CFF0FC"/>
              <w:right w:val="single" w:sz="8" w:color="CFF0FC"/>
            </w:tcBorders>
            <w:gridSpan w:val="5"/>
            <w:shd w:val="clear" w:color="auto" w:fill="CFF0FC"/>
          </w:tcPr>
          <w:p>
            <w:pPr>
              <w:ind w:left="180"/>
              <w:spacing w:after="0" w:line="216" w:lineRule="exact"/>
              <w:rPr>
                <w:sz w:val="20"/>
                <w:szCs w:val="20"/>
                <w:color w:val="auto"/>
              </w:rPr>
            </w:pPr>
            <w:r>
              <w:rPr>
                <w:rFonts w:ascii="Times New Roman" w:cs="Times New Roman" w:eastAsia="Times New Roman" w:hAnsi="Times New Roman"/>
                <w:sz w:val="18"/>
                <w:szCs w:val="18"/>
                <w:color w:val="auto"/>
              </w:rPr>
              <w:t xml:space="preserve">Investment in sales-type lease, net </w:t>
            </w:r>
            <w:r>
              <w:rPr>
                <w:rFonts w:ascii="Times New Roman" w:cs="Times New Roman" w:eastAsia="Times New Roman" w:hAnsi="Times New Roman"/>
                <w:sz w:val="24"/>
                <w:szCs w:val="24"/>
                <w:color w:val="auto"/>
                <w:vertAlign w:val="superscript"/>
              </w:rPr>
              <w:t>(1)</w:t>
            </w: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9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other assets</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3,408</w:t>
            </w:r>
          </w:p>
        </w:tc>
        <w:tc>
          <w:tcPr>
            <w:tcW w:w="100" w:type="dxa"/>
            <w:vAlign w:val="bottom"/>
          </w:tcPr>
          <w:p>
            <w:pPr>
              <w:spacing w:after="0"/>
              <w:rPr>
                <w:sz w:val="18"/>
                <w:szCs w:val="18"/>
                <w:color w:val="auto"/>
              </w:rPr>
            </w:pPr>
          </w:p>
        </w:tc>
      </w:tr>
      <w:tr>
        <w:trPr>
          <w:trHeight w:val="169"/>
        </w:trPr>
        <w:tc>
          <w:tcPr>
            <w:tcW w:w="9280" w:type="dxa"/>
            <w:vAlign w:val="bottom"/>
            <w:tcBorders>
              <w:right w:val="single" w:sz="8" w:color="CFF0FC"/>
            </w:tcBorders>
            <w:gridSpan w:val="5"/>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Intangible assets</w:t>
            </w:r>
          </w:p>
        </w:tc>
        <w:tc>
          <w:tcPr>
            <w:tcW w:w="4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20"/>
        </w:trPr>
        <w:tc>
          <w:tcPr>
            <w:tcW w:w="800" w:type="dxa"/>
            <w:vAlign w:val="bottom"/>
            <w:tcBorders>
              <w:top w:val="single" w:sz="8" w:color="auto"/>
            </w:tcBorders>
            <w:shd w:val="clear" w:color="auto" w:fill="CFF0FC"/>
          </w:tcPr>
          <w:p>
            <w:pPr>
              <w:spacing w:after="0" w:line="20" w:lineRule="exact"/>
              <w:rPr>
                <w:sz w:val="1"/>
                <w:szCs w:val="1"/>
                <w:color w:val="auto"/>
              </w:rPr>
            </w:pPr>
          </w:p>
        </w:tc>
        <w:tc>
          <w:tcPr>
            <w:tcW w:w="400" w:type="dxa"/>
            <w:vAlign w:val="bottom"/>
            <w:tcBorders>
              <w:top w:val="single" w:sz="8" w:color="auto"/>
            </w:tcBorders>
            <w:shd w:val="clear" w:color="auto" w:fill="CFF0FC"/>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CFF0FC"/>
            </w:tcBorders>
            <w:shd w:val="clear" w:color="auto" w:fill="CFF0FC"/>
          </w:tcPr>
          <w:p>
            <w:pPr>
              <w:spacing w:after="0" w:line="20" w:lineRule="exact"/>
              <w:rPr>
                <w:sz w:val="1"/>
                <w:szCs w:val="1"/>
                <w:color w:val="auto"/>
              </w:rPr>
            </w:pPr>
          </w:p>
        </w:tc>
        <w:tc>
          <w:tcPr>
            <w:tcW w:w="68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14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16"/>
        </w:trPr>
        <w:tc>
          <w:tcPr>
            <w:tcW w:w="9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In-place leases</w:t>
            </w:r>
          </w:p>
        </w:tc>
        <w:tc>
          <w:tcPr>
            <w:tcW w:w="4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9,534</w:t>
            </w:r>
          </w:p>
        </w:tc>
        <w:tc>
          <w:tcPr>
            <w:tcW w:w="100" w:type="dxa"/>
            <w:vAlign w:val="bottom"/>
          </w:tcPr>
          <w:p>
            <w:pPr>
              <w:spacing w:after="0"/>
              <w:rPr>
                <w:sz w:val="18"/>
                <w:szCs w:val="18"/>
                <w:color w:val="auto"/>
              </w:rPr>
            </w:pPr>
          </w:p>
        </w:tc>
      </w:tr>
      <w:tr>
        <w:trPr>
          <w:trHeight w:val="216"/>
        </w:trPr>
        <w:tc>
          <w:tcPr>
            <w:tcW w:w="9280" w:type="dxa"/>
            <w:vAlign w:val="bottom"/>
            <w:tcBorders>
              <w:right w:val="single" w:sz="8" w:color="CFF0FC"/>
            </w:tcBorders>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Acquired leasing commissions</w:t>
            </w:r>
          </w:p>
        </w:tc>
        <w:tc>
          <w:tcPr>
            <w:tcW w:w="40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shd w:val="clear" w:color="auto" w:fill="CFF0FC"/>
          </w:tcPr>
          <w:p>
            <w:pPr>
              <w:spacing w:after="0"/>
              <w:rPr>
                <w:sz w:val="18"/>
                <w:szCs w:val="18"/>
                <w:color w:val="auto"/>
              </w:rPr>
            </w:pPr>
          </w:p>
        </w:tc>
      </w:tr>
      <w:tr>
        <w:trPr>
          <w:trHeight w:val="216"/>
        </w:trPr>
        <w:tc>
          <w:tcPr>
            <w:tcW w:w="9280" w:type="dxa"/>
            <w:vAlign w:val="bottom"/>
            <w:gridSpan w:val="5"/>
          </w:tcPr>
          <w:p>
            <w:pPr>
              <w:ind w:left="180"/>
              <w:spacing w:after="0"/>
              <w:rPr>
                <w:sz w:val="20"/>
                <w:szCs w:val="20"/>
                <w:color w:val="auto"/>
              </w:rPr>
            </w:pPr>
            <w:r>
              <w:rPr>
                <w:rFonts w:ascii="Times New Roman" w:cs="Times New Roman" w:eastAsia="Times New Roman" w:hAnsi="Times New Roman"/>
                <w:sz w:val="18"/>
                <w:szCs w:val="18"/>
                <w:color w:val="auto"/>
              </w:rPr>
              <w:t>Above-market leases</w:t>
            </w:r>
          </w:p>
        </w:tc>
        <w:tc>
          <w:tcPr>
            <w:tcW w:w="4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r>
      <w:tr>
        <w:trPr>
          <w:trHeight w:val="209"/>
        </w:trPr>
        <w:tc>
          <w:tcPr>
            <w:tcW w:w="9280" w:type="dxa"/>
            <w:vAlign w:val="bottom"/>
            <w:tcBorders>
              <w:bottom w:val="single" w:sz="8" w:color="CFF0FC"/>
              <w:right w:val="single" w:sz="8" w:color="CFF0FC"/>
            </w:tcBorders>
            <w:gridSpan w:val="5"/>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intangible assets</w:t>
            </w:r>
          </w:p>
        </w:tc>
        <w:tc>
          <w:tcPr>
            <w:tcW w:w="4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13,131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69"/>
        </w:trPr>
        <w:tc>
          <w:tcPr>
            <w:tcW w:w="9280" w:type="dxa"/>
            <w:vAlign w:val="bottom"/>
            <w:gridSpan w:val="5"/>
          </w:tcPr>
          <w:p>
            <w:pPr>
              <w:spacing w:after="0" w:line="169" w:lineRule="exact"/>
              <w:rPr>
                <w:sz w:val="20"/>
                <w:szCs w:val="20"/>
                <w:color w:val="auto"/>
              </w:rPr>
            </w:pPr>
            <w:r>
              <w:rPr>
                <w:rFonts w:ascii="Times New Roman" w:cs="Times New Roman" w:eastAsia="Times New Roman" w:hAnsi="Times New Roman"/>
                <w:sz w:val="18"/>
                <w:szCs w:val="18"/>
                <w:color w:val="auto"/>
              </w:rPr>
              <w:t>Intangible liabilities</w:t>
            </w:r>
          </w:p>
        </w:tc>
        <w:tc>
          <w:tcPr>
            <w:tcW w:w="4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
        </w:trPr>
        <w:tc>
          <w:tcPr>
            <w:tcW w:w="8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9280" w:type="dxa"/>
            <w:vAlign w:val="bottom"/>
            <w:tcBorders>
              <w:right w:val="single" w:sz="8" w:color="CFF0FC"/>
            </w:tcBorders>
            <w:gridSpan w:val="5"/>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Below-market leases</w:t>
            </w:r>
          </w:p>
        </w:tc>
        <w:tc>
          <w:tcPr>
            <w:tcW w:w="40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(2,374)</w:t>
            </w:r>
          </w:p>
        </w:tc>
      </w:tr>
      <w:tr>
        <w:trPr>
          <w:trHeight w:val="20"/>
        </w:trPr>
        <w:tc>
          <w:tcPr>
            <w:tcW w:w="80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6800" w:type="dxa"/>
            <w:vAlign w:val="bottom"/>
            <w:tcBorders>
              <w:right w:val="single" w:sz="8" w:color="CFF0FC"/>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92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intangible liabilities</w:t>
            </w:r>
          </w:p>
        </w:tc>
        <w:tc>
          <w:tcPr>
            <w:tcW w:w="40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(2,374)</w:t>
            </w:r>
          </w:p>
        </w:tc>
      </w:tr>
      <w:tr>
        <w:trPr>
          <w:trHeight w:val="210"/>
        </w:trPr>
        <w:tc>
          <w:tcPr>
            <w:tcW w:w="92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Purchase price</w:t>
            </w:r>
          </w:p>
        </w:tc>
        <w:tc>
          <w:tcPr>
            <w:tcW w:w="400" w:type="dxa"/>
            <w:vAlign w:val="bottom"/>
            <w:tcBorders>
              <w:top w:val="single" w:sz="8" w:color="auto"/>
              <w:bottom w:val="single" w:sz="8" w:color="auto"/>
            </w:tcBorders>
          </w:tcPr>
          <w:p>
            <w:pPr>
              <w:jc w:val="right"/>
              <w:ind w:right="284"/>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44,623</w:t>
            </w:r>
          </w:p>
        </w:tc>
        <w:tc>
          <w:tcPr>
            <w:tcW w:w="100" w:type="dxa"/>
            <w:vAlign w:val="bottom"/>
          </w:tcPr>
          <w:p>
            <w:pPr>
              <w:spacing w:after="0"/>
              <w:rPr>
                <w:sz w:val="18"/>
                <w:szCs w:val="18"/>
                <w:color w:val="auto"/>
              </w:rPr>
            </w:pPr>
          </w:p>
        </w:tc>
      </w:tr>
      <w:tr>
        <w:trPr>
          <w:trHeight w:val="20"/>
        </w:trPr>
        <w:tc>
          <w:tcPr>
            <w:tcW w:w="8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6" w:lineRule="exact"/>
        <w:rPr>
          <w:sz w:val="20"/>
          <w:szCs w:val="20"/>
          <w:color w:val="auto"/>
        </w:rPr>
      </w:pPr>
    </w:p>
    <w:p>
      <w:pPr>
        <w:ind w:right="380" w:firstLine="517"/>
        <w:spacing w:after="0" w:line="282" w:lineRule="auto"/>
        <w:tabs>
          <w:tab w:leader="none" w:pos="7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Both the investment in sales-type lease, net and credit loss allowance are recorded within Real estate loans receivable, net and investment in sales-type lease, net on our Consolidated Balance Sheet. No profit or loss was recognized upon commencement of the lease.</w:t>
      </w:r>
    </w:p>
    <w:p>
      <w:pPr>
        <w:spacing w:after="0" w:line="162" w:lineRule="exact"/>
        <w:rPr>
          <w:sz w:val="20"/>
          <w:szCs w:val="20"/>
          <w:color w:val="auto"/>
        </w:rPr>
      </w:pPr>
    </w:p>
    <w:p>
      <w:pPr>
        <w:ind w:right="500" w:firstLine="509"/>
        <w:spacing w:after="0" w:line="266" w:lineRule="auto"/>
        <w:rPr>
          <w:sz w:val="20"/>
          <w:szCs w:val="20"/>
          <w:color w:val="auto"/>
        </w:rPr>
      </w:pPr>
      <w:r>
        <w:rPr>
          <w:rFonts w:ascii="Times New Roman" w:cs="Times New Roman" w:eastAsia="Times New Roman" w:hAnsi="Times New Roman"/>
          <w:sz w:val="18"/>
          <w:szCs w:val="18"/>
          <w:color w:val="auto"/>
        </w:rPr>
        <w:t>The intangible assets and liabilities of operating properties acquired during the three months ended March 31, 2026 have a weighted average amortization period of 7.6 years as of March 31, 2026. During the three months ended March 31, 2026, these acquisitions contributed $1.5 million of revenues and $0.3 million of net income in our Consolidated Statements of Operations related to the operating properties acquired.</w:t>
      </w:r>
    </w:p>
    <w:p>
      <w:pPr>
        <w:spacing w:after="0" w:line="176"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we incurred $0.6 million of acquisition-related expenses, mainly consisting of internal costs associated with property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ind w:left="520"/>
        <w:spacing w:after="0"/>
        <w:rPr>
          <w:sz w:val="20"/>
          <w:szCs w:val="20"/>
          <w:color w:val="auto"/>
        </w:rPr>
      </w:pPr>
      <w:r>
        <w:rPr>
          <w:rFonts w:ascii="Times New Roman" w:cs="Times New Roman" w:eastAsia="Times New Roman" w:hAnsi="Times New Roman"/>
          <w:sz w:val="18"/>
          <w:szCs w:val="18"/>
          <w:i w:val="1"/>
          <w:iCs w:val="1"/>
          <w:color w:val="auto"/>
        </w:rPr>
        <w:t>Consolidated Real Estate and Intangibles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Real estate and intangibles consisted of the following as of March 31, 2026 (amounts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6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6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5820" w:type="dxa"/>
            <w:vAlign w:val="bottom"/>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Real estate properties, net</w:t>
            </w:r>
          </w:p>
        </w:tc>
        <w:tc>
          <w:tcPr>
            <w:tcW w:w="3440" w:type="dxa"/>
            <w:vAlign w:val="bottom"/>
            <w:shd w:val="clear" w:color="auto" w:fill="CFF0FC"/>
          </w:tcPr>
          <w:p>
            <w:pPr>
              <w:spacing w:after="0"/>
              <w:rPr>
                <w:sz w:val="16"/>
                <w:szCs w:val="16"/>
                <w:color w:val="auto"/>
              </w:rPr>
            </w:pPr>
          </w:p>
        </w:tc>
        <w:tc>
          <w:tcPr>
            <w:tcW w:w="420" w:type="dxa"/>
            <w:vAlign w:val="bottom"/>
            <w:tcBorders>
              <w:top w:val="single" w:sz="8" w:color="auto"/>
            </w:tcBorders>
            <w:shd w:val="clear" w:color="auto" w:fill="CFF0FC"/>
          </w:tcPr>
          <w:p>
            <w:pPr>
              <w:spacing w:after="0"/>
              <w:rPr>
                <w:sz w:val="16"/>
                <w:szCs w:val="16"/>
                <w:color w:val="auto"/>
              </w:rPr>
            </w:pPr>
          </w:p>
        </w:tc>
        <w:tc>
          <w:tcPr>
            <w:tcW w:w="14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1860" w:type="dxa"/>
            <w:vAlign w:val="bottom"/>
            <w:tcBorders>
              <w:top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Land</w:t>
            </w:r>
          </w:p>
        </w:tc>
        <w:tc>
          <w:tcPr>
            <w:tcW w:w="3960" w:type="dxa"/>
            <w:vAlign w:val="bottom"/>
            <w:tcBorders>
              <w:top w:val="single" w:sz="8" w:color="CFF0FC"/>
            </w:tcBorders>
          </w:tcPr>
          <w:p>
            <w:pPr>
              <w:spacing w:after="0"/>
              <w:rPr>
                <w:sz w:val="18"/>
                <w:szCs w:val="18"/>
                <w:color w:val="auto"/>
              </w:rPr>
            </w:pPr>
          </w:p>
        </w:tc>
        <w:tc>
          <w:tcPr>
            <w:tcW w:w="3860" w:type="dxa"/>
            <w:vAlign w:val="bottom"/>
            <w:tcBorders>
              <w:top w:val="single" w:sz="8" w:color="CFF0FC"/>
            </w:tcBorders>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321,600</w:t>
            </w:r>
          </w:p>
        </w:tc>
        <w:tc>
          <w:tcPr>
            <w:tcW w:w="100" w:type="dxa"/>
            <w:vAlign w:val="bottom"/>
            <w:tcBorders>
              <w:top w:val="single" w:sz="8" w:color="CFF0FC"/>
            </w:tcBorders>
          </w:tcPr>
          <w:p>
            <w:pPr>
              <w:spacing w:after="0"/>
              <w:rPr>
                <w:sz w:val="18"/>
                <w:szCs w:val="18"/>
                <w:color w:val="auto"/>
              </w:rPr>
            </w:pPr>
          </w:p>
        </w:tc>
      </w:tr>
      <w:tr>
        <w:trPr>
          <w:trHeight w:val="216"/>
        </w:trPr>
        <w:tc>
          <w:tcPr>
            <w:tcW w:w="58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Building and improvements</w:t>
            </w:r>
          </w:p>
        </w:tc>
        <w:tc>
          <w:tcPr>
            <w:tcW w:w="3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2,824,477</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Acquired tenant improvements</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118,029</w:t>
            </w:r>
          </w:p>
        </w:tc>
        <w:tc>
          <w:tcPr>
            <w:tcW w:w="100" w:type="dxa"/>
            <w:vAlign w:val="bottom"/>
          </w:tcPr>
          <w:p>
            <w:pPr>
              <w:spacing w:after="0"/>
              <w:rPr>
                <w:sz w:val="18"/>
                <w:szCs w:val="18"/>
                <w:color w:val="auto"/>
              </w:rPr>
            </w:pPr>
          </w:p>
        </w:tc>
      </w:tr>
      <w:tr>
        <w:trPr>
          <w:trHeight w:val="216"/>
        </w:trPr>
        <w:tc>
          <w:tcPr>
            <w:tcW w:w="58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3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51,663</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Accumulated depreciation</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(577,014)</w:t>
            </w:r>
          </w:p>
        </w:tc>
      </w:tr>
      <w:tr>
        <w:trPr>
          <w:trHeight w:val="210"/>
        </w:trPr>
        <w:tc>
          <w:tcPr>
            <w:tcW w:w="5820" w:type="dxa"/>
            <w:vAlign w:val="bottom"/>
            <w:tcBorders>
              <w:bottom w:val="single" w:sz="8" w:color="CFF0FC"/>
            </w:tcBorders>
            <w:gridSpan w:val="4"/>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Real estate properties, net</w:t>
            </w:r>
          </w:p>
        </w:tc>
        <w:tc>
          <w:tcPr>
            <w:tcW w:w="34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spacing w:after="0"/>
              <w:rPr>
                <w:sz w:val="18"/>
                <w:szCs w:val="18"/>
                <w:color w:val="auto"/>
              </w:rPr>
            </w:pP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2,738,755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69"/>
        </w:trPr>
        <w:tc>
          <w:tcPr>
            <w:tcW w:w="5820" w:type="dxa"/>
            <w:vAlign w:val="bottom"/>
            <w:gridSpan w:val="4"/>
          </w:tcPr>
          <w:p>
            <w:pPr>
              <w:spacing w:after="0" w:line="169" w:lineRule="exact"/>
              <w:rPr>
                <w:sz w:val="20"/>
                <w:szCs w:val="20"/>
                <w:color w:val="auto"/>
              </w:rPr>
            </w:pPr>
            <w:r>
              <w:rPr>
                <w:rFonts w:ascii="Times New Roman" w:cs="Times New Roman" w:eastAsia="Times New Roman" w:hAnsi="Times New Roman"/>
                <w:sz w:val="18"/>
                <w:szCs w:val="18"/>
                <w:color w:val="auto"/>
              </w:rPr>
              <w:t>Intangible assets, net</w:t>
            </w:r>
          </w:p>
        </w:tc>
        <w:tc>
          <w:tcPr>
            <w:tcW w:w="3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15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8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In-place leases</w:t>
            </w:r>
          </w:p>
        </w:tc>
        <w:tc>
          <w:tcPr>
            <w:tcW w:w="3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345,522</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Acquired leasing commissions</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97,985</w:t>
            </w:r>
          </w:p>
        </w:tc>
        <w:tc>
          <w:tcPr>
            <w:tcW w:w="100" w:type="dxa"/>
            <w:vAlign w:val="bottom"/>
          </w:tcPr>
          <w:p>
            <w:pPr>
              <w:spacing w:after="0"/>
              <w:rPr>
                <w:sz w:val="18"/>
                <w:szCs w:val="18"/>
                <w:color w:val="auto"/>
              </w:rPr>
            </w:pPr>
          </w:p>
        </w:tc>
      </w:tr>
      <w:tr>
        <w:trPr>
          <w:trHeight w:val="216"/>
        </w:trPr>
        <w:tc>
          <w:tcPr>
            <w:tcW w:w="58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Above market leases</w:t>
            </w:r>
          </w:p>
        </w:tc>
        <w:tc>
          <w:tcPr>
            <w:tcW w:w="3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15,105</w:t>
            </w:r>
          </w:p>
        </w:tc>
        <w:tc>
          <w:tcPr>
            <w:tcW w:w="100" w:type="dxa"/>
            <w:vAlign w:val="bottom"/>
            <w:shd w:val="clear" w:color="auto" w:fill="CFF0FC"/>
          </w:tcPr>
          <w:p>
            <w:pPr>
              <w:spacing w:after="0"/>
              <w:rPr>
                <w:sz w:val="18"/>
                <w:szCs w:val="18"/>
                <w:color w:val="auto"/>
              </w:rPr>
            </w:pPr>
          </w:p>
        </w:tc>
      </w:tr>
      <w:tr>
        <w:trPr>
          <w:trHeight w:val="216"/>
        </w:trPr>
        <w:tc>
          <w:tcPr>
            <w:tcW w:w="582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Payment in lieu of taxes</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tcPr>
          <w:p>
            <w:pPr>
              <w:spacing w:after="0"/>
              <w:rPr>
                <w:sz w:val="18"/>
                <w:szCs w:val="18"/>
                <w:color w:val="auto"/>
              </w:rPr>
            </w:pPr>
          </w:p>
        </w:tc>
      </w:tr>
      <w:tr>
        <w:trPr>
          <w:trHeight w:val="216"/>
        </w:trPr>
        <w:tc>
          <w:tcPr>
            <w:tcW w:w="5820" w:type="dxa"/>
            <w:vAlign w:val="bottom"/>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(275,472)</w:t>
            </w:r>
          </w:p>
        </w:tc>
      </w:tr>
      <w:tr>
        <w:trPr>
          <w:trHeight w:val="210"/>
        </w:trPr>
        <w:tc>
          <w:tcPr>
            <w:tcW w:w="5820" w:type="dxa"/>
            <w:vAlign w:val="bottom"/>
            <w:tcBorders>
              <w:top w:val="single" w:sz="8" w:color="CFF0FC"/>
            </w:tcBorders>
            <w:gridSpan w:val="4"/>
          </w:tcPr>
          <w:p>
            <w:pPr>
              <w:spacing w:after="0"/>
              <w:rPr>
                <w:sz w:val="20"/>
                <w:szCs w:val="20"/>
                <w:color w:val="auto"/>
              </w:rPr>
            </w:pPr>
            <w:r>
              <w:rPr>
                <w:rFonts w:ascii="Times New Roman" w:cs="Times New Roman" w:eastAsia="Times New Roman" w:hAnsi="Times New Roman"/>
                <w:sz w:val="18"/>
                <w:szCs w:val="18"/>
                <w:color w:val="auto"/>
              </w:rPr>
              <w:t>Total Intangible assets, net</w:t>
            </w:r>
          </w:p>
        </w:tc>
        <w:tc>
          <w:tcPr>
            <w:tcW w:w="3440" w:type="dxa"/>
            <w:vAlign w:val="bottom"/>
            <w:tcBorders>
              <w:top w:val="single" w:sz="8" w:color="CFF0FC"/>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189,534</w:t>
            </w:r>
          </w:p>
        </w:tc>
        <w:tc>
          <w:tcPr>
            <w:tcW w:w="100" w:type="dxa"/>
            <w:vAlign w:val="bottom"/>
            <w:tcBorders>
              <w:top w:val="single" w:sz="8" w:color="CFF0FC"/>
            </w:tcBorders>
          </w:tcPr>
          <w:p>
            <w:pPr>
              <w:spacing w:after="0"/>
              <w:rPr>
                <w:sz w:val="18"/>
                <w:szCs w:val="18"/>
                <w:color w:val="auto"/>
              </w:rPr>
            </w:pPr>
          </w:p>
        </w:tc>
      </w:tr>
      <w:tr>
        <w:trPr>
          <w:trHeight w:val="189"/>
        </w:trPr>
        <w:tc>
          <w:tcPr>
            <w:tcW w:w="5820" w:type="dxa"/>
            <w:vAlign w:val="bottom"/>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rPr>
              <w:t>Intangible liabilities, net</w:t>
            </w:r>
          </w:p>
        </w:tc>
        <w:tc>
          <w:tcPr>
            <w:tcW w:w="3440" w:type="dxa"/>
            <w:vAlign w:val="bottom"/>
            <w:shd w:val="clear" w:color="auto" w:fill="CFF0FC"/>
          </w:tcPr>
          <w:p>
            <w:pPr>
              <w:spacing w:after="0"/>
              <w:rPr>
                <w:sz w:val="16"/>
                <w:szCs w:val="16"/>
                <w:color w:val="auto"/>
              </w:rPr>
            </w:pPr>
          </w:p>
        </w:tc>
        <w:tc>
          <w:tcPr>
            <w:tcW w:w="42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16"/>
        </w:trPr>
        <w:tc>
          <w:tcPr>
            <w:tcW w:w="1760" w:type="dxa"/>
            <w:vAlign w:val="bottom"/>
            <w:tcBorders>
              <w:top w:val="single" w:sz="8" w:color="auto"/>
            </w:tcBorders>
            <w:gridSpan w:val="2"/>
          </w:tcPr>
          <w:p>
            <w:pPr>
              <w:ind w:left="180"/>
              <w:spacing w:after="0"/>
              <w:rPr>
                <w:sz w:val="20"/>
                <w:szCs w:val="20"/>
                <w:color w:val="auto"/>
              </w:rPr>
            </w:pPr>
            <w:r>
              <w:rPr>
                <w:rFonts w:ascii="Times New Roman" w:cs="Times New Roman" w:eastAsia="Times New Roman" w:hAnsi="Times New Roman"/>
                <w:sz w:val="18"/>
                <w:szCs w:val="18"/>
                <w:color w:val="auto"/>
              </w:rPr>
              <w:t>Below market leases</w:t>
            </w:r>
          </w:p>
        </w:tc>
        <w:tc>
          <w:tcPr>
            <w:tcW w:w="4060" w:type="dxa"/>
            <w:vAlign w:val="bottom"/>
            <w:tcBorders>
              <w:top w:val="single" w:sz="8" w:color="CFF0FC"/>
            </w:tcBorders>
            <w:gridSpan w:val="2"/>
          </w:tcPr>
          <w:p>
            <w:pPr>
              <w:spacing w:after="0"/>
              <w:rPr>
                <w:sz w:val="18"/>
                <w:szCs w:val="18"/>
                <w:color w:val="auto"/>
              </w:rPr>
            </w:pPr>
          </w:p>
        </w:tc>
        <w:tc>
          <w:tcPr>
            <w:tcW w:w="3440" w:type="dxa"/>
            <w:vAlign w:val="bottom"/>
            <w:tcBorders>
              <w:top w:val="single" w:sz="8" w:color="CFF0FC"/>
            </w:tcBorders>
          </w:tcPr>
          <w:p>
            <w:pPr>
              <w:spacing w:after="0"/>
              <w:rPr>
                <w:sz w:val="18"/>
                <w:szCs w:val="18"/>
                <w:color w:val="auto"/>
              </w:rPr>
            </w:pPr>
          </w:p>
        </w:tc>
        <w:tc>
          <w:tcPr>
            <w:tcW w:w="420" w:type="dxa"/>
            <w:vAlign w:val="bottom"/>
            <w:tcBorders>
              <w:top w:val="single" w:sz="8" w:color="CFF0FC"/>
            </w:tcBorders>
          </w:tcPr>
          <w:p>
            <w:pPr>
              <w:spacing w:after="0"/>
              <w:rPr>
                <w:sz w:val="18"/>
                <w:szCs w:val="18"/>
                <w:color w:val="auto"/>
              </w:rPr>
            </w:pPr>
          </w:p>
        </w:tc>
        <w:tc>
          <w:tcPr>
            <w:tcW w:w="1560" w:type="dxa"/>
            <w:vAlign w:val="bottom"/>
            <w:tcBorders>
              <w:top w:val="single" w:sz="8" w:color="CFF0FC"/>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(78,996)</w:t>
            </w:r>
          </w:p>
        </w:tc>
      </w:tr>
      <w:tr>
        <w:trPr>
          <w:trHeight w:val="216"/>
        </w:trPr>
        <w:tc>
          <w:tcPr>
            <w:tcW w:w="5820" w:type="dxa"/>
            <w:vAlign w:val="bottom"/>
            <w:tcBorders>
              <w:bottom w:val="single" w:sz="8" w:color="CFF0FC"/>
            </w:tcBorders>
            <w:gridSpan w:val="4"/>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40" w:type="dxa"/>
            <w:vAlign w:val="bottom"/>
            <w:tcBorders>
              <w:bottom w:val="single" w:sz="8" w:color="CFF0FC"/>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65,398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8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Intangible liabilities, net</w:t>
            </w:r>
          </w:p>
        </w:tc>
        <w:tc>
          <w:tcPr>
            <w:tcW w:w="3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(13,598)</w:t>
            </w:r>
          </w:p>
        </w:tc>
      </w:tr>
      <w:tr>
        <w:trPr>
          <w:trHeight w:val="20"/>
        </w:trPr>
        <w:tc>
          <w:tcPr>
            <w:tcW w:w="1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-719455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scheduled amortization of our acquired above- and below-market lease intangibles for each of the five succeeding years as of March 31, 2026 (amounts in thousands):</w:t>
      </w:r>
    </w:p>
    <w:p>
      <w:pPr>
        <w:spacing w:after="0" w:line="20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1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Acquired Above-Market Lease Intangibles</w:t>
            </w:r>
          </w:p>
        </w:tc>
        <w:tc>
          <w:tcPr>
            <w:tcW w:w="4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Acquired Below-Market Lease Intangibles</w:t>
            </w:r>
          </w:p>
        </w:tc>
        <w:tc>
          <w:tcPr>
            <w:tcW w:w="80" w:type="dxa"/>
            <w:vAlign w:val="bottom"/>
          </w:tcPr>
          <w:p>
            <w:pPr>
              <w:spacing w:after="0"/>
              <w:rPr>
                <w:sz w:val="15"/>
                <w:szCs w:val="15"/>
                <w:color w:val="auto"/>
              </w:rPr>
            </w:pPr>
          </w:p>
        </w:tc>
      </w:tr>
      <w:tr>
        <w:trPr>
          <w:trHeight w:val="210"/>
        </w:trPr>
        <w:tc>
          <w:tcPr>
            <w:tcW w:w="112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4"/>
                <w:szCs w:val="24"/>
                <w:color w:val="auto"/>
                <w:vertAlign w:val="superscript"/>
              </w:rPr>
              <w:t>(1)</w:t>
            </w:r>
          </w:p>
        </w:tc>
        <w:tc>
          <w:tcPr>
            <w:tcW w:w="3640" w:type="dxa"/>
            <w:vAlign w:val="bottom"/>
            <w:gridSpan w:val="2"/>
            <w:shd w:val="clear" w:color="auto" w:fill="CFF0FC"/>
          </w:tcPr>
          <w:p>
            <w:pPr>
              <w:jc w:val="right"/>
              <w:ind w:right="290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919</w:t>
            </w:r>
          </w:p>
        </w:tc>
        <w:tc>
          <w:tcPr>
            <w:tcW w:w="5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(2,212)</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1,216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(2,729)</w:t>
            </w:r>
          </w:p>
        </w:tc>
      </w:tr>
      <w:tr>
        <w:trPr>
          <w:trHeight w:val="216"/>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(2,184)</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(1,498)</w:t>
            </w:r>
          </w:p>
        </w:tc>
      </w:tr>
      <w:tr>
        <w:trPr>
          <w:trHeight w:val="216"/>
        </w:trPr>
        <w:tc>
          <w:tcPr>
            <w:tcW w:w="1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580" w:type="dxa"/>
            <w:vAlign w:val="bottom"/>
            <w:shd w:val="clear" w:color="auto" w:fill="CFF0FC"/>
          </w:tcPr>
          <w:p>
            <w:pPr>
              <w:spacing w:after="0"/>
              <w:rPr>
                <w:sz w:val="18"/>
                <w:szCs w:val="18"/>
                <w:color w:val="auto"/>
              </w:rPr>
            </w:pPr>
          </w:p>
        </w:tc>
        <w:tc>
          <w:tcPr>
            <w:tcW w:w="306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(1,328)</w:t>
            </w:r>
          </w:p>
        </w:tc>
      </w:tr>
    </w:tbl>
    <w:p>
      <w:pPr>
        <w:spacing w:after="0" w:line="198"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Represents the nine months ending December 31, 2026.</w:t>
      </w:r>
    </w:p>
    <w:p>
      <w:pPr>
        <w:spacing w:after="0" w:line="22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Above-market lease amortization reduces Rental income on our Consolidated Statements of Operations and below-market lease amortization increases Rental income on our Consolidated Statements of Operations.</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2" w:name="page13"/>
    <w:bookmarkEnd w:id="12"/>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Investment in Unconsolidated Real Estate Venture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investment in the JV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vMerge w:val="restart"/>
          </w:tcPr>
          <w:p>
            <w:pPr>
              <w:ind w:left="2180"/>
              <w:spacing w:after="0"/>
              <w:rPr>
                <w:sz w:val="20"/>
                <w:szCs w:val="20"/>
                <w:color w:val="auto"/>
              </w:rPr>
            </w:pPr>
            <w:r>
              <w:rPr>
                <w:rFonts w:ascii="Times New Roman" w:cs="Times New Roman" w:eastAsia="Times New Roman" w:hAnsi="Times New Roman"/>
                <w:sz w:val="14"/>
                <w:szCs w:val="14"/>
                <w:b w:val="1"/>
                <w:bCs w:val="1"/>
                <w:color w:val="auto"/>
              </w:rPr>
              <w:t>Joint Venture</w:t>
            </w:r>
          </w:p>
        </w:tc>
        <w:tc>
          <w:tcPr>
            <w:tcW w:w="540" w:type="dxa"/>
            <w:vAlign w:val="bottom"/>
          </w:tcPr>
          <w:p>
            <w:pPr>
              <w:spacing w:after="0"/>
              <w:rPr>
                <w:sz w:val="15"/>
                <w:szCs w:val="15"/>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Ownership Interest</w:t>
            </w: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0" w:type="dxa"/>
            <w:vAlign w:val="bottom"/>
          </w:tcPr>
          <w:p>
            <w:pPr>
              <w:spacing w:after="0"/>
              <w:rPr>
                <w:sz w:val="1"/>
                <w:szCs w:val="1"/>
                <w:color w:val="auto"/>
              </w:rPr>
            </w:pPr>
          </w:p>
        </w:tc>
      </w:tr>
      <w:tr>
        <w:trPr>
          <w:trHeight w:val="142"/>
        </w:trPr>
        <w:tc>
          <w:tcPr>
            <w:tcW w:w="5200" w:type="dxa"/>
            <w:vAlign w:val="bottom"/>
            <w:tcBorders>
              <w:bottom w:val="single" w:sz="8" w:color="auto"/>
            </w:tcBorders>
            <w:vMerge w:val="continue"/>
          </w:tcPr>
          <w:p>
            <w:pPr>
              <w:spacing w:after="0"/>
              <w:rPr>
                <w:sz w:val="12"/>
                <w:szCs w:val="12"/>
                <w:color w:val="auto"/>
              </w:rPr>
            </w:pPr>
          </w:p>
        </w:tc>
        <w:tc>
          <w:tcPr>
            <w:tcW w:w="540" w:type="dxa"/>
            <w:vAlign w:val="bottom"/>
          </w:tcPr>
          <w:p>
            <w:pPr>
              <w:spacing w:after="0"/>
              <w:rPr>
                <w:sz w:val="12"/>
                <w:szCs w:val="12"/>
                <w:color w:val="auto"/>
              </w:rPr>
            </w:pPr>
          </w:p>
        </w:tc>
        <w:tc>
          <w:tcPr>
            <w:tcW w:w="2440" w:type="dxa"/>
            <w:vAlign w:val="bottom"/>
            <w:tcBorders>
              <w:bottom w:val="single" w:sz="8" w:color="auto"/>
            </w:tcBorders>
            <w:vMerge w:val="continue"/>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Borders>
              <w:top w:val="single" w:sz="8" w:color="auto"/>
              <w:bottom w:val="single" w:sz="8" w:color="auto"/>
            </w:tcBorders>
          </w:tcPr>
          <w:p>
            <w:pPr>
              <w:spacing w:after="0"/>
              <w:rPr>
                <w:sz w:val="12"/>
                <w:szCs w:val="12"/>
                <w:color w:val="auto"/>
              </w:rPr>
            </w:pPr>
          </w:p>
        </w:tc>
        <w:tc>
          <w:tcPr>
            <w:tcW w:w="2080" w:type="dxa"/>
            <w:vAlign w:val="bottom"/>
            <w:tcBorders>
              <w:top w:val="single" w:sz="8" w:color="auto"/>
              <w:bottom w:val="single" w:sz="8" w:color="auto"/>
            </w:tcBorders>
          </w:tcPr>
          <w:p>
            <w:pPr>
              <w:jc w:val="right"/>
              <w:ind w:right="10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MedBase Venture</w:t>
            </w:r>
          </w:p>
        </w:tc>
        <w:tc>
          <w:tcPr>
            <w:tcW w:w="2980" w:type="dxa"/>
            <w:vAlign w:val="bottom"/>
            <w:gridSpan w:val="2"/>
            <w:shd w:val="clear" w:color="auto" w:fill="CFF0FC"/>
          </w:tcPr>
          <w:p>
            <w:pPr>
              <w:jc w:val="right"/>
              <w:ind w:right="908"/>
              <w:spacing w:after="0"/>
              <w:rPr>
                <w:sz w:val="20"/>
                <w:szCs w:val="20"/>
                <w:color w:val="auto"/>
              </w:rPr>
            </w:pPr>
            <w:r>
              <w:rPr>
                <w:rFonts w:ascii="Times New Roman" w:cs="Times New Roman" w:eastAsia="Times New Roman" w:hAnsi="Times New Roman"/>
                <w:sz w:val="18"/>
                <w:szCs w:val="18"/>
                <w:color w:val="auto"/>
              </w:rPr>
              <w:t>53.0%</w:t>
            </w:r>
          </w:p>
        </w:tc>
        <w:tc>
          <w:tcPr>
            <w:tcW w:w="8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304,070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October 13, 2021, we formed an unconsolidated real estate venture, which we refer to as the JV, with a global investor to fund the acquisition of a portfolio of ten properties that encompasses 1,214,165 leased square feet (the “VA Portfolio”). We own a 53.0% interest in the JV, subject to preferred allocations as provided in the JV agreement. We have joint approval rights with our JV partner on major decisions, including those regarding property operations. As such, we hold a non-controlling interest in the joint venture and account for the JV under the equity method of accounting.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Real Estate Loans Receivable</w:t>
      </w:r>
    </w:p>
    <w:p>
      <w:pPr>
        <w:spacing w:after="0" w:line="22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August 6, 2024, we entered into a construction loan agreement (the “Construction Loan”) to lend up to $52.1 million to a developer (the “Borrower”). The construction loan will accrue interest monthly at a fixed market rate of 9.00% per annum. The construction loan shall be re-paid in full on or before August 31, 2027, the maturity date. Upon completion of the development, we had the option to purchase at fair value all of the issued and outstanding membership interest from the Borrower in a special purpose entity (“SPE”) which solely holds the developed property. We hold a variable interest in the SPE, but we do not consolidate the SPE as we are not the primary beneficiary due to the lack of power to direct significant activities performed by the SPE. The fair value of this real estate loan receivable was approximately $35.6 million as of March 31, 2026.</w:t>
      </w:r>
    </w:p>
    <w:p>
      <w:pPr>
        <w:spacing w:after="0" w:line="187"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April 1, 2025, the Borrower repaid $15.0 million of the construction loan outstanding upon substantial completion of the development and receipt of the lump sum reimbursement from the government. On April 15, 2025, we declined the option to purchase, at the stated price, all of the issued and outstanding membership interest from the Borrower.</w:t>
      </w:r>
    </w:p>
    <w:p>
      <w:pPr>
        <w:spacing w:after="0" w:line="176" w:lineRule="exact"/>
        <w:rPr>
          <w:sz w:val="20"/>
          <w:szCs w:val="20"/>
          <w:color w:val="auto"/>
        </w:rPr>
      </w:pPr>
    </w:p>
    <w:p>
      <w:pPr>
        <w:ind w:right="180" w:firstLine="509"/>
        <w:spacing w:after="0" w:line="256" w:lineRule="auto"/>
        <w:rPr>
          <w:sz w:val="20"/>
          <w:szCs w:val="20"/>
          <w:color w:val="auto"/>
        </w:rPr>
      </w:pPr>
      <w:r>
        <w:rPr>
          <w:rFonts w:ascii="Times New Roman" w:cs="Times New Roman" w:eastAsia="Times New Roman" w:hAnsi="Times New Roman"/>
          <w:sz w:val="18"/>
          <w:szCs w:val="18"/>
          <w:color w:val="auto"/>
        </w:rPr>
        <w:t>On March 5, 2026, we entered into a mezzanine construction loan agreement (the “Mezzanine Construction Loan”) to lend $7.0 million to a developer (the “Mezzanine Borrower”). The mezzanine construction loan will accrue interest monthly at a fixed market rate of 12.00% per annum. The mezzanine construction loan shall be re-paid in full on or before March 5, 2030, the maturity date, however, the Mezzanine Borrower has the option to extend the maturity date by an additional twelve months through March 5, 2031. We hold a variable interest in the Mezzanine Borrower entity, but we do not consolidate the entity as we are not the primary beneficiary due to the lack of power to direct significant activities performed by the Mezzanine Borrower. The fair value of this real estate loan receivable was approximately $7.8 million as of March 31, 2026.</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our real estate loans receivable consisted of the following (dollars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Borders>
              <w:bottom w:val="single" w:sz="8" w:color="auto"/>
            </w:tcBorders>
          </w:tcPr>
          <w:p>
            <w:pPr>
              <w:ind w:left="8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6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20" w:type="dxa"/>
            <w:vAlign w:val="bottom"/>
          </w:tcPr>
          <w:p>
            <w:pPr>
              <w:spacing w:after="0"/>
              <w:rPr>
                <w:sz w:val="15"/>
                <w:szCs w:val="15"/>
                <w:color w:val="auto"/>
              </w:rPr>
            </w:pPr>
          </w:p>
        </w:tc>
      </w:tr>
      <w:tr>
        <w:trPr>
          <w:trHeight w:val="21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loans receivable</w:t>
            </w:r>
          </w:p>
        </w:tc>
        <w:tc>
          <w:tcPr>
            <w:tcW w:w="3620" w:type="dxa"/>
            <w:vAlign w:val="bottom"/>
            <w:gridSpan w:val="2"/>
            <w:shd w:val="clear" w:color="auto" w:fill="CFF0FC"/>
          </w:tcPr>
          <w:p>
            <w:pPr>
              <w:jc w:val="center"/>
              <w:ind w:right="13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45,729</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35,357</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4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(1,267)</w:t>
            </w:r>
          </w:p>
        </w:tc>
        <w:tc>
          <w:tcPr>
            <w:tcW w:w="1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(1,071)</w:t>
            </w:r>
          </w:p>
        </w:tc>
      </w:tr>
      <w:tr>
        <w:trPr>
          <w:trHeight w:val="20"/>
        </w:trPr>
        <w:tc>
          <w:tcPr>
            <w:tcW w:w="39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Real estate loans receivable, net</w:t>
            </w:r>
          </w:p>
        </w:tc>
        <w:tc>
          <w:tcPr>
            <w:tcW w:w="1640" w:type="dxa"/>
            <w:vAlign w:val="bottom"/>
            <w:shd w:val="clear" w:color="auto" w:fill="CFF0FC"/>
          </w:tcPr>
          <w:p>
            <w:pPr>
              <w:spacing w:after="0"/>
              <w:rPr>
                <w:sz w:val="19"/>
                <w:szCs w:val="19"/>
                <w:color w:val="auto"/>
              </w:rPr>
            </w:pPr>
          </w:p>
        </w:tc>
        <w:tc>
          <w:tcPr>
            <w:tcW w:w="1980" w:type="dxa"/>
            <w:vAlign w:val="bottom"/>
            <w:shd w:val="clear" w:color="auto" w:fill="CFF0FC"/>
          </w:tcPr>
          <w:p>
            <w:pPr>
              <w:jc w:val="center"/>
              <w:ind w:right="1779"/>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44,462</w:t>
            </w:r>
          </w:p>
        </w:tc>
        <w:tc>
          <w:tcPr>
            <w:tcW w:w="5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34,286</w:t>
            </w:r>
          </w:p>
        </w:tc>
      </w:tr>
      <w:tr>
        <w:trPr>
          <w:trHeight w:val="20"/>
        </w:trPr>
        <w:tc>
          <w:tcPr>
            <w:tcW w:w="3920" w:type="dxa"/>
            <w:vAlign w:val="bottom"/>
            <w:tcBorders>
              <w:top w:val="single" w:sz="8" w:color="CFF0FC"/>
            </w:tcBorders>
            <w:shd w:val="clear" w:color="auto" w:fill="CFF0FC"/>
          </w:tcPr>
          <w:p>
            <w:pPr>
              <w:spacing w:after="0" w:line="20" w:lineRule="exact"/>
              <w:rPr>
                <w:sz w:val="1"/>
                <w:szCs w:val="1"/>
                <w:color w:val="auto"/>
              </w:rPr>
            </w:pPr>
          </w:p>
        </w:tc>
        <w:tc>
          <w:tcPr>
            <w:tcW w:w="1640" w:type="dxa"/>
            <w:vAlign w:val="bottom"/>
            <w:tcBorders>
              <w:top w:val="single" w:sz="8" w:color="CFF0FC"/>
            </w:tcBorders>
            <w:shd w:val="clear" w:color="auto" w:fill="CFF0FC"/>
          </w:tcPr>
          <w:p>
            <w:pPr>
              <w:spacing w:after="0" w:line="20" w:lineRule="exact"/>
              <w:rPr>
                <w:sz w:val="1"/>
                <w:szCs w:val="1"/>
                <w:color w:val="auto"/>
              </w:rPr>
            </w:pPr>
          </w:p>
        </w:tc>
        <w:tc>
          <w:tcPr>
            <w:tcW w:w="19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520"/>
        </w:trPr>
        <w:tc>
          <w:tcPr>
            <w:tcW w:w="3920" w:type="dxa"/>
            <w:vAlign w:val="bottom"/>
          </w:tcPr>
          <w:p>
            <w:pPr>
              <w:spacing w:after="0"/>
              <w:rPr>
                <w:sz w:val="24"/>
                <w:szCs w:val="24"/>
                <w:color w:val="auto"/>
              </w:rPr>
            </w:pPr>
          </w:p>
        </w:tc>
        <w:tc>
          <w:tcPr>
            <w:tcW w:w="3620" w:type="dxa"/>
            <w:vAlign w:val="bottom"/>
            <w:gridSpan w:val="2"/>
          </w:tcPr>
          <w:p>
            <w:pPr>
              <w:jc w:val="center"/>
              <w:ind w:right="119"/>
              <w:spacing w:after="0"/>
              <w:rPr>
                <w:sz w:val="20"/>
                <w:szCs w:val="20"/>
                <w:color w:val="auto"/>
              </w:rPr>
            </w:pPr>
            <w:r>
              <w:rPr>
                <w:rFonts w:ascii="Times New Roman" w:cs="Times New Roman" w:eastAsia="Times New Roman" w:hAnsi="Times New Roman"/>
                <w:sz w:val="18"/>
                <w:szCs w:val="18"/>
                <w:color w:val="auto"/>
                <w:w w:val="99"/>
              </w:rPr>
              <w:t>11</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79"/>
        </w:trPr>
        <w:tc>
          <w:tcPr>
            <w:tcW w:w="39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-1002030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-984885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-1002030</wp:posOffset>
            </wp:positionV>
            <wp:extent cx="774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-984885</wp:posOffset>
            </wp:positionV>
            <wp:extent cx="7747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94" w:lineRule="exact"/>
        <w:rPr>
          <w:sz w:val="20"/>
          <w:szCs w:val="20"/>
          <w:color w:val="auto"/>
        </w:rPr>
      </w:pPr>
    </w:p>
    <w:p>
      <w:pPr>
        <w:ind w:right="860"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the activity for our allowance for credit losses for the three months ended March 31, 2026 and 2025 (dollars in thousands):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 xml:space="preserve">Real Estate Loans Receivable </w:t>
            </w:r>
            <w:r>
              <w:rPr>
                <w:rFonts w:ascii="Times New Roman" w:cs="Times New Roman" w:eastAsia="Times New Roman" w:hAnsi="Times New Roman"/>
                <w:sz w:val="19"/>
                <w:szCs w:val="19"/>
                <w:b w:val="1"/>
                <w:bCs w:val="1"/>
                <w:color w:val="auto"/>
                <w:vertAlign w:val="superscript"/>
              </w:rPr>
              <w:t>(1)</w:t>
            </w:r>
          </w:p>
        </w:tc>
        <w:tc>
          <w:tcPr>
            <w:tcW w:w="240" w:type="dxa"/>
            <w:vAlign w:val="bottom"/>
          </w:tcPr>
          <w:p>
            <w:pPr>
              <w:spacing w:after="0"/>
              <w:rPr>
                <w:sz w:val="18"/>
                <w:szCs w:val="18"/>
                <w:color w:val="auto"/>
              </w:rPr>
            </w:pPr>
          </w:p>
        </w:tc>
        <w:tc>
          <w:tcPr>
            <w:tcW w:w="33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xml:space="preserve">Real Estate Loan Unfunded Commitments </w:t>
            </w:r>
            <w:r>
              <w:rPr>
                <w:rFonts w:ascii="Times New Roman" w:cs="Times New Roman" w:eastAsia="Times New Roman" w:hAnsi="Times New Roman"/>
                <w:sz w:val="19"/>
                <w:szCs w:val="19"/>
                <w:b w:val="1"/>
                <w:bCs w:val="1"/>
                <w:color w:val="auto"/>
                <w:vertAlign w:val="superscript"/>
              </w:rPr>
              <w:t>(2)</w:t>
            </w:r>
          </w:p>
        </w:tc>
      </w:tr>
      <w:tr>
        <w:trPr>
          <w:trHeight w:val="210"/>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30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00" w:type="dxa"/>
            <w:vAlign w:val="bottom"/>
          </w:tcPr>
          <w:p>
            <w:pPr>
              <w:spacing w:after="0"/>
              <w:rPr>
                <w:sz w:val="18"/>
                <w:szCs w:val="18"/>
                <w:color w:val="auto"/>
              </w:rPr>
            </w:pPr>
          </w:p>
        </w:tc>
        <w:tc>
          <w:tcPr>
            <w:tcW w:w="2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(171)</w:t>
            </w:r>
          </w:p>
        </w:tc>
        <w:tc>
          <w:tcPr>
            <w:tcW w:w="240" w:type="dxa"/>
            <w:vAlign w:val="bottom"/>
          </w:tcPr>
          <w:p>
            <w:pPr>
              <w:spacing w:after="0"/>
              <w:rPr>
                <w:sz w:val="18"/>
                <w:szCs w:val="18"/>
                <w:color w:val="auto"/>
              </w:rPr>
            </w:pPr>
          </w:p>
        </w:tc>
        <w:tc>
          <w:tcPr>
            <w:tcW w:w="3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w:t>
            </w:r>
          </w:p>
        </w:tc>
      </w:tr>
      <w:tr>
        <w:trPr>
          <w:trHeight w:val="249"/>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4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4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December 31, 2025</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200" w:type="dxa"/>
            <w:vAlign w:val="bottom"/>
          </w:tcPr>
          <w:p>
            <w:pPr>
              <w:spacing w:after="0"/>
              <w:rPr>
                <w:sz w:val="18"/>
                <w:szCs w:val="18"/>
                <w:color w:val="auto"/>
              </w:rPr>
            </w:pPr>
          </w:p>
        </w:tc>
        <w:tc>
          <w:tcPr>
            <w:tcW w:w="2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4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March 31, 2026</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2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3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-607695</wp:posOffset>
            </wp:positionV>
            <wp:extent cx="7747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-590550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-590550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right="120" w:hanging="378"/>
        <w:spacing w:after="0" w:line="257"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2026, both our Construction Loan and Mezzanine Construction Loan are included within the non-investment grade category as both entities lack credit agency ratings. We used a non-investment grade credit spread to the applicable U.S. treasury rate to determine a probability of default. As of March 31, 2026, there are no payments that are considered past due nor any on nonaccrual status.</w:t>
      </w:r>
    </w:p>
    <w:p>
      <w:pPr>
        <w:spacing w:after="0" w:line="1" w:lineRule="exact"/>
        <w:rPr>
          <w:rFonts w:ascii="Times New Roman" w:cs="Times New Roman" w:eastAsia="Times New Roman" w:hAnsi="Times New Roman"/>
          <w:sz w:val="18"/>
          <w:szCs w:val="18"/>
          <w:color w:val="auto"/>
        </w:rPr>
      </w:pPr>
    </w:p>
    <w:p>
      <w:pPr>
        <w:ind w:left="760" w:right="500" w:hanging="378"/>
        <w:spacing w:after="0" w:line="260"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 for credit loss liability is included within Accounts payable, accrued expenses and other liabilities on our Consolidated Balance Sheets.</w:t>
      </w:r>
    </w:p>
    <w:p>
      <w:pPr>
        <w:spacing w:after="0" w:line="18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recognized interest income from our real estate loans receivable of $0.9 million and $0.9 million, respectively. Interest income from our real estate loans receivable is included within Other income on our Consolidated Statements of Operations.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March 31, 2026, our consolidated borrowings consisted of the following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Loan</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75"/>
        </w:trPr>
        <w:tc>
          <w:tcPr>
            <w:tcW w:w="4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Rate</w:t>
            </w:r>
            <w:r>
              <w:rPr>
                <w:rFonts w:ascii="Times New Roman" w:cs="Times New Roman" w:eastAsia="Times New Roman" w:hAnsi="Times New Roman"/>
                <w:sz w:val="8"/>
                <w:szCs w:val="8"/>
                <w:b w:val="1"/>
                <w:bCs w:val="1"/>
                <w:color w:val="auto"/>
              </w:rPr>
              <w:t xml:space="preserve"> (1)(2)</w:t>
            </w:r>
          </w:p>
        </w:tc>
        <w:tc>
          <w:tcPr>
            <w:tcW w:w="160" w:type="dxa"/>
            <w:vAlign w:val="bottom"/>
          </w:tcPr>
          <w:p>
            <w:pPr>
              <w:spacing w:after="0"/>
              <w:rPr>
                <w:sz w:val="15"/>
                <w:szCs w:val="15"/>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2024 revolving credit facility </w:t>
            </w:r>
            <w:r>
              <w:rPr>
                <w:rFonts w:ascii="Times New Roman" w:cs="Times New Roman" w:eastAsia="Times New Roman" w:hAnsi="Times New Roman"/>
                <w:sz w:val="24"/>
                <w:szCs w:val="24"/>
                <w:color w:val="auto"/>
                <w:vertAlign w:val="superscript"/>
              </w:rPr>
              <w:t>(3)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245,050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SOFR + 145 bps</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5"/>
              </w:rPr>
              <w:t xml:space="preserve">June 2028 </w:t>
            </w:r>
            <w:r>
              <w:rPr>
                <w:rFonts w:ascii="Times New Roman" w:cs="Times New Roman" w:eastAsia="Times New Roman" w:hAnsi="Times New Roman"/>
                <w:sz w:val="24"/>
                <w:szCs w:val="24"/>
                <w:color w:val="auto"/>
                <w:w w:val="95"/>
                <w:vertAlign w:val="superscript"/>
              </w:rPr>
              <w:t>(4)</w:t>
            </w: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revolving credit facility</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245,050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Term loan facilities: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2016 term loan facility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19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5.31% </w:t>
            </w:r>
            <w:r>
              <w:rPr>
                <w:rFonts w:ascii="Times New Roman" w:cs="Times New Roman" w:eastAsia="Times New Roman" w:hAnsi="Times New Roman"/>
                <w:sz w:val="24"/>
                <w:szCs w:val="24"/>
                <w:color w:val="auto"/>
                <w:w w:val="94"/>
                <w:vertAlign w:val="superscript"/>
              </w:rPr>
              <w:t>(5)</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6"/>
              </w:rPr>
              <w:t xml:space="preserve">January 2028 </w:t>
            </w:r>
            <w:r>
              <w:rPr>
                <w:rFonts w:ascii="Times New Roman" w:cs="Times New Roman" w:eastAsia="Times New Roman" w:hAnsi="Times New Roman"/>
                <w:sz w:val="24"/>
                <w:szCs w:val="24"/>
                <w:color w:val="auto"/>
                <w:w w:val="96"/>
                <w:vertAlign w:val="superscript"/>
              </w:rPr>
              <w:t>(6)</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term loan facility</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5.09% </w:t>
            </w:r>
            <w:r>
              <w:rPr>
                <w:rFonts w:ascii="Times New Roman" w:cs="Times New Roman" w:eastAsia="Times New Roman" w:hAnsi="Times New Roman"/>
                <w:sz w:val="24"/>
                <w:szCs w:val="24"/>
                <w:color w:val="auto"/>
                <w:w w:val="94"/>
                <w:vertAlign w:val="superscript"/>
              </w:rPr>
              <w:t>(7)</w:t>
            </w:r>
          </w:p>
        </w:tc>
        <w:tc>
          <w:tcPr>
            <w:tcW w:w="16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CFF0FC"/>
            </w:tcBorders>
            <w:gridSpan w:val="2"/>
            <w:shd w:val="clear" w:color="auto" w:fill="CFF0FC"/>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6"/>
              </w:rPr>
              <w:t xml:space="preserve">August 2028 </w:t>
            </w:r>
            <w:r>
              <w:rPr>
                <w:rFonts w:ascii="Times New Roman" w:cs="Times New Roman" w:eastAsia="Times New Roman" w:hAnsi="Times New Roman"/>
                <w:sz w:val="24"/>
                <w:szCs w:val="24"/>
                <w:color w:val="auto"/>
                <w:w w:val="96"/>
                <w:vertAlign w:val="superscript"/>
              </w:rPr>
              <w:t>(8)</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term loan facilities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(2,521)</w:t>
            </w: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term loan facilities, net</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297,479</w:t>
            </w:r>
          </w:p>
        </w:tc>
        <w:tc>
          <w:tcPr>
            <w:tcW w:w="300" w:type="dxa"/>
            <w:vAlign w:val="bottom"/>
            <w:tcBorders>
              <w:top w:val="single" w:sz="8" w:color="CFF0FC"/>
            </w:tcBorders>
          </w:tcPr>
          <w:p>
            <w:pPr>
              <w:spacing w:after="0"/>
              <w:rPr>
                <w:sz w:val="18"/>
                <w:szCs w:val="18"/>
                <w:color w:val="auto"/>
              </w:rPr>
            </w:pPr>
          </w:p>
        </w:tc>
        <w:tc>
          <w:tcPr>
            <w:tcW w:w="19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 series A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4.05%</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2027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2017 series B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2029</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 series C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4.30%</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2032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2019 series A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3.73%</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2029</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series B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3.83%</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2031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2019 series C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3.98%</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2034</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series A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2.62%</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October 2028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2021 series B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2.89%</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October 2030</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series A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2033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2024 series B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August 2033</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series A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6.13%</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March 2030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2025 series B senior notes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19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6.33% </w:t>
            </w:r>
            <w:r>
              <w:rPr>
                <w:rFonts w:ascii="Times New Roman" w:cs="Times New Roman" w:eastAsia="Times New Roman" w:hAnsi="Times New Roman"/>
                <w:sz w:val="24"/>
                <w:szCs w:val="24"/>
                <w:color w:val="auto"/>
                <w:w w:val="94"/>
                <w:vertAlign w:val="superscript"/>
              </w:rPr>
              <w:t>(9)</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March 2032</w:t>
            </w: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notes payable</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(5,868)</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1,019,132</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Mortgage notes payable:</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USFS II – Albuquerque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4.46%</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July 2026</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ICE – Charleston</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4.21%</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VA – Loma Linda</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3.59%</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July 2027</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CBP – Savannah</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30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3.40%</w:t>
            </w:r>
          </w:p>
        </w:tc>
        <w:tc>
          <w:tcPr>
            <w:tcW w:w="16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CFF0FC"/>
            </w:tcBorders>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July 2033</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mortgage notes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150,510</w:t>
            </w: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(298)</w:t>
            </w: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Total unamortized premium/discount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mortgage notes payable, net</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150,054</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1,711,715</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-4448175</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-4165600</wp:posOffset>
            </wp:positionV>
            <wp:extent cx="7747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-848360</wp:posOffset>
            </wp:positionV>
            <wp:extent cx="7747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ind w:left="760" w:right="120" w:hanging="378"/>
        <w:spacing w:after="0" w:line="254"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rates are as follows: 2016 term loan facility 5.59%, 2018 term loan facility 5.53%, 2017 series A senior notes 4.15%, 2017 series B senior notes 4.23%, 2017 series C senior notes 4.37%, 2019 series A senior notes 3.82%, 2019 series B senior notes 3.91%, 2019 series C senior notes 4.04%, 2021 series A senior notes 2.74%, 2021 series B senior notes 2.99%, 2024 series A senior notes 6.74%, 2024 series B senior notes 6.73%, 2025 series A senior notes 6.36%, 2025 series B senior notes 6.51%, USFS II – Albuquerque 3.92%, ICE – Charleston 3.93%, VA – Loma Linda 3.78%, CBP – Savannah 4.12%.</w:t>
      </w:r>
    </w:p>
    <w:p>
      <w:pPr>
        <w:spacing w:after="0" w:line="3" w:lineRule="exact"/>
        <w:rPr>
          <w:rFonts w:ascii="Times New Roman" w:cs="Times New Roman" w:eastAsia="Times New Roman" w:hAnsi="Times New Roman"/>
          <w:sz w:val="18"/>
          <w:szCs w:val="18"/>
          <w:color w:val="auto"/>
        </w:rPr>
      </w:pPr>
    </w:p>
    <w:p>
      <w:pPr>
        <w:ind w:left="760" w:right="20" w:hanging="378"/>
        <w:spacing w:after="0" w:line="271" w:lineRule="auto"/>
        <w:tabs>
          <w:tab w:leader="none" w:pos="76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March 31, 2026, the USD SOFR with a five day lookback (“SOFR”) was 3.63%. The current interest rate is not adjusted to include the amortization of deferred financing fees or debt issuance costs incurred in obtaining debt or any unamortized fair market value premiums. The spread over the applicable rate for each of our $400.0 million senior unsecured revolving credit facility (the “2024 revolving credit facility”), our $200.0 million senior unsecured term loan facility (as amended, our “2018 term loan facility”) and our $100.0 million senior unsecured term loan facility (as amended, our “2016 term loan facility”) is based on our consolidated leverage ratio, as set forth in the respective loan agreements.</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5" w:name="page16"/>
    <w:bookmarkEnd w:id="15"/>
    <w:p>
      <w:pPr>
        <w:jc w:val="both"/>
        <w:ind w:left="760" w:hanging="378"/>
        <w:spacing w:after="0" w:line="257"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$400.0 million senior unsecured 2024 revolving credit facility had available capacity of $154.8 million at March 31, 2026, in addition to an accordion feature that provides us with additional capacity of up to $300.0 million, subject to syndication of the increase and the satisfaction of customary terms and conditions.</w:t>
      </w:r>
    </w:p>
    <w:p>
      <w:pPr>
        <w:spacing w:after="0" w:line="1"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2024 revolving credit facility has two six-month as-of-right extension options subject to certain conditions and the payment of an extension fee.</w:t>
      </w:r>
    </w:p>
    <w:p>
      <w:pPr>
        <w:ind w:left="760" w:right="22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2016 term loan facility is subject to three interest rate swaps with effective dates of December 23, 2024 and a notional value of $100.0 million, which effectively fixes the interest rate at 5.31% annually, based on our consolidated leverage ratio as defined in our 2016 term loan facility agreement.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2016 term loan facility has two one-year as-of-right extension options subject to certain conditions and the payment of an extension fee.</w:t>
      </w:r>
    </w:p>
    <w:p>
      <w:pPr>
        <w:spacing w:after="0" w:line="9" w:lineRule="exact"/>
        <w:rPr>
          <w:rFonts w:ascii="Times New Roman" w:cs="Times New Roman" w:eastAsia="Times New Roman" w:hAnsi="Times New Roman"/>
          <w:sz w:val="18"/>
          <w:szCs w:val="18"/>
          <w:color w:val="auto"/>
        </w:rPr>
      </w:pPr>
    </w:p>
    <w:p>
      <w:pPr>
        <w:ind w:left="760" w:hanging="378"/>
        <w:spacing w:after="0" w:line="250"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2018 term loan facility is subject to three interest rate swaps, of which one has an effective date of March 24, 2025 and two of the swaps have an effective date of June 30, 2025. The three swaps have an aggregate notional value of $200.0 million, which effectively fixes the interest rate at 5.09% annually, based on our consolidated leverage ratio as defined in our 2018 term loan facility agreement.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2018 term loan facility has two one-year as-of-right extension options subject to certain conditions and the payment of an extension fee.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two $50.0 million treasury lock agreements to fix the Treasury rate of our 2025 series B senior notes.</w:t>
      </w:r>
    </w:p>
    <w:p>
      <w:pPr>
        <w:spacing w:after="0" w:line="20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the net carrying value of real estate collateralizing our mortgages payable totaled $208.4 million. See Note 8 for the fair value of our debt instruments.</w:t>
      </w:r>
    </w:p>
    <w:p>
      <w:pPr>
        <w:spacing w:after="0" w:line="2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Financial Covenant Considerations</w:t>
      </w:r>
    </w:p>
    <w:p>
      <w:pPr>
        <w:spacing w:after="0" w:line="14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we were in compliance with all financial and other covenants related to our debt.</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985" w:right="459" w:bottom="1440" w:gutter="0" w:footer="0" w:header="0"/>
        </w:sectPr>
      </w:pPr>
    </w:p>
    <w:bookmarkStart w:id="16" w:name="page17"/>
    <w:bookmarkEnd w:id="16"/>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Derivatives and Hedging Activities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key terms and fair values of our interest rate swap derivatives, each of which was designated as a cash flow hedge as of March 31, 2026. We entered into these interest rate swap derivatives to reduce our exposure to the variability in future cash flows attributable to changes in our floating rate debt (amounts in thousands):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Notional Amount</w:t>
            </w:r>
          </w:p>
        </w:tc>
        <w:tc>
          <w:tcPr>
            <w:tcW w:w="260" w:type="dxa"/>
            <w:vAlign w:val="bottom"/>
          </w:tcPr>
          <w:p>
            <w:pPr>
              <w:spacing w:after="0"/>
              <w:rPr>
                <w:sz w:val="15"/>
                <w:szCs w:val="15"/>
                <w:color w:val="auto"/>
              </w:rPr>
            </w:pPr>
          </w:p>
        </w:tc>
        <w:tc>
          <w:tcPr>
            <w:tcW w:w="100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4"/>
                <w:szCs w:val="14"/>
                <w:b w:val="1"/>
                <w:bCs w:val="1"/>
                <w:color w:val="auto"/>
                <w:w w:val="98"/>
              </w:rPr>
              <w:t>Fixed Rate</w:t>
            </w:r>
          </w:p>
        </w:tc>
        <w:tc>
          <w:tcPr>
            <w:tcW w:w="3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Floating Rate Index</w:t>
            </w:r>
          </w:p>
        </w:tc>
        <w:tc>
          <w:tcPr>
            <w:tcW w:w="220" w:type="dxa"/>
            <w:vAlign w:val="bottom"/>
          </w:tcPr>
          <w:p>
            <w:pPr>
              <w:spacing w:after="0"/>
              <w:rPr>
                <w:sz w:val="15"/>
                <w:szCs w:val="15"/>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14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Pr>
          <w:p>
            <w:pPr>
              <w:spacing w:after="0"/>
              <w:rPr>
                <w:sz w:val="15"/>
                <w:szCs w:val="15"/>
                <w:color w:val="auto"/>
              </w:rPr>
            </w:pPr>
          </w:p>
        </w:tc>
      </w:tr>
      <w:tr>
        <w:trPr>
          <w:trHeight w:val="209"/>
        </w:trPr>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3.85%</w:t>
            </w: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23, 2024</w:t>
            </w: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December 23, 2027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December 23, 2024</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23, 2027</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3.86%</w:t>
            </w: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December 23, 2024</w:t>
            </w: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December 23, 2027</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3.72%</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24, 2025</w:t>
            </w:r>
          </w:p>
        </w:tc>
        <w:tc>
          <w:tcPr>
            <w:tcW w:w="1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April 1, 2028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(299)</w:t>
            </w:r>
          </w:p>
        </w:tc>
      </w:tr>
      <w:tr>
        <w:trPr>
          <w:trHeight w:val="216"/>
        </w:trPr>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25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shd w:val="clear" w:color="auto" w:fill="CFF0FC"/>
          </w:tcPr>
          <w:p>
            <w:pPr>
              <w:spacing w:after="0"/>
              <w:rPr>
                <w:sz w:val="18"/>
                <w:szCs w:val="18"/>
                <w:color w:val="auto"/>
              </w:rPr>
            </w:pPr>
          </w:p>
        </w:tc>
        <w:tc>
          <w:tcPr>
            <w:tcW w:w="17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July 1, 2028</w:t>
            </w:r>
          </w:p>
        </w:tc>
        <w:tc>
          <w:tcPr>
            <w:tcW w:w="3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r>
      <w:tr>
        <w:trPr>
          <w:trHeight w:val="234"/>
        </w:trPr>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3.67%</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USD-SOFR with -5 Day Lookback</w:t>
            </w:r>
          </w:p>
        </w:tc>
        <w:tc>
          <w:tcPr>
            <w:tcW w:w="22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June 30, 2025</w:t>
            </w:r>
          </w:p>
        </w:tc>
        <w:tc>
          <w:tcPr>
            <w:tcW w:w="1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July 1, 2028</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w:t>
            </w:r>
          </w:p>
        </w:tc>
      </w:tr>
    </w:tbl>
    <w:p>
      <w:pPr>
        <w:spacing w:after="0" w:line="1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the fair value of our interest rate derivatives as well as their classification on our Consolidated Balance Sheets (amounts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85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Balance Sheet Line Item</w:t>
            </w:r>
          </w:p>
        </w:tc>
        <w:tc>
          <w:tcPr>
            <w:tcW w:w="24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00" w:type="dxa"/>
            <w:vAlign w:val="bottom"/>
          </w:tcPr>
          <w:p>
            <w:pPr>
              <w:spacing w:after="0"/>
              <w:rPr>
                <w:sz w:val="15"/>
                <w:szCs w:val="15"/>
                <w:color w:val="auto"/>
              </w:rPr>
            </w:pPr>
          </w:p>
        </w:tc>
      </w:tr>
      <w:tr>
        <w:trPr>
          <w:trHeight w:val="209"/>
        </w:trPr>
        <w:tc>
          <w:tcPr>
            <w:tcW w:w="852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Interest rate swaps - Asset</w:t>
            </w:r>
          </w:p>
        </w:tc>
        <w:tc>
          <w:tcPr>
            <w:tcW w:w="5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rate swaps - Liability</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(1,010)</w:t>
            </w:r>
          </w:p>
        </w:tc>
      </w:tr>
    </w:tbl>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Cash Flow Hedges of Interest Rate Risk</w:t>
      </w:r>
    </w:p>
    <w:p>
      <w:pPr>
        <w:spacing w:after="0" w:line="119" w:lineRule="exact"/>
        <w:rPr>
          <w:sz w:val="20"/>
          <w:szCs w:val="20"/>
          <w:color w:val="auto"/>
        </w:rPr>
      </w:pPr>
    </w:p>
    <w:p>
      <w:pPr>
        <w:ind w:right="580" w:firstLine="509"/>
        <w:spacing w:after="0" w:line="312" w:lineRule="auto"/>
        <w:rPr>
          <w:sz w:val="20"/>
          <w:szCs w:val="20"/>
          <w:color w:val="auto"/>
        </w:rPr>
      </w:pPr>
      <w:r>
        <w:rPr>
          <w:rFonts w:ascii="Times New Roman" w:cs="Times New Roman" w:eastAsia="Times New Roman" w:hAnsi="Times New Roman"/>
          <w:sz w:val="17"/>
          <w:szCs w:val="17"/>
          <w:color w:val="auto"/>
        </w:rPr>
        <w:t>The gains or losses on derivatives designated and that qualify as cash flow hedges are recorded in Accumulated other comprehensive income (“AOCI”) and will be reclassified to interest expense in the period that the hedged forecasted transactions affect earnings on our variable rate debt.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estimate that $0.6 million will be reclassified from AOCI as a net increase to interest expense over the next 12 months.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table below presents the effects of our interest rate derivatives on our Consolidated Statements of Operations and Comprehensive Income (Loss)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in thousands):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6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440" w:type="dxa"/>
            <w:vAlign w:val="bottom"/>
            <w:tcBorders>
              <w:bottom w:val="single" w:sz="8" w:color="auto"/>
            </w:tcBorders>
            <w:gridSpan w:val="5"/>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6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9"/>
        </w:trPr>
        <w:tc>
          <w:tcPr>
            <w:tcW w:w="56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Unrealized gain (loss) recognized in AOCI</w:t>
            </w:r>
          </w:p>
        </w:tc>
        <w:tc>
          <w:tcPr>
            <w:tcW w:w="2740" w:type="dxa"/>
            <w:vAlign w:val="bottom"/>
            <w:gridSpan w:val="2"/>
            <w:shd w:val="clear" w:color="auto" w:fill="CFF0FC"/>
          </w:tcPr>
          <w:p>
            <w:pPr>
              <w:jc w:val="right"/>
              <w:ind w:right="11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(3,447)</w:t>
            </w:r>
          </w:p>
        </w:tc>
      </w:tr>
      <w:tr>
        <w:trPr>
          <w:trHeight w:val="234"/>
        </w:trPr>
        <w:tc>
          <w:tcPr>
            <w:tcW w:w="56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Gain (loss) reclassified from AOCI into interest expense</w:t>
            </w:r>
          </w:p>
        </w:tc>
        <w:tc>
          <w:tcPr>
            <w:tcW w:w="14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100" w:type="dxa"/>
            <w:vAlign w:val="bottom"/>
          </w:tcPr>
          <w:p>
            <w:pPr>
              <w:spacing w:after="0"/>
              <w:rPr>
                <w:sz w:val="20"/>
                <w:szCs w:val="20"/>
                <w:color w:val="auto"/>
              </w:rPr>
            </w:pPr>
          </w:p>
        </w:tc>
      </w:tr>
    </w:tbl>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Credit-Risk-Related Contingent Features</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We have agreements with each of our derivative counterparties that contain a provision where we could be declared in default on our derivative obligations if repayment of the underlying indebtedness is accelerated by the lender due to our default on such indebtedness. As of March 31, 2026, the net fair value of derivatives in a liability position, which includes accrued interest, related to agreements with our derivative counterparties was $1.0 million. As of March 31, 2026, the Company had not breached any provisions of these agreements and had not posted any collateral related to these agreements. If the Company were to breach any such provisions of these agreements, it would be required to settle its obligations under the agreements at their termination value of $1.1 million.</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Accounting standards define fair value as the exit price, or the amount that would be received upon sale of an asset or paid to transfer a liability in an orderly transaction between market participants at the measurement date. The standards also establish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developed based on market data obtained from sources independent of us. Unobservable inputs are inputs that reflect our assumptions about the factors market participants would use in valuing the asset or liability developed based upon the best information available in the circumstances. The hierarchy of these inputs is broken down into three levels: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Categorization within the valuation hierarchy is based upon the lowest level of input that is most significant to the fair value measurement.</w:t>
      </w:r>
    </w:p>
    <w:p>
      <w:pPr>
        <w:spacing w:after="0" w:line="30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fair values of our interest rate swaps are determined using widely accepted valuation techniques, including discounted cash flow analysis, on the expected cash flows of each derivative. This analysis reflects the contractual terms of the derivatives, including the period to maturity, and uses observable market-based inputs, including interest rate curves and implied volatilities in such interest rates. While we determined that the majority of the inputs used to value our derivatives fall within Level 2 of the fair value hierarchy, the credit valuation adjustments associated with our derivatives utilize Level 3 inputs, such as estimates of current credit spreads to evaluate the likelihood of default by us and our counterparties. We have determined that the significance of the impact of the credit valuation adjustments made to our derivative contracts, which determination was based on the fair value of each individual contract, was not significant to the overall valuation. As a result, all of our derivatives held as of March 31, 2026 were classified as Level 2 of the fair value hierarchy.</w:t>
      </w:r>
    </w:p>
    <w:p>
      <w:pPr>
        <w:spacing w:after="0" w:line="19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carrying values of cash and cash equivalents, restricted cash, accounts receivable, other assets (excluding our real estate loans receivable) and accounts payable and accrued expenses are reasonable estimates of fair values because of the short maturities of these instruments. The fair value of our real estate loans receivable, as disclosed in Note 5, is based on the discounted estimated future cash flows of the loan (categorized within Level 3 of the fair value hierarchy); the discount rates used approximate current market rates for loans with similar maturities and credit quality, and the estimated cash payments include scheduled principal and interest payments. The table below presents our assets measured at fair value on a recurring basis as of March 31, 2026, aggregated by the level in the fair value hierarchy within which those measurements fall (amounts in thousands):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Sheet Line Item</w:t>
            </w:r>
          </w:p>
        </w:tc>
        <w:tc>
          <w:tcPr>
            <w:tcW w:w="13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3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vMerge w:val="continue"/>
          </w:tcPr>
          <w:p>
            <w:pPr>
              <w:spacing w:after="0"/>
              <w:rPr>
                <w:sz w:val="12"/>
                <w:szCs w:val="12"/>
                <w:color w:val="auto"/>
              </w:rPr>
            </w:pPr>
          </w:p>
        </w:tc>
        <w:tc>
          <w:tcPr>
            <w:tcW w:w="1320" w:type="dxa"/>
            <w:vAlign w:val="bottom"/>
            <w:tcBorders>
              <w:bottom w:val="single" w:sz="8" w:color="auto"/>
            </w:tcBorders>
          </w:tcPr>
          <w:p>
            <w:pPr>
              <w:jc w:val="right"/>
              <w:ind w:right="160"/>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42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rate swaps - Asset</w:t>
            </w:r>
          </w:p>
        </w:tc>
        <w:tc>
          <w:tcPr>
            <w:tcW w:w="1320" w:type="dxa"/>
            <w:vAlign w:val="bottom"/>
            <w:shd w:val="clear" w:color="auto" w:fill="CFF0FC"/>
          </w:tcPr>
          <w:p>
            <w:pPr>
              <w:jc w:val="right"/>
              <w:ind w:right="116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Interest rate swaps - Liability</w:t>
            </w:r>
          </w:p>
        </w:tc>
        <w:tc>
          <w:tcPr>
            <w:tcW w:w="1320" w:type="dxa"/>
            <w:vAlign w:val="bottom"/>
          </w:tcPr>
          <w:p>
            <w:pPr>
              <w:jc w:val="right"/>
              <w:ind w:right="1160"/>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(1,010)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ind w:left="1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For our disclosure of debt fair values, we estimated the fair value of our 2016 term loan facility, our 2018 term loan facility and our 2024 revolving credit facility based on the variable interest rate and credit spreads (categorized within Level 3 of the fair value hierarchy) and estimated the fair value of our other debt based on the discounted estimated future cash payments to be made on such debt (categorized within Level 3 of the fair value hierarchy); the discount rates used approximate current market rates for loans, or groups of loans, with similar maturities and credit quality, and the estimated future payments included scheduled principal and interest payments. Fair value estimates are made as of a specific point in time, are subjective in nature and involve uncertainties and matters of significant judgment. Settlement at such fair value amounts may not be possible and may not be a prudent management decision.</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left="520"/>
        <w:spacing w:after="0"/>
        <w:rPr>
          <w:sz w:val="20"/>
          <w:szCs w:val="20"/>
          <w:color w:val="auto"/>
        </w:rPr>
      </w:pPr>
      <w:r>
        <w:rPr>
          <w:rFonts w:ascii="Times New Roman" w:cs="Times New Roman" w:eastAsia="Times New Roman" w:hAnsi="Times New Roman"/>
          <w:sz w:val="18"/>
          <w:szCs w:val="18"/>
          <w:i w:val="1"/>
          <w:iCs w:val="1"/>
          <w:color w:val="auto"/>
        </w:rPr>
        <w:t>Financial assets and liabilities not measured at fair value</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aggregate principal outstanding under the Company’s indebtedness and the corresponding estimate of fair value as of March 31, 2026:</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9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7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96"/>
        </w:trPr>
        <w:tc>
          <w:tcPr>
            <w:tcW w:w="5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Financial liabilities</w:t>
            </w:r>
          </w:p>
        </w:tc>
        <w:tc>
          <w:tcPr>
            <w:tcW w:w="360" w:type="dxa"/>
            <w:vAlign w:val="bottom"/>
          </w:tcPr>
          <w:p>
            <w:pPr>
              <w:spacing w:after="0"/>
              <w:rPr>
                <w:sz w:val="17"/>
                <w:szCs w:val="17"/>
                <w:color w:val="auto"/>
              </w:rPr>
            </w:pPr>
          </w:p>
        </w:tc>
        <w:tc>
          <w:tcPr>
            <w:tcW w:w="2120" w:type="dxa"/>
            <w:vAlign w:val="bottom"/>
          </w:tcPr>
          <w:p>
            <w:pPr>
              <w:jc w:val="right"/>
              <w:ind w:right="535"/>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Carrying Amount </w:t>
            </w:r>
            <w:r>
              <w:rPr>
                <w:rFonts w:ascii="Times New Roman" w:cs="Times New Roman" w:eastAsia="Times New Roman" w:hAnsi="Times New Roman"/>
                <w:sz w:val="19"/>
                <w:szCs w:val="19"/>
                <w:b w:val="1"/>
                <w:bCs w:val="1"/>
                <w:color w:val="auto"/>
                <w:vertAlign w:val="superscript"/>
              </w:rPr>
              <w:t>(1)</w:t>
            </w:r>
          </w:p>
        </w:tc>
        <w:tc>
          <w:tcPr>
            <w:tcW w:w="3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80" w:type="dxa"/>
            <w:vAlign w:val="bottom"/>
            <w:gridSpan w:val="2"/>
          </w:tcPr>
          <w:p>
            <w:pPr>
              <w:ind w:left="180"/>
              <w:spacing w:after="0" w:line="196" w:lineRule="exact"/>
              <w:rPr>
                <w:sz w:val="20"/>
                <w:szCs w:val="20"/>
                <w:color w:val="auto"/>
              </w:rPr>
            </w:pPr>
            <w:r>
              <w:rPr>
                <w:rFonts w:ascii="Times New Roman" w:cs="Times New Roman" w:eastAsia="Times New Roman" w:hAnsi="Times New Roman"/>
                <w:sz w:val="14"/>
                <w:szCs w:val="14"/>
                <w:b w:val="1"/>
                <w:bCs w:val="1"/>
                <w:color w:val="auto"/>
              </w:rPr>
              <w:t xml:space="preserve">Fair Value </w:t>
            </w:r>
            <w:r>
              <w:rPr>
                <w:rFonts w:ascii="Times New Roman" w:cs="Times New Roman" w:eastAsia="Times New Roman" w:hAnsi="Times New Roman"/>
                <w:sz w:val="19"/>
                <w:szCs w:val="19"/>
                <w:b w:val="1"/>
                <w:bCs w:val="1"/>
                <w:color w:val="auto"/>
                <w:vertAlign w:val="superscript"/>
              </w:rPr>
              <w:t>(2)</w:t>
            </w:r>
          </w:p>
        </w:tc>
      </w:tr>
      <w:tr>
        <w:trPr>
          <w:trHeight w:val="209"/>
        </w:trPr>
        <w:tc>
          <w:tcPr>
            <w:tcW w:w="59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12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tcBorders>
              <w:top w:val="single" w:sz="8" w:color="auto"/>
            </w:tcBorders>
            <w:shd w:val="clear" w:color="auto" w:fill="CFF0FC"/>
          </w:tcPr>
          <w:p>
            <w:pPr>
              <w:spacing w:after="0"/>
              <w:rPr>
                <w:sz w:val="18"/>
                <w:szCs w:val="18"/>
                <w:color w:val="auto"/>
              </w:rPr>
            </w:pPr>
          </w:p>
        </w:tc>
        <w:tc>
          <w:tcPr>
            <w:tcW w:w="17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2024 revolving credit facility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245,050</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245,050</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2016 term loan facility</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9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shd w:val="clear" w:color="auto" w:fill="CFF0FC"/>
          </w:tcPr>
          <w:p>
            <w:pPr>
              <w:spacing w:after="0"/>
              <w:rPr>
                <w:sz w:val="18"/>
                <w:szCs w:val="18"/>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2018 term loan facility</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tcPr>
          <w:p>
            <w:pPr>
              <w:spacing w:after="0"/>
              <w:rPr>
                <w:sz w:val="18"/>
                <w:szCs w:val="18"/>
                <w:color w:val="auto"/>
              </w:rPr>
            </w:pPr>
          </w:p>
        </w:tc>
      </w:tr>
      <w:tr>
        <w:trPr>
          <w:trHeight w:val="216"/>
        </w:trPr>
        <w:tc>
          <w:tcPr>
            <w:tcW w:w="5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Notes payable</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940" w:type="dxa"/>
            <w:vAlign w:val="bottom"/>
            <w:gridSpan w:val="2"/>
            <w:shd w:val="clear" w:color="auto" w:fill="CFF0FC"/>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988,269</w:t>
            </w:r>
          </w:p>
        </w:tc>
        <w:tc>
          <w:tcPr>
            <w:tcW w:w="100" w:type="dxa"/>
            <w:vAlign w:val="bottom"/>
            <w:shd w:val="clear" w:color="auto" w:fill="CFF0FC"/>
          </w:tcPr>
          <w:p>
            <w:pPr>
              <w:spacing w:after="0"/>
              <w:rPr>
                <w:sz w:val="18"/>
                <w:szCs w:val="18"/>
                <w:color w:val="auto"/>
              </w:rPr>
            </w:pP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Mortgages payable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150,510</w:t>
            </w:r>
          </w:p>
        </w:tc>
        <w:tc>
          <w:tcPr>
            <w:tcW w:w="9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146,836</w:t>
            </w:r>
          </w:p>
        </w:tc>
        <w:tc>
          <w:tcPr>
            <w:tcW w:w="100" w:type="dxa"/>
            <w:vAlign w:val="bottom"/>
          </w:tcPr>
          <w:p>
            <w:pPr>
              <w:spacing w:after="0"/>
              <w:rPr>
                <w:sz w:val="20"/>
                <w:szCs w:val="20"/>
                <w:color w:val="auto"/>
              </w:rPr>
            </w:pPr>
          </w:p>
        </w:tc>
      </w:tr>
    </w:tbl>
    <w:p>
      <w:pPr>
        <w:spacing w:after="0" w:line="179" w:lineRule="exact"/>
        <w:rPr>
          <w:sz w:val="20"/>
          <w:szCs w:val="20"/>
          <w:color w:val="auto"/>
        </w:rPr>
      </w:pPr>
    </w:p>
    <w:p>
      <w:pPr>
        <w:ind w:left="760" w:hanging="378"/>
        <w:spacing w:after="0"/>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carrying amount consists of principal only.</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consider the fair value measurement of the financial liability instrument a Level 3 measurement.</w:t>
      </w:r>
    </w:p>
    <w:p>
      <w:pPr>
        <w:spacing w:after="0" w:line="310"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our stock-based compensation expense, net for the three months ended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5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540" w:type="dxa"/>
            <w:vAlign w:val="bottom"/>
          </w:tcPr>
          <w:p>
            <w:pPr>
              <w:spacing w:after="0"/>
              <w:rPr>
                <w:sz w:val="12"/>
                <w:szCs w:val="12"/>
                <w:color w:val="auto"/>
              </w:rPr>
            </w:pPr>
          </w:p>
        </w:tc>
        <w:tc>
          <w:tcPr>
            <w:tcW w:w="1480" w:type="dxa"/>
            <w:vAlign w:val="bottom"/>
            <w:tcBorders>
              <w:top w:val="single" w:sz="8" w:color="auto"/>
              <w:bottom w:val="single" w:sz="8" w:color="auto"/>
            </w:tcBorders>
          </w:tcPr>
          <w:p>
            <w:pPr>
              <w:jc w:val="right"/>
              <w:ind w:right="1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spacing w:after="0"/>
              <w:rPr>
                <w:sz w:val="12"/>
                <w:szCs w:val="12"/>
                <w:color w:val="auto"/>
              </w:rPr>
            </w:pPr>
          </w:p>
        </w:tc>
        <w:tc>
          <w:tcPr>
            <w:tcW w:w="1580" w:type="dxa"/>
            <w:vAlign w:val="bottom"/>
            <w:tcBorders>
              <w:top w:val="single" w:sz="8" w:color="auto"/>
              <w:bottom w:val="single" w:sz="8" w:color="auto"/>
            </w:tcBorders>
          </w:tcPr>
          <w:p>
            <w:pPr>
              <w:jc w:val="right"/>
              <w:ind w:right="11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r>
      <w:tr>
        <w:trPr>
          <w:trHeight w:val="209"/>
        </w:trPr>
        <w:tc>
          <w:tcPr>
            <w:tcW w:w="5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 expense, net</w:t>
            </w:r>
          </w:p>
        </w:tc>
        <w:tc>
          <w:tcPr>
            <w:tcW w:w="148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2,097</w:t>
            </w:r>
          </w:p>
        </w:tc>
        <w:tc>
          <w:tcPr>
            <w:tcW w:w="1520" w:type="dxa"/>
            <w:vAlign w:val="bottom"/>
            <w:gridSpan w:val="3"/>
            <w:shd w:val="clear" w:color="auto" w:fill="CFF0FC"/>
          </w:tcPr>
          <w:p>
            <w:pPr>
              <w:jc w:val="right"/>
              <w:ind w:right="114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12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5075555</wp:posOffset>
            </wp:positionH>
            <wp:positionV relativeFrom="paragraph">
              <wp:posOffset>-260985</wp:posOffset>
            </wp:positionV>
            <wp:extent cx="9398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137160"/>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-260985</wp:posOffset>
            </wp:positionV>
            <wp:extent cx="10287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02870" cy="137160"/>
                    </a:xfrm>
                    <a:prstGeom prst="rect">
                      <a:avLst/>
                    </a:prstGeom>
                    <a:noFill/>
                  </pic:spPr>
                </pic:pic>
              </a:graphicData>
            </a:graphic>
          </wp:anchor>
        </w:drawing>
      </w:r>
    </w:p>
    <w:p>
      <w:pPr>
        <w:spacing w:after="0" w:line="178" w:lineRule="exact"/>
        <w:rPr>
          <w:sz w:val="20"/>
          <w:szCs w:val="20"/>
          <w:color w:val="auto"/>
        </w:rPr>
      </w:pPr>
    </w:p>
    <w:p>
      <w:pPr>
        <w:ind w:right="6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net is included within corporate general and administrative expenses on our Consolidated Statements of Operations.</w:t>
      </w:r>
    </w:p>
    <w:p>
      <w:pPr>
        <w:spacing w:after="0" w:line="162"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January 5, 2026, we granted an aggregate of 268,766 performance-based LTIP units to members of management pursuant to the Easterly Government Properties, Inc. 2024 Equity Incentive Plan (as amended, the “2024 Plan”), consisting of:</w:t>
      </w:r>
    </w:p>
    <w:p>
      <w:pPr>
        <w:spacing w:after="0" w:line="162" w:lineRule="exact"/>
        <w:rPr>
          <w:sz w:val="20"/>
          <w:szCs w:val="20"/>
          <w:color w:val="auto"/>
        </w:rPr>
      </w:pPr>
    </w:p>
    <w:p>
      <w:pPr>
        <w:ind w:left="1780" w:right="380" w:hanging="515"/>
        <w:spacing w:after="0" w:line="282" w:lineRule="auto"/>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20,589 LTIP units that are subject to us achieving certain total shareholder return performance thresholds (on a relative basis). These units will vest to the extent earned following the end of the performance period on December 31, 2028;</w:t>
      </w:r>
    </w:p>
    <w:p>
      <w:pPr>
        <w:spacing w:after="0" w:line="53" w:lineRule="exact"/>
        <w:rPr>
          <w:rFonts w:ascii="Times New Roman" w:cs="Times New Roman" w:eastAsia="Times New Roman" w:hAnsi="Times New Roman"/>
          <w:sz w:val="18"/>
          <w:szCs w:val="18"/>
          <w:color w:val="auto"/>
        </w:rPr>
      </w:pPr>
    </w:p>
    <w:p>
      <w:pPr>
        <w:ind w:left="1780" w:right="460" w:hanging="515"/>
        <w:spacing w:after="0" w:line="282" w:lineRule="auto"/>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25,806 LTIP units that are subject to us achieving certain operational performance hurdles. These units will vest to the extent earned following the end of the performance period on December 31, 2028; and</w:t>
      </w:r>
    </w:p>
    <w:p>
      <w:pPr>
        <w:spacing w:after="0" w:line="53" w:lineRule="exact"/>
        <w:rPr>
          <w:rFonts w:ascii="Times New Roman" w:cs="Times New Roman" w:eastAsia="Times New Roman" w:hAnsi="Times New Roman"/>
          <w:sz w:val="18"/>
          <w:szCs w:val="18"/>
          <w:color w:val="auto"/>
        </w:rPr>
      </w:pPr>
    </w:p>
    <w:p>
      <w:pPr>
        <w:ind w:left="1780" w:hanging="515"/>
        <w:spacing w:after="0" w:line="261" w:lineRule="auto"/>
        <w:tabs>
          <w:tab w:leader="none" w:pos="17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222,371 LTIP units that are subject to us achieving certain performance conditions based on the appreciation of the Company’s common stock price. These units have a performance period beginning on the grant date and ending on January 5, 2034. These units will vest in full on January 5, 2031, subject to the recipient’s continued employment with the Company through such date and subject to achieving certain performance conditions.</w:t>
      </w:r>
    </w:p>
    <w:p>
      <w:pPr>
        <w:spacing w:after="0" w:line="180"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Pursuant to the 2024 Plan, the significant assumptions used to value the performance-based LTIP units using a Monte Carlo Simulation (risk-neutral approach) include expected volatility (26.0% - 27.0%), dividend yield (6.6% - 8.3%), risk-free interest rate (3.5% - 4.0%) and expected life (3 - 8 years).</w:t>
      </w:r>
    </w:p>
    <w:p>
      <w:pPr>
        <w:spacing w:after="0" w:line="14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On January 5, 2026, we also granted an aggregate of 136,314 service-based LTIP units to members of management pursuant to the 2024 Plan, which will vest on December 31, 2028. The LTIP units are subject to the grantee’s continued employment and the other terms of the awards.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January 5, 2026, we granted an aggregate of 15,247 shares of restricted common stock to members of management pursuant to the 2024 Plan.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shares will vest on January 5, 2028, subject to the grantee’s continued employment and the other terms of the awards.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10. Equity</w:t>
      </w:r>
    </w:p>
    <w:p>
      <w:pPr>
        <w:spacing w:after="0" w:line="121" w:lineRule="exact"/>
        <w:rPr>
          <w:sz w:val="20"/>
          <w:szCs w:val="20"/>
          <w:color w:val="auto"/>
        </w:rPr>
      </w:pPr>
    </w:p>
    <w:p>
      <w:pPr>
        <w:ind w:right="7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changes in our stockholders’ equity for the three months ended March 31, 2026 and 2025 (amounts in thousands, except share amounts):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Accumulate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rPr>
              <w:t>d</w:t>
            </w: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120" w:type="dxa"/>
            <w:vAlign w:val="bottom"/>
          </w:tcPr>
          <w:p>
            <w:pPr>
              <w:spacing w:after="0"/>
              <w:rPr>
                <w:sz w:val="11"/>
                <w:szCs w:val="11"/>
                <w:color w:val="auto"/>
              </w:rPr>
            </w:pPr>
          </w:p>
        </w:tc>
        <w:tc>
          <w:tcPr>
            <w:tcW w:w="760" w:type="dxa"/>
            <w:vAlign w:val="bottom"/>
            <w:gridSpan w:val="2"/>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rPr>
              <w:t>Comprehen</w:t>
            </w:r>
          </w:p>
        </w:tc>
        <w:tc>
          <w:tcPr>
            <w:tcW w:w="8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controlling</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77"/>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240" w:type="dxa"/>
            <w:vAlign w:val="bottom"/>
          </w:tcPr>
          <w:p>
            <w:pPr>
              <w:spacing w:after="0"/>
              <w:rPr>
                <w:sz w:val="11"/>
                <w:szCs w:val="11"/>
                <w:color w:val="auto"/>
              </w:rPr>
            </w:pPr>
          </w:p>
        </w:tc>
        <w:tc>
          <w:tcPr>
            <w:tcW w:w="920" w:type="dxa"/>
            <w:vAlign w:val="bottom"/>
            <w:gridSpan w:val="3"/>
          </w:tcPr>
          <w:p>
            <w:pPr>
              <w:jc w:val="center"/>
              <w:ind w:right="28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3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sive</w:t>
            </w:r>
          </w:p>
        </w:tc>
        <w:tc>
          <w:tcPr>
            <w:tcW w:w="880" w:type="dxa"/>
            <w:vAlign w:val="bottom"/>
            <w:gridSpan w:val="3"/>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Interest in</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center"/>
              <w:ind w:right="57"/>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Par</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ind w:right="380"/>
              <w:spacing w:after="0" w:line="135"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80" w:type="dxa"/>
            <w:vAlign w:val="bottom"/>
          </w:tcPr>
          <w:p>
            <w:pPr>
              <w:spacing w:after="0"/>
              <w:rPr>
                <w:sz w:val="11"/>
                <w:szCs w:val="11"/>
                <w:color w:val="auto"/>
              </w:rPr>
            </w:pPr>
          </w:p>
        </w:tc>
        <w:tc>
          <w:tcPr>
            <w:tcW w:w="60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b w:val="1"/>
                <w:bCs w:val="1"/>
                <w:color w:val="auto"/>
                <w:w w:val="96"/>
              </w:rPr>
              <w:t>Retained</w:t>
            </w:r>
          </w:p>
        </w:tc>
        <w:tc>
          <w:tcPr>
            <w:tcW w:w="28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Cumulative</w:t>
            </w:r>
          </w:p>
        </w:tc>
        <w:tc>
          <w:tcPr>
            <w:tcW w:w="100" w:type="dxa"/>
            <w:vAlign w:val="bottom"/>
          </w:tcPr>
          <w:p>
            <w:pPr>
              <w:spacing w:after="0"/>
              <w:rPr>
                <w:sz w:val="11"/>
                <w:szCs w:val="11"/>
                <w:color w:val="auto"/>
              </w:rPr>
            </w:pPr>
          </w:p>
        </w:tc>
        <w:tc>
          <w:tcPr>
            <w:tcW w:w="80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Income</w:t>
            </w:r>
          </w:p>
        </w:tc>
        <w:tc>
          <w:tcPr>
            <w:tcW w:w="880" w:type="dxa"/>
            <w:vAlign w:val="bottom"/>
            <w:gridSpan w:val="3"/>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w w:val="94"/>
              </w:rPr>
              <w:t>Operating</w:t>
            </w:r>
          </w:p>
        </w:tc>
        <w:tc>
          <w:tcPr>
            <w:tcW w:w="140" w:type="dxa"/>
            <w:vAlign w:val="bottom"/>
          </w:tcPr>
          <w:p>
            <w:pPr>
              <w:spacing w:after="0"/>
              <w:rPr>
                <w:sz w:val="11"/>
                <w:szCs w:val="11"/>
                <w:color w:val="auto"/>
              </w:rPr>
            </w:pPr>
          </w:p>
        </w:tc>
        <w:tc>
          <w:tcPr>
            <w:tcW w:w="760" w:type="dxa"/>
            <w:vAlign w:val="bottom"/>
            <w:gridSpan w:val="2"/>
          </w:tcPr>
          <w:p>
            <w:pPr>
              <w:jc w:val="right"/>
              <w:ind w:right="380"/>
              <w:spacing w:after="0" w:line="135"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5"/>
        </w:trPr>
        <w:tc>
          <w:tcPr>
            <w:tcW w:w="3920" w:type="dxa"/>
            <w:vAlign w:val="bottom"/>
          </w:tcPr>
          <w:p>
            <w:pPr>
              <w:spacing w:after="0"/>
              <w:rPr>
                <w:sz w:val="13"/>
                <w:szCs w:val="13"/>
                <w:color w:val="auto"/>
              </w:rPr>
            </w:pPr>
          </w:p>
        </w:tc>
        <w:tc>
          <w:tcPr>
            <w:tcW w:w="7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8"/>
              </w:rPr>
              <w:t>Value</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3"/>
                <w:szCs w:val="13"/>
                <w:color w:val="auto"/>
              </w:rPr>
            </w:pPr>
          </w:p>
        </w:tc>
        <w:tc>
          <w:tcPr>
            <w:tcW w:w="60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w w:val="94"/>
              </w:rPr>
              <w:t>Earnings</w:t>
            </w:r>
          </w:p>
        </w:tc>
        <w:tc>
          <w:tcPr>
            <w:tcW w:w="280" w:type="dxa"/>
            <w:vAlign w:val="bottom"/>
          </w:tcPr>
          <w:p>
            <w:pPr>
              <w:spacing w:after="0"/>
              <w:rPr>
                <w:sz w:val="13"/>
                <w:szCs w:val="13"/>
                <w:color w:val="auto"/>
              </w:rPr>
            </w:pPr>
          </w:p>
        </w:tc>
        <w:tc>
          <w:tcPr>
            <w:tcW w:w="820" w:type="dxa"/>
            <w:vAlign w:val="bottom"/>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w w:val="93"/>
              </w:rPr>
              <w:t>Dividends</w:t>
            </w:r>
          </w:p>
        </w:tc>
        <w:tc>
          <w:tcPr>
            <w:tcW w:w="100" w:type="dxa"/>
            <w:vAlign w:val="bottom"/>
          </w:tcPr>
          <w:p>
            <w:pPr>
              <w:spacing w:after="0"/>
              <w:rPr>
                <w:sz w:val="13"/>
                <w:szCs w:val="13"/>
                <w:color w:val="auto"/>
              </w:rPr>
            </w:pPr>
          </w:p>
        </w:tc>
        <w:tc>
          <w:tcPr>
            <w:tcW w:w="80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4"/>
              </w:rPr>
              <w:t>(Loss)</w:t>
            </w:r>
          </w:p>
        </w:tc>
        <w:tc>
          <w:tcPr>
            <w:tcW w:w="8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Partnership</w:t>
            </w:r>
          </w:p>
        </w:tc>
        <w:tc>
          <w:tcPr>
            <w:tcW w:w="140" w:type="dxa"/>
            <w:vAlign w:val="bottom"/>
          </w:tcPr>
          <w:p>
            <w:pPr>
              <w:spacing w:after="0"/>
              <w:rPr>
                <w:sz w:val="13"/>
                <w:szCs w:val="13"/>
                <w:color w:val="auto"/>
              </w:rPr>
            </w:pPr>
          </w:p>
        </w:tc>
        <w:tc>
          <w:tcPr>
            <w:tcW w:w="760" w:type="dxa"/>
            <w:vAlign w:val="bottom"/>
            <w:gridSpan w:val="2"/>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29"/>
        </w:trPr>
        <w:tc>
          <w:tcPr>
            <w:tcW w:w="39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Three months ended March 31, 2026</w:t>
            </w:r>
          </w:p>
        </w:tc>
        <w:tc>
          <w:tcPr>
            <w:tcW w:w="7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4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600" w:type="dxa"/>
            <w:vAlign w:val="bottom"/>
            <w:tcBorders>
              <w:top w:val="single" w:sz="8" w:color="auto"/>
            </w:tcBorders>
            <w:shd w:val="clear" w:color="auto" w:fill="CFF0FC"/>
          </w:tcPr>
          <w:p>
            <w:pPr>
              <w:spacing w:after="0"/>
              <w:rPr>
                <w:sz w:val="11"/>
                <w:szCs w:val="11"/>
                <w:color w:val="auto"/>
              </w:rPr>
            </w:pPr>
          </w:p>
        </w:tc>
        <w:tc>
          <w:tcPr>
            <w:tcW w:w="280" w:type="dxa"/>
            <w:vAlign w:val="bottom"/>
            <w:tcBorders>
              <w:right w:val="single" w:sz="8" w:color="CFF0FC"/>
            </w:tcBorders>
            <w:shd w:val="clear" w:color="auto" w:fill="CFF0FC"/>
          </w:tcPr>
          <w:p>
            <w:pPr>
              <w:spacing w:after="0"/>
              <w:rPr>
                <w:sz w:val="11"/>
                <w:szCs w:val="11"/>
                <w:color w:val="auto"/>
              </w:rPr>
            </w:pPr>
          </w:p>
        </w:tc>
        <w:tc>
          <w:tcPr>
            <w:tcW w:w="62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5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spacing w:after="0"/>
              <w:rPr>
                <w:sz w:val="11"/>
                <w:szCs w:val="11"/>
                <w:color w:val="auto"/>
              </w:rPr>
            </w:pPr>
          </w:p>
        </w:tc>
        <w:tc>
          <w:tcPr>
            <w:tcW w:w="6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46,303,469</w:t>
            </w:r>
          </w:p>
        </w:tc>
        <w:tc>
          <w:tcPr>
            <w:tcW w:w="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463</w:t>
            </w:r>
          </w:p>
        </w:tc>
        <w:tc>
          <w:tcPr>
            <w:tcW w:w="34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1,958,412</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144,857</w:t>
            </w:r>
          </w:p>
        </w:tc>
        <w:tc>
          <w:tcPr>
            <w:tcW w:w="280" w:type="dxa"/>
            <w:vAlign w:val="bottom"/>
          </w:tcPr>
          <w:p>
            <w:pPr>
              <w:ind w:left="22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(776,022)</w:t>
            </w:r>
          </w:p>
        </w:tc>
        <w:tc>
          <w:tcPr>
            <w:tcW w:w="10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(4,578)</w:t>
            </w:r>
          </w:p>
        </w:tc>
        <w:tc>
          <w:tcPr>
            <w:tcW w:w="1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46,433</w:t>
            </w:r>
          </w:p>
        </w:tc>
        <w:tc>
          <w:tcPr>
            <w:tcW w:w="200" w:type="dxa"/>
            <w:vAlign w:val="bottom"/>
          </w:tcPr>
          <w:p>
            <w:pPr>
              <w:spacing w:after="0"/>
              <w:rPr>
                <w:sz w:val="11"/>
                <w:szCs w:val="11"/>
                <w:color w:val="auto"/>
              </w:rPr>
            </w:pPr>
          </w:p>
        </w:tc>
        <w:tc>
          <w:tcPr>
            <w:tcW w:w="1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1,369,565</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based compensation, net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282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1,815</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2,097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Dividends and distributions paid</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($0.45 per share)</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(20,858)</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(952)</w:t>
            </w:r>
          </w:p>
        </w:tc>
        <w:tc>
          <w:tcPr>
            <w:tcW w:w="140" w:type="dxa"/>
            <w:vAlign w:val="bottom"/>
          </w:tcPr>
          <w:p>
            <w:pPr>
              <w:spacing w:after="0"/>
              <w:rPr>
                <w:sz w:val="13"/>
                <w:szCs w:val="13"/>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(21,810)</w:t>
            </w: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Grant of unvested restricted stock</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15,247</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1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17"/>
        </w:trPr>
        <w:tc>
          <w:tcPr>
            <w:tcW w:w="39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Redemption of common units for</w:t>
            </w:r>
          </w:p>
        </w:tc>
        <w:tc>
          <w:tcPr>
            <w:tcW w:w="7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shares of common stock</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31,488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3"/>
                <w:szCs w:val="13"/>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(899)</w:t>
            </w:r>
          </w:p>
        </w:tc>
        <w:tc>
          <w:tcPr>
            <w:tcW w:w="140" w:type="dxa"/>
            <w:vAlign w:val="bottom"/>
          </w:tcPr>
          <w:p>
            <w:pPr>
              <w:spacing w:after="0"/>
              <w:rPr>
                <w:sz w:val="13"/>
                <w:szCs w:val="13"/>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94,170</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2,142</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76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2,143</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Unrealized gain on treasury locks and interest rate swaps, net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5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70</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2,094</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1"/>
                <w:szCs w:val="11"/>
                <w:color w:val="auto"/>
              </w:rPr>
            </w:pP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1,365</w:t>
            </w:r>
          </w:p>
        </w:tc>
        <w:tc>
          <w:tcPr>
            <w:tcW w:w="280" w:type="dxa"/>
            <w:vAlign w:val="bottom"/>
            <w:tcBorders>
              <w:right w:val="single" w:sz="8" w:color="CFF0FC"/>
            </w:tcBorders>
            <w:shd w:val="clear" w:color="auto" w:fill="CFF0FC"/>
          </w:tcPr>
          <w:p>
            <w:pPr>
              <w:spacing w:after="0"/>
              <w:rPr>
                <w:sz w:val="11"/>
                <w:szCs w:val="11"/>
                <w:color w:val="auto"/>
              </w:rPr>
            </w:pPr>
          </w:p>
        </w:tc>
        <w:tc>
          <w:tcPr>
            <w:tcW w:w="820" w:type="dxa"/>
            <w:vAlign w:val="bottom"/>
            <w:gridSpan w:val="2"/>
            <w:shd w:val="clear" w:color="auto" w:fill="CFF0FC"/>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1"/>
                <w:szCs w:val="11"/>
                <w:color w:val="auto"/>
              </w:rPr>
            </w:pPr>
          </w:p>
        </w:tc>
        <w:tc>
          <w:tcPr>
            <w:tcW w:w="800" w:type="dxa"/>
            <w:vAlign w:val="bottom"/>
            <w:gridSpan w:val="2"/>
            <w:shd w:val="clear" w:color="auto" w:fill="CFF0FC"/>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49</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1,414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tcPr>
          <w:p>
            <w:pPr>
              <w:ind w:left="40"/>
              <w:spacing w:after="0" w:line="117" w:lineRule="exact"/>
              <w:rPr>
                <w:sz w:val="20"/>
                <w:szCs w:val="20"/>
                <w:color w:val="auto"/>
              </w:rPr>
            </w:pPr>
            <w:r>
              <w:rPr>
                <w:rFonts w:ascii="Times New Roman" w:cs="Times New Roman" w:eastAsia="Times New Roman" w:hAnsi="Times New Roman"/>
                <w:sz w:val="13"/>
                <w:szCs w:val="13"/>
                <w:color w:val="auto"/>
              </w:rPr>
              <w:t>Allocation of non-controlling interest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0"/>
                <w:szCs w:val="10"/>
                <w:color w:val="auto"/>
              </w:rPr>
            </w:pPr>
          </w:p>
        </w:tc>
        <w:tc>
          <w:tcPr>
            <w:tcW w:w="8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0"/>
                <w:szCs w:val="10"/>
                <w:color w:val="auto"/>
              </w:rPr>
            </w:pPr>
          </w:p>
        </w:tc>
        <w:tc>
          <w:tcPr>
            <w:tcW w:w="8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0"/>
        </w:trPr>
        <w:tc>
          <w:tcPr>
            <w:tcW w:w="392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auto"/>
              </w:rPr>
              <w:t>in Operating Partnership</w:t>
            </w:r>
          </w:p>
        </w:tc>
        <w:tc>
          <w:tcPr>
            <w:tcW w:w="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3920" w:type="dxa"/>
            <w:vAlign w:val="bottom"/>
            <w:shd w:val="clear" w:color="auto" w:fill="CFF0FC"/>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2026</w:t>
            </w:r>
          </w:p>
        </w:tc>
        <w:tc>
          <w:tcPr>
            <w:tcW w:w="7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46,444,374</w:t>
            </w:r>
          </w:p>
        </w:tc>
        <w:tc>
          <w:tcPr>
            <w:tcW w:w="24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464</w:t>
            </w:r>
          </w:p>
        </w:tc>
        <w:tc>
          <w:tcPr>
            <w:tcW w:w="34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1,961,587</w:t>
            </w: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146,222</w:t>
            </w:r>
          </w:p>
        </w:tc>
        <w:tc>
          <w:tcPr>
            <w:tcW w:w="28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(796,880)</w:t>
            </w:r>
          </w:p>
        </w:tc>
        <w:tc>
          <w:tcPr>
            <w:tcW w:w="1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shd w:val="clear" w:color="auto" w:fill="CFF0FC"/>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(2,554)</w:t>
            </w:r>
          </w:p>
        </w:tc>
        <w:tc>
          <w:tcPr>
            <w:tcW w:w="12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46,664</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1,355,503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3920" w:type="dxa"/>
            <w:vAlign w:val="bottom"/>
            <w:tcBorders>
              <w:top w:val="single" w:sz="8" w:color="CFF0FC"/>
            </w:tcBorders>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Three months ended March 31, 2025</w:t>
            </w:r>
          </w:p>
        </w:tc>
        <w:tc>
          <w:tcPr>
            <w:tcW w:w="7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24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80" w:type="dxa"/>
            <w:vAlign w:val="bottom"/>
            <w:tcBorders>
              <w:top w:val="single" w:sz="8" w:color="CFF0FC"/>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20" w:type="dxa"/>
            <w:vAlign w:val="bottom"/>
            <w:tcBorders>
              <w:top w:val="single" w:sz="8" w:color="CFF0FC"/>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200" w:type="dxa"/>
            <w:vAlign w:val="bottom"/>
            <w:tcBorders>
              <w:top w:val="single" w:sz="8" w:color="CFF0FC"/>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CFF0FC"/>
            </w:tcBorders>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2"/>
                <w:szCs w:val="12"/>
                <w:b w:val="1"/>
                <w:bCs w:val="1"/>
                <w:color w:val="auto"/>
              </w:rPr>
              <w:t xml:space="preserve">Balance at December 31, 2024 </w:t>
            </w:r>
            <w:r>
              <w:rPr>
                <w:rFonts w:ascii="Times New Roman" w:cs="Times New Roman" w:eastAsia="Times New Roman" w:hAnsi="Times New Roman"/>
                <w:sz w:val="15"/>
                <w:szCs w:val="15"/>
                <w:b w:val="1"/>
                <w:bCs w:val="1"/>
                <w:color w:val="auto"/>
                <w:vertAlign w:val="superscript"/>
              </w:rPr>
              <w:t>(1)</w:t>
            </w:r>
          </w:p>
        </w:tc>
        <w:tc>
          <w:tcPr>
            <w:tcW w:w="7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43,188,224</w:t>
            </w:r>
          </w:p>
        </w:tc>
        <w:tc>
          <w:tcPr>
            <w:tcW w:w="3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432</w:t>
            </w:r>
          </w:p>
        </w:tc>
        <w:tc>
          <w:tcPr>
            <w:tcW w:w="34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1,874,193</w:t>
            </w: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131,854</w:t>
            </w:r>
          </w:p>
        </w:tc>
        <w:tc>
          <w:tcPr>
            <w:tcW w:w="280" w:type="dxa"/>
            <w:vAlign w:val="bottom"/>
            <w:tcBorders>
              <w:right w:val="single" w:sz="8" w:color="CFF0FC"/>
            </w:tcBorders>
            <w:shd w:val="clear" w:color="auto" w:fill="CFF0FC"/>
          </w:tcPr>
          <w:p>
            <w:pPr>
              <w:ind w:left="22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(686,044)</w:t>
            </w:r>
          </w:p>
        </w:tc>
        <w:tc>
          <w:tcPr>
            <w:tcW w:w="10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8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683</w:t>
            </w: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65,999</w:t>
            </w:r>
          </w:p>
        </w:tc>
        <w:tc>
          <w:tcPr>
            <w:tcW w:w="200" w:type="dxa"/>
            <w:vAlign w:val="bottom"/>
            <w:shd w:val="clear" w:color="auto" w:fill="CFF0FC"/>
          </w:tcPr>
          <w:p>
            <w:pPr>
              <w:spacing w:after="0"/>
              <w:rPr>
                <w:sz w:val="11"/>
                <w:szCs w:val="11"/>
                <w:color w:val="auto"/>
              </w:rPr>
            </w:pPr>
          </w:p>
        </w:tc>
        <w:tc>
          <w:tcPr>
            <w:tcW w:w="1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1,387,117</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Stock based compensation</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177</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1,244</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1,421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Dividends and distributions paid</w:t>
            </w: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($0.66 per share)</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8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(28,613)</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(1,627)</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(30,240)</w:t>
            </w: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Issuance of common stock, net</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1,514,266</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40,794</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40,809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Unrealized loss on interest rate</w:t>
            </w:r>
          </w:p>
        </w:tc>
        <w:tc>
          <w:tcPr>
            <w:tcW w:w="7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shd w:val="clear" w:color="auto" w:fill="CFF0FC"/>
          </w:tcPr>
          <w:p>
            <w:pPr>
              <w:spacing w:after="0"/>
              <w:rPr>
                <w:sz w:val="10"/>
                <w:szCs w:val="10"/>
                <w:color w:val="auto"/>
              </w:rPr>
            </w:pP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shd w:val="clear" w:color="auto" w:fill="CFF0FC"/>
          </w:tcPr>
          <w:p>
            <w:pPr>
              <w:spacing w:after="0"/>
              <w:rPr>
                <w:sz w:val="10"/>
                <w:szCs w:val="10"/>
                <w:color w:val="auto"/>
              </w:rPr>
            </w:pPr>
          </w:p>
        </w:tc>
        <w:tc>
          <w:tcPr>
            <w:tcW w:w="280" w:type="dxa"/>
            <w:vAlign w:val="bottom"/>
            <w:tcBorders>
              <w:right w:val="single" w:sz="8" w:color="CFF0FC"/>
            </w:tcBorders>
            <w:shd w:val="clear" w:color="auto" w:fill="CFF0FC"/>
          </w:tcPr>
          <w:p>
            <w:pPr>
              <w:spacing w:after="0"/>
              <w:rPr>
                <w:sz w:val="10"/>
                <w:szCs w:val="10"/>
                <w:color w:val="auto"/>
              </w:rPr>
            </w:pPr>
          </w:p>
        </w:tc>
        <w:tc>
          <w:tcPr>
            <w:tcW w:w="62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560" w:type="dxa"/>
            <w:vAlign w:val="bottom"/>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9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swaps</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3"/>
                <w:szCs w:val="13"/>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3"/>
                <w:szCs w:val="13"/>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3"/>
                <w:szCs w:val="13"/>
                <w:color w:val="auto"/>
              </w:rPr>
              <w:t>(3,654)</w:t>
            </w:r>
          </w:p>
        </w:tc>
        <w:tc>
          <w:tcPr>
            <w:tcW w:w="12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(178)</w:t>
            </w:r>
          </w:p>
        </w:tc>
        <w:tc>
          <w:tcPr>
            <w:tcW w:w="140" w:type="dxa"/>
            <w:vAlign w:val="bottom"/>
            <w:shd w:val="clear" w:color="auto" w:fill="CFF0FC"/>
          </w:tcPr>
          <w:p>
            <w:pPr>
              <w:spacing w:after="0"/>
              <w:rPr>
                <w:sz w:val="13"/>
                <w:szCs w:val="13"/>
                <w:color w:val="auto"/>
              </w:rPr>
            </w:pPr>
          </w:p>
        </w:tc>
        <w:tc>
          <w:tcPr>
            <w:tcW w:w="7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3"/>
                <w:szCs w:val="13"/>
                <w:color w:val="auto"/>
              </w:rPr>
              <w:t>(3,832)</w:t>
            </w:r>
          </w:p>
        </w:tc>
        <w:tc>
          <w:tcPr>
            <w:tcW w:w="0" w:type="dxa"/>
            <w:vAlign w:val="bottom"/>
          </w:tcPr>
          <w:p>
            <w:pPr>
              <w:spacing w:after="0"/>
              <w:rPr>
                <w:sz w:val="1"/>
                <w:szCs w:val="1"/>
                <w:color w:val="auto"/>
              </w:rPr>
            </w:pPr>
          </w:p>
        </w:tc>
      </w:tr>
      <w:tr>
        <w:trPr>
          <w:trHeight w:val="135"/>
        </w:trPr>
        <w:tc>
          <w:tcPr>
            <w:tcW w:w="39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Net income</w:t>
            </w: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3,127</w:t>
            </w:r>
          </w:p>
        </w:tc>
        <w:tc>
          <w:tcPr>
            <w:tcW w:w="280" w:type="dxa"/>
            <w:vAlign w:val="bottom"/>
          </w:tcPr>
          <w:p>
            <w:pPr>
              <w:spacing w:after="0"/>
              <w:rPr>
                <w:sz w:val="11"/>
                <w:szCs w:val="11"/>
                <w:color w:val="auto"/>
              </w:rPr>
            </w:pPr>
          </w:p>
        </w:tc>
        <w:tc>
          <w:tcPr>
            <w:tcW w:w="82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1"/>
                <w:szCs w:val="11"/>
                <w:color w:val="auto"/>
              </w:rPr>
            </w:pPr>
          </w:p>
        </w:tc>
        <w:tc>
          <w:tcPr>
            <w:tcW w:w="80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156</w:t>
            </w: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3,283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3920" w:type="dxa"/>
            <w:vAlign w:val="bottom"/>
            <w:shd w:val="clear" w:color="auto" w:fill="CFF0FC"/>
          </w:tcPr>
          <w:p>
            <w:pPr>
              <w:ind w:left="40"/>
              <w:spacing w:after="0" w:line="117" w:lineRule="exact"/>
              <w:rPr>
                <w:sz w:val="20"/>
                <w:szCs w:val="20"/>
                <w:color w:val="auto"/>
              </w:rPr>
            </w:pPr>
            <w:r>
              <w:rPr>
                <w:rFonts w:ascii="Times New Roman" w:cs="Times New Roman" w:eastAsia="Times New Roman" w:hAnsi="Times New Roman"/>
                <w:sz w:val="13"/>
                <w:szCs w:val="13"/>
                <w:color w:val="auto"/>
              </w:rPr>
              <w:t>Allocation of non-controlling interest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727</w:t>
            </w:r>
          </w:p>
        </w:tc>
        <w:tc>
          <w:tcPr>
            <w:tcW w:w="22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right w:val="single" w:sz="8" w:color="CFF0FC"/>
            </w:tcBorders>
            <w:shd w:val="clear" w:color="auto" w:fill="CFF0FC"/>
          </w:tcPr>
          <w:p>
            <w:pPr>
              <w:spacing w:after="0"/>
              <w:rPr>
                <w:sz w:val="10"/>
                <w:szCs w:val="10"/>
                <w:color w:val="auto"/>
              </w:rPr>
            </w:pPr>
          </w:p>
        </w:tc>
        <w:tc>
          <w:tcPr>
            <w:tcW w:w="6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5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3"/>
                <w:szCs w:val="13"/>
                <w:color w:val="auto"/>
              </w:rPr>
              <w:t>(727)</w:t>
            </w:r>
          </w:p>
        </w:tc>
        <w:tc>
          <w:tcPr>
            <w:tcW w:w="140" w:type="dxa"/>
            <w:vAlign w:val="bottom"/>
            <w:shd w:val="clear" w:color="auto" w:fill="CFF0FC"/>
          </w:tcPr>
          <w:p>
            <w:pPr>
              <w:spacing w:after="0"/>
              <w:rPr>
                <w:sz w:val="10"/>
                <w:szCs w:val="10"/>
                <w:color w:val="auto"/>
              </w:rPr>
            </w:pPr>
          </w:p>
        </w:tc>
        <w:tc>
          <w:tcPr>
            <w:tcW w:w="760" w:type="dxa"/>
            <w:vAlign w:val="bottom"/>
            <w:gridSpan w:val="2"/>
            <w:vMerge w:val="restart"/>
            <w:shd w:val="clear" w:color="auto" w:fill="CFF0FC"/>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0"/>
        </w:trPr>
        <w:tc>
          <w:tcPr>
            <w:tcW w:w="3920" w:type="dxa"/>
            <w:vAlign w:val="bottom"/>
            <w:shd w:val="clear" w:color="auto" w:fill="CFF0FC"/>
          </w:tcPr>
          <w:p>
            <w:pPr>
              <w:ind w:left="140"/>
              <w:spacing w:after="0" w:line="140" w:lineRule="exact"/>
              <w:rPr>
                <w:sz w:val="20"/>
                <w:szCs w:val="20"/>
                <w:color w:val="auto"/>
              </w:rPr>
            </w:pPr>
            <w:r>
              <w:rPr>
                <w:rFonts w:ascii="Times New Roman" w:cs="Times New Roman" w:eastAsia="Times New Roman" w:hAnsi="Times New Roman"/>
                <w:sz w:val="13"/>
                <w:szCs w:val="13"/>
                <w:color w:val="auto"/>
              </w:rPr>
              <w:t>in Operating Partnership</w:t>
            </w:r>
          </w:p>
        </w:tc>
        <w:tc>
          <w:tcPr>
            <w:tcW w:w="7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40" w:type="dxa"/>
            <w:vAlign w:val="bottom"/>
            <w:vMerge w:val="continue"/>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0" w:type="dxa"/>
            <w:vAlign w:val="bottom"/>
            <w:vMerge w:val="continue"/>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620" w:type="dxa"/>
            <w:vAlign w:val="bottom"/>
            <w:vMerge w:val="continue"/>
            <w:shd w:val="clear" w:color="auto" w:fill="CFF0FC"/>
          </w:tcPr>
          <w:p>
            <w:pPr>
              <w:spacing w:after="0"/>
              <w:rPr>
                <w:sz w:val="12"/>
                <w:szCs w:val="12"/>
                <w:color w:val="auto"/>
              </w:rPr>
            </w:pPr>
          </w:p>
        </w:tc>
        <w:tc>
          <w:tcPr>
            <w:tcW w:w="200" w:type="dxa"/>
            <w:vAlign w:val="bottom"/>
            <w:vMerge w:val="continue"/>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80" w:type="dxa"/>
            <w:vAlign w:val="bottom"/>
            <w:vMerge w:val="continue"/>
            <w:shd w:val="clear" w:color="auto" w:fill="CFF0FC"/>
          </w:tcPr>
          <w:p>
            <w:pPr>
              <w:spacing w:after="0"/>
              <w:rPr>
                <w:sz w:val="12"/>
                <w:szCs w:val="12"/>
                <w:color w:val="auto"/>
              </w:rPr>
            </w:pPr>
          </w:p>
        </w:tc>
        <w:tc>
          <w:tcPr>
            <w:tcW w:w="220" w:type="dxa"/>
            <w:vAlign w:val="bottom"/>
            <w:vMerge w:val="continue"/>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60" w:type="dxa"/>
            <w:vAlign w:val="bottom"/>
            <w:gridSpan w:val="2"/>
            <w:vMerge w:val="continue"/>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920" w:type="dxa"/>
            <w:vAlign w:val="bottom"/>
            <w:shd w:val="clear" w:color="auto" w:fill="CFF0FC"/>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FF0FC"/>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920" w:type="dxa"/>
            <w:vAlign w:val="bottom"/>
          </w:tcPr>
          <w:p>
            <w:pPr>
              <w:ind w:left="40"/>
              <w:spacing w:after="0" w:line="129" w:lineRule="exact"/>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7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44,702,490</w:t>
            </w:r>
          </w:p>
        </w:tc>
        <w:tc>
          <w:tcPr>
            <w:tcW w:w="240" w:type="dxa"/>
            <w:vAlign w:val="bottom"/>
          </w:tcPr>
          <w:p>
            <w:pPr>
              <w:spacing w:after="0"/>
              <w:rPr>
                <w:sz w:val="11"/>
                <w:szCs w:val="11"/>
                <w:color w:val="auto"/>
              </w:rPr>
            </w:pPr>
          </w:p>
        </w:tc>
        <w:tc>
          <w:tcPr>
            <w:tcW w:w="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447</w:t>
            </w:r>
          </w:p>
        </w:tc>
        <w:tc>
          <w:tcPr>
            <w:tcW w:w="34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1,915,891</w:t>
            </w:r>
          </w:p>
        </w:tc>
        <w:tc>
          <w:tcPr>
            <w:tcW w:w="220" w:type="dxa"/>
            <w:vAlign w:val="bottom"/>
          </w:tcPr>
          <w:p>
            <w:pPr>
              <w:spacing w:after="0"/>
              <w:rPr>
                <w:sz w:val="11"/>
                <w:szCs w:val="1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0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134,981</w:t>
            </w:r>
          </w:p>
        </w:tc>
        <w:tc>
          <w:tcPr>
            <w:tcW w:w="280" w:type="dxa"/>
            <w:vAlign w:val="bottom"/>
          </w:tcPr>
          <w:p>
            <w:pPr>
              <w:ind w:left="220"/>
              <w:spacing w:after="0"/>
              <w:rPr>
                <w:sz w:val="20"/>
                <w:szCs w:val="20"/>
                <w:color w:val="auto"/>
              </w:rPr>
            </w:pPr>
            <w:r>
              <w:rPr>
                <w:rFonts w:ascii="Times New Roman" w:cs="Times New Roman" w:eastAsia="Times New Roman" w:hAnsi="Times New Roman"/>
                <w:sz w:val="5"/>
                <w:szCs w:val="5"/>
                <w:color w:val="auto"/>
                <w:w w:val="78"/>
              </w:rPr>
              <w:t>$</w:t>
            </w:r>
          </w:p>
        </w:tc>
        <w:tc>
          <w:tcPr>
            <w:tcW w:w="820" w:type="dxa"/>
            <w:vAlign w:val="bottom"/>
            <w:gridSpan w:val="2"/>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(714,657)</w:t>
            </w:r>
          </w:p>
        </w:tc>
        <w:tc>
          <w:tcPr>
            <w:tcW w:w="10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gridSpan w:val="2"/>
          </w:tcPr>
          <w:p>
            <w:pPr>
              <w:jc w:val="right"/>
              <w:ind w:right="180"/>
              <w:spacing w:after="0" w:line="129" w:lineRule="exact"/>
              <w:rPr>
                <w:sz w:val="20"/>
                <w:szCs w:val="20"/>
                <w:color w:val="auto"/>
              </w:rPr>
            </w:pPr>
            <w:r>
              <w:rPr>
                <w:rFonts w:ascii="Times New Roman" w:cs="Times New Roman" w:eastAsia="Times New Roman" w:hAnsi="Times New Roman"/>
                <w:sz w:val="13"/>
                <w:szCs w:val="13"/>
                <w:color w:val="auto"/>
              </w:rPr>
              <w:t>(2,971)</w:t>
            </w:r>
          </w:p>
        </w:tc>
        <w:tc>
          <w:tcPr>
            <w:tcW w:w="120" w:type="dxa"/>
            <w:vAlign w:val="bottom"/>
          </w:tcPr>
          <w:p>
            <w:pPr>
              <w:spacing w:after="0" w:line="129" w:lineRule="exact"/>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64,867</w:t>
            </w:r>
          </w:p>
        </w:tc>
        <w:tc>
          <w:tcPr>
            <w:tcW w:w="200" w:type="dxa"/>
            <w:vAlign w:val="bottom"/>
          </w:tcPr>
          <w:p>
            <w:pPr>
              <w:spacing w:after="0"/>
              <w:rPr>
                <w:sz w:val="11"/>
                <w:szCs w:val="11"/>
                <w:color w:val="auto"/>
              </w:rPr>
            </w:pPr>
          </w:p>
        </w:tc>
        <w:tc>
          <w:tcPr>
            <w:tcW w:w="14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auto"/>
              </w:rPr>
              <w:t>1,398,558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2962275</wp:posOffset>
            </wp:positionH>
            <wp:positionV relativeFrom="paragraph">
              <wp:posOffset>-1079500</wp:posOffset>
            </wp:positionV>
            <wp:extent cx="768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-1062355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-1079500</wp:posOffset>
            </wp:positionV>
            <wp:extent cx="774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-1062355</wp:posOffset>
            </wp:positionV>
            <wp:extent cx="774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-1079500</wp:posOffset>
            </wp:positionV>
            <wp:extent cx="774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-1062355</wp:posOffset>
            </wp:positionV>
            <wp:extent cx="774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-1079500</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-1062355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-1079500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-1062355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-1079500</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-1062355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-1079500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-1062355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-119380</wp:posOffset>
            </wp:positionV>
            <wp:extent cx="76835"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-119380</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4162425</wp:posOffset>
            </wp:positionH>
            <wp:positionV relativeFrom="paragraph">
              <wp:posOffset>-119380</wp:posOffset>
            </wp:positionV>
            <wp:extent cx="7747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-119380</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-119380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-119380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-119380</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-119380</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right="20" w:hanging="365"/>
        <w:spacing w:after="0" w:line="261" w:lineRule="auto"/>
        <w:tabs>
          <w:tab w:leader="none" w:pos="6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2024, the Company reclassified $0.6 million from Common Stock to Additional Paid-in-Capital due to the reduction in shares outstanding in connection with the 1-for-2.5 reverse stock split of the Company’s issued and outstanding Common Stock, effective April 28, 2025 (the “Reverse Stock Split”). Concurrently with the Reverse Stock Split, our operating partnership completed a corresponding 1-for-2.5 reverse unit split of outstanding common units and LTIP units (the “Reverse Unit Split”).</w:t>
      </w:r>
    </w:p>
    <w:p>
      <w:pPr>
        <w:spacing w:after="0" w:line="180"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A summary of dividends declared by our Board of Directors per share of common stock and per common unit (as adjusted to reflect the Reverse Stock Split and Reverse Unit Split) at the date of record is as follows: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8"/>
                <w:szCs w:val="18"/>
                <w:color w:val="auto"/>
              </w:rPr>
            </w:pPr>
          </w:p>
        </w:tc>
        <w:tc>
          <w:tcPr>
            <w:tcW w:w="23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20" w:type="dxa"/>
            <w:vAlign w:val="bottom"/>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20" w:type="dxa"/>
            <w:vAlign w:val="bottom"/>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xml:space="preserve">Dividend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8"/>
                <w:szCs w:val="18"/>
                <w:color w:val="auto"/>
              </w:rPr>
            </w:pPr>
          </w:p>
        </w:tc>
      </w:tr>
      <w:tr>
        <w:trPr>
          <w:trHeight w:val="196"/>
        </w:trPr>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Q1 2026</w:t>
            </w:r>
          </w:p>
        </w:tc>
        <w:tc>
          <w:tcPr>
            <w:tcW w:w="220" w:type="dxa"/>
            <w:vAlign w:val="bottom"/>
            <w:shd w:val="clear" w:color="auto" w:fill="CFF0FC"/>
          </w:tcPr>
          <w:p>
            <w:pPr>
              <w:spacing w:after="0"/>
              <w:rPr>
                <w:sz w:val="17"/>
                <w:szCs w:val="17"/>
                <w:color w:val="auto"/>
              </w:rPr>
            </w:pPr>
          </w:p>
        </w:tc>
        <w:tc>
          <w:tcPr>
            <w:tcW w:w="23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7"/>
                <w:szCs w:val="17"/>
                <w:color w:val="auto"/>
              </w:rPr>
              <w:t>April 22,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May 7,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May 21, 2026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0" w:type="dxa"/>
            <w:vAlign w:val="bottom"/>
            <w:shd w:val="clear" w:color="auto" w:fill="CFF0FC"/>
          </w:tcPr>
          <w:p>
            <w:pPr>
              <w:spacing w:after="0"/>
              <w:rPr>
                <w:sz w:val="17"/>
                <w:szCs w:val="17"/>
                <w:color w:val="auto"/>
              </w:rPr>
            </w:pPr>
          </w:p>
        </w:tc>
      </w:tr>
    </w:tbl>
    <w:p>
      <w:pPr>
        <w:spacing w:after="0" w:line="198" w:lineRule="exact"/>
        <w:rPr>
          <w:sz w:val="20"/>
          <w:szCs w:val="20"/>
          <w:color w:val="auto"/>
        </w:rPr>
      </w:pPr>
    </w:p>
    <w:p>
      <w:pPr>
        <w:ind w:left="380" w:right="160" w:hanging="372"/>
        <w:spacing w:after="0" w:line="258" w:lineRule="auto"/>
        <w:tabs>
          <w:tab w:leader="none" w:pos="30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end of the performance period as set forth in the applicable LTIP unit award, holders of performance-based LTIP units are entitled to receive dividends per LTIP unit equal to 10% of the dividend paid per common unit. After the end of the performance period, the number of LTIP units, both vested and unvested, that LTIP award recipients have earned, if any, are entitled to receive dividends in an amount per LTIP unit equal to dividends, both regular and special, payable per common unit. Holders of LTIP units that are not subject to the attainment of performance goals are entitled to receive dividends per LTIP unit equal to 100% of the dividend paid per common unit beginning on the grant date.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ATM Programs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entered into an equity distribution agreement on June 22, 2021 (the “2021 ATM Program”) with various financial institutions. Pursuant to the 2021 ATM Program, we may issue and sell shares of our common stock having an aggregate offering price of up to $300.0 million from time to time in negotiated transactions or transactions that are deemed to be “at the market” offerings as defined in Rule 415 under the Securities Act. Under the 2021 ATM Program, we may enter into one or more forward transactions (each, a “forward sale transaction”) under separate master forward sale confirmations and related supplemental confirmations with each of the various financial institutions party to the 2021 ATM Program for the sale of shares of our common stock on a forward basis.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0" w:name="page21"/>
    <w:bookmarkEnd w:id="20"/>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issuances under the 2021 ATM Program during the three months ended March 31, 2026 (amounts in thousands except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 ATM Program</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40" w:type="dxa"/>
            <w:vAlign w:val="bottom"/>
          </w:tcPr>
          <w:p>
            <w:pPr>
              <w:spacing w:after="0"/>
              <w:rPr>
                <w:sz w:val="16"/>
                <w:szCs w:val="16"/>
                <w:color w:val="auto"/>
              </w:rPr>
            </w:pPr>
          </w:p>
        </w:tc>
        <w:tc>
          <w:tcPr>
            <w:tcW w:w="2520" w:type="dxa"/>
            <w:vAlign w:val="bottom"/>
            <w:tcBorders>
              <w:bottom w:val="single" w:sz="8" w:color="auto"/>
            </w:tcBorders>
          </w:tcPr>
          <w:p>
            <w:pPr>
              <w:jc w:val="right"/>
              <w:ind w:right="339"/>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Number of Shares Issued </w:t>
            </w:r>
            <w:r>
              <w:rPr>
                <w:rFonts w:ascii="Times New Roman" w:cs="Times New Roman" w:eastAsia="Times New Roman" w:hAnsi="Times New Roman"/>
                <w:sz w:val="19"/>
                <w:szCs w:val="19"/>
                <w:b w:val="1"/>
                <w:bCs w:val="1"/>
                <w:color w:val="auto"/>
                <w:vertAlign w:val="superscript"/>
              </w:rPr>
              <w:t>(1)</w:t>
            </w:r>
          </w:p>
        </w:tc>
        <w:tc>
          <w:tcPr>
            <w:tcW w:w="3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00" w:type="dxa"/>
            <w:vAlign w:val="bottom"/>
          </w:tcPr>
          <w:p>
            <w:pPr>
              <w:spacing w:after="0"/>
              <w:rPr>
                <w:sz w:val="16"/>
                <w:szCs w:val="16"/>
                <w:color w:val="auto"/>
              </w:rPr>
            </w:pPr>
          </w:p>
        </w:tc>
      </w:tr>
      <w:tr>
        <w:trPr>
          <w:trHeight w:val="209"/>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94,170</w:t>
            </w:r>
          </w:p>
        </w:tc>
        <w:tc>
          <w:tcPr>
            <w:tcW w:w="110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FF0FC"/>
          </w:tcPr>
          <w:p>
            <w:pPr>
              <w:spacing w:after="0"/>
              <w:rPr>
                <w:sz w:val="18"/>
                <w:szCs w:val="18"/>
                <w:color w:val="auto"/>
              </w:rPr>
            </w:pPr>
          </w:p>
        </w:tc>
      </w:tr>
      <w:tr>
        <w:trPr>
          <w:trHeight w:val="209"/>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94,170</w:t>
            </w:r>
          </w:p>
        </w:tc>
        <w:tc>
          <w:tcPr>
            <w:tcW w:w="3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-419735</wp:posOffset>
            </wp:positionV>
            <wp:extent cx="357441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574415" cy="8890"/>
                    </a:xfrm>
                    <a:prstGeom prst="rect">
                      <a:avLst/>
                    </a:prstGeom>
                    <a:noFill/>
                  </pic:spPr>
                </pic:pic>
              </a:graphicData>
            </a:graphic>
          </wp:anchor>
        </w:drawing>
      </w:r>
    </w:p>
    <w:p>
      <w:pPr>
        <w:spacing w:after="0" w:line="178" w:lineRule="exact"/>
        <w:rPr>
          <w:sz w:val="20"/>
          <w:szCs w:val="20"/>
          <w:color w:val="auto"/>
        </w:rPr>
      </w:pPr>
    </w:p>
    <w:p>
      <w:pPr>
        <w:ind w:left="760" w:right="100" w:hanging="365"/>
        <w:spacing w:after="0" w:line="282" w:lineRule="auto"/>
        <w:tabs>
          <w:tab w:leader="none" w:pos="698"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by us, which were all issued in settlement of forward sale transactions. As of March 31, 2026, we had settled all of our outstanding forward sale transactions under the 2021 ATM Program. We accounted for the forward sale transactions as equity.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we had approximately $234.0 million of gross sales of our common stock available under the 2021 ATM Program.</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April 28, 2022, our Board of Directors authorized a share repurchase program whereby we may repurchase up to 1,815,597 shares of our common stock (adjusted for the Reverse Stock Split), or approximately 5% of our outstanding shares as of the original authorization date. We are not required to purchase shares under the share repurchase program, but may choose to do so in the open market or through privately negotiated transactions at times and amounts based on our evaluation of market conditions and other factors.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repurchases of shares of our common stock were made under the share repurchase program during the three months ended March 31,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Basic earnings or loss per share of common stock (“EPS”) is calculated by dividing net income attributable to common stockholders by the weighted average shares of common stock outstanding for the periods presented. Diluted EPS is computed after adjusting the basic EPS computation for the effect of dilutive common equivalent shares outstanding during the periods presented. Unvested restricted shares of common stock and unvested LTIP units are considered participating securities, which require the use of the two-class method for the computation of basic and diluted earnings per share.</w:t>
      </w:r>
    </w:p>
    <w:p>
      <w:pPr>
        <w:spacing w:after="0" w:line="180"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computation of our basic and diluted earnings per share of common stock for the three months ended March 31, 2026 and 2025 (amounts in thousands, except per share amounts):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520" w:type="dxa"/>
            <w:vAlign w:val="bottom"/>
            <w:tcBorders>
              <w:bottom w:val="single" w:sz="8" w:color="auto"/>
            </w:tcBorders>
            <w:gridSpan w:val="4"/>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1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76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40" w:type="dxa"/>
            <w:vAlign w:val="bottom"/>
          </w:tcPr>
          <w:p>
            <w:pPr>
              <w:spacing w:after="0"/>
              <w:rPr>
                <w:sz w:val="18"/>
                <w:szCs w:val="18"/>
                <w:color w:val="auto"/>
              </w:rPr>
            </w:pPr>
          </w:p>
        </w:tc>
        <w:tc>
          <w:tcPr>
            <w:tcW w:w="118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20" w:type="dxa"/>
            <w:vAlign w:val="bottom"/>
          </w:tcPr>
          <w:p>
            <w:pPr>
              <w:spacing w:after="0"/>
              <w:rPr>
                <w:sz w:val="18"/>
                <w:szCs w:val="18"/>
                <w:color w:val="auto"/>
              </w:rPr>
            </w:pPr>
          </w:p>
        </w:tc>
      </w:tr>
      <w:tr>
        <w:trPr>
          <w:trHeight w:val="216"/>
        </w:trPr>
        <w:tc>
          <w:tcPr>
            <w:tcW w:w="5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Non-controlling interest in Operating Partnership</w:t>
            </w:r>
          </w:p>
        </w:tc>
        <w:tc>
          <w:tcPr>
            <w:tcW w:w="1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w:t>
            </w:r>
          </w:p>
        </w:tc>
        <w:tc>
          <w:tcPr>
            <w:tcW w:w="1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(156)</w:t>
            </w:r>
          </w:p>
        </w:tc>
      </w:tr>
      <w:tr>
        <w:trPr>
          <w:trHeight w:val="209"/>
        </w:trPr>
        <w:tc>
          <w:tcPr>
            <w:tcW w:w="5240" w:type="dxa"/>
            <w:vAlign w:val="bottom"/>
            <w:tcBorders>
              <w:top w:val="single" w:sz="8" w:color="CFF0FC"/>
            </w:tcBorders>
          </w:tcPr>
          <w:p>
            <w:pPr>
              <w:ind w:left="140"/>
              <w:spacing w:after="0"/>
              <w:rPr>
                <w:sz w:val="20"/>
                <w:szCs w:val="20"/>
                <w:color w:val="auto"/>
              </w:rPr>
            </w:pPr>
            <w:r>
              <w:rPr>
                <w:rFonts w:ascii="Times New Roman" w:cs="Times New Roman" w:eastAsia="Times New Roman" w:hAnsi="Times New Roman"/>
                <w:sz w:val="18"/>
                <w:szCs w:val="18"/>
                <w:color w:val="auto"/>
              </w:rPr>
              <w:t>Net income available to Easterly Government Properties, Inc.</w:t>
            </w:r>
          </w:p>
        </w:tc>
        <w:tc>
          <w:tcPr>
            <w:tcW w:w="1520" w:type="dxa"/>
            <w:vAlign w:val="bottom"/>
            <w:tcBorders>
              <w:top w:val="single" w:sz="8" w:color="CFF0FC"/>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1,365</w:t>
            </w:r>
          </w:p>
        </w:tc>
        <w:tc>
          <w:tcPr>
            <w:tcW w:w="240" w:type="dxa"/>
            <w:vAlign w:val="bottom"/>
            <w:tcBorders>
              <w:top w:val="single" w:sz="8" w:color="CFF0FC"/>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3,127</w:t>
            </w:r>
          </w:p>
        </w:tc>
        <w:tc>
          <w:tcPr>
            <w:tcW w:w="120" w:type="dxa"/>
            <w:vAlign w:val="bottom"/>
            <w:tcBorders>
              <w:top w:val="single" w:sz="8" w:color="CFF0FC"/>
            </w:tcBorders>
          </w:tcPr>
          <w:p>
            <w:pPr>
              <w:spacing w:after="0"/>
              <w:rPr>
                <w:sz w:val="18"/>
                <w:szCs w:val="18"/>
                <w:color w:val="auto"/>
              </w:rPr>
            </w:pPr>
          </w:p>
        </w:tc>
      </w:tr>
      <w:tr>
        <w:trPr>
          <w:trHeight w:val="216"/>
        </w:trPr>
        <w:tc>
          <w:tcPr>
            <w:tcW w:w="5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Less: Dividends on participating securities</w:t>
            </w:r>
          </w:p>
        </w:tc>
        <w:tc>
          <w:tcPr>
            <w:tcW w:w="1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(240)</w:t>
            </w:r>
          </w:p>
        </w:tc>
        <w:tc>
          <w:tcPr>
            <w:tcW w:w="1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(207)</w:t>
            </w:r>
          </w:p>
        </w:tc>
      </w:tr>
      <w:tr>
        <w:trPr>
          <w:trHeight w:val="20"/>
        </w:trPr>
        <w:tc>
          <w:tcPr>
            <w:tcW w:w="5240" w:type="dxa"/>
            <w:vAlign w:val="bottom"/>
            <w:shd w:val="clear" w:color="auto" w:fill="CFF0FC"/>
          </w:tcPr>
          <w:p>
            <w:pPr>
              <w:spacing w:after="0" w:line="20" w:lineRule="exact"/>
              <w:rPr>
                <w:sz w:val="1"/>
                <w:szCs w:val="1"/>
                <w:color w:val="auto"/>
              </w:rPr>
            </w:pPr>
          </w:p>
        </w:tc>
        <w:tc>
          <w:tcPr>
            <w:tcW w:w="1520" w:type="dxa"/>
            <w:vAlign w:val="bottom"/>
            <w:shd w:val="clear" w:color="auto" w:fill="CFF0F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276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1,125</w:t>
            </w:r>
          </w:p>
        </w:tc>
        <w:tc>
          <w:tcPr>
            <w:tcW w:w="240" w:type="dxa"/>
            <w:vAlign w:val="bottom"/>
          </w:tcPr>
          <w:p>
            <w:pPr>
              <w:spacing w:after="0"/>
              <w:rPr>
                <w:sz w:val="18"/>
                <w:szCs w:val="18"/>
                <w:color w:val="auto"/>
              </w:rPr>
            </w:pPr>
          </w:p>
        </w:tc>
        <w:tc>
          <w:tcPr>
            <w:tcW w:w="118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w:t>
            </w:r>
          </w:p>
        </w:tc>
        <w:tc>
          <w:tcPr>
            <w:tcW w:w="120" w:type="dxa"/>
            <w:vAlign w:val="bottom"/>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52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 for basic EPS</w:t>
            </w:r>
          </w:p>
        </w:tc>
        <w:tc>
          <w:tcPr>
            <w:tcW w:w="1520" w:type="dxa"/>
            <w:vAlign w:val="bottom"/>
            <w:shd w:val="clear" w:color="auto" w:fill="CFF0FC"/>
          </w:tcPr>
          <w:p>
            <w:pPr>
              <w:spacing w:after="0"/>
              <w:rPr>
                <w:sz w:val="17"/>
                <w:szCs w:val="17"/>
                <w:color w:val="auto"/>
              </w:rPr>
            </w:pPr>
          </w:p>
        </w:tc>
        <w:tc>
          <w:tcPr>
            <w:tcW w:w="124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46,260,517</w:t>
            </w:r>
          </w:p>
        </w:tc>
        <w:tc>
          <w:tcPr>
            <w:tcW w:w="2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98"/>
              </w:rPr>
              <w:t>43,224,145</w:t>
            </w:r>
          </w:p>
        </w:tc>
        <w:tc>
          <w:tcPr>
            <w:tcW w:w="120" w:type="dxa"/>
            <w:vAlign w:val="bottom"/>
            <w:shd w:val="clear" w:color="auto" w:fill="CFF0FC"/>
          </w:tcPr>
          <w:p>
            <w:pPr>
              <w:spacing w:after="0"/>
              <w:rPr>
                <w:sz w:val="17"/>
                <w:szCs w:val="17"/>
                <w:color w:val="auto"/>
              </w:rPr>
            </w:pPr>
          </w:p>
        </w:tc>
      </w:tr>
      <w:tr>
        <w:trPr>
          <w:trHeight w:val="216"/>
        </w:trPr>
        <w:tc>
          <w:tcPr>
            <w:tcW w:w="5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Dilutive effect of share-based compensation awards</w:t>
            </w: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34,197</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12,978</w:t>
            </w:r>
          </w:p>
        </w:tc>
        <w:tc>
          <w:tcPr>
            <w:tcW w:w="120" w:type="dxa"/>
            <w:vAlign w:val="bottom"/>
          </w:tcPr>
          <w:p>
            <w:pPr>
              <w:spacing w:after="0"/>
              <w:rPr>
                <w:sz w:val="18"/>
                <w:szCs w:val="18"/>
                <w:color w:val="auto"/>
              </w:rPr>
            </w:pPr>
          </w:p>
        </w:tc>
      </w:tr>
      <w:tr>
        <w:trPr>
          <w:trHeight w:val="216"/>
        </w:trPr>
        <w:tc>
          <w:tcPr>
            <w:tcW w:w="5240" w:type="dxa"/>
            <w:vAlign w:val="bottom"/>
            <w:shd w:val="clear" w:color="auto" w:fill="CFF0FC"/>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Dilutive effect of LTIP units </w:t>
            </w:r>
            <w:r>
              <w:rPr>
                <w:rFonts w:ascii="Times New Roman" w:cs="Times New Roman" w:eastAsia="Times New Roman" w:hAnsi="Times New Roman"/>
                <w:sz w:val="24"/>
                <w:szCs w:val="24"/>
                <w:color w:val="auto"/>
                <w:vertAlign w:val="superscript"/>
              </w:rPr>
              <w:t>(1)</w:t>
            </w:r>
          </w:p>
        </w:tc>
        <w:tc>
          <w:tcPr>
            <w:tcW w:w="152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158,885</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129,373</w:t>
            </w:r>
          </w:p>
        </w:tc>
        <w:tc>
          <w:tcPr>
            <w:tcW w:w="120" w:type="dxa"/>
            <w:vAlign w:val="bottom"/>
            <w:shd w:val="clear" w:color="auto" w:fill="CFF0FC"/>
          </w:tcPr>
          <w:p>
            <w:pPr>
              <w:spacing w:after="0"/>
              <w:rPr>
                <w:sz w:val="18"/>
                <w:szCs w:val="18"/>
                <w:color w:val="auto"/>
              </w:rPr>
            </w:pPr>
          </w:p>
        </w:tc>
      </w:tr>
      <w:tr>
        <w:trPr>
          <w:trHeight w:val="216"/>
        </w:trPr>
        <w:tc>
          <w:tcPr>
            <w:tcW w:w="5240" w:type="dxa"/>
            <w:vAlign w:val="bottom"/>
          </w:tcPr>
          <w:p>
            <w:pPr>
              <w:ind w:left="140"/>
              <w:spacing w:after="0" w:line="216" w:lineRule="exact"/>
              <w:rPr>
                <w:sz w:val="20"/>
                <w:szCs w:val="20"/>
                <w:color w:val="auto"/>
              </w:rPr>
            </w:pPr>
            <w:r>
              <w:rPr>
                <w:rFonts w:ascii="Times New Roman" w:cs="Times New Roman" w:eastAsia="Times New Roman" w:hAnsi="Times New Roman"/>
                <w:sz w:val="18"/>
                <w:szCs w:val="18"/>
                <w:color w:val="auto"/>
              </w:rPr>
              <w:t xml:space="preserve">Dilutive effect of shares issuable under forward sale agreements </w:t>
            </w:r>
            <w:r>
              <w:rPr>
                <w:rFonts w:ascii="Times New Roman" w:cs="Times New Roman" w:eastAsia="Times New Roman" w:hAnsi="Times New Roman"/>
                <w:sz w:val="24"/>
                <w:szCs w:val="24"/>
                <w:color w:val="auto"/>
                <w:vertAlign w:val="superscript"/>
              </w:rPr>
              <w:t>(2)</w:t>
            </w:r>
          </w:p>
        </w:tc>
        <w:tc>
          <w:tcPr>
            <w:tcW w:w="15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5,711</w:t>
            </w:r>
          </w:p>
        </w:tc>
        <w:tc>
          <w:tcPr>
            <w:tcW w:w="120" w:type="dxa"/>
            <w:vAlign w:val="bottom"/>
          </w:tcPr>
          <w:p>
            <w:pPr>
              <w:spacing w:after="0"/>
              <w:rPr>
                <w:sz w:val="18"/>
                <w:szCs w:val="18"/>
                <w:color w:val="auto"/>
              </w:rPr>
            </w:pPr>
          </w:p>
        </w:tc>
      </w:tr>
      <w:tr>
        <w:trPr>
          <w:trHeight w:val="210"/>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Denominator for diluted EPS</w:t>
            </w:r>
          </w:p>
        </w:tc>
        <w:tc>
          <w:tcPr>
            <w:tcW w:w="15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46,453,599</w:t>
            </w:r>
          </w:p>
        </w:tc>
        <w:tc>
          <w:tcPr>
            <w:tcW w:w="240" w:type="dxa"/>
            <w:vAlign w:val="bottom"/>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43,372,207</w:t>
            </w:r>
          </w:p>
        </w:tc>
        <w:tc>
          <w:tcPr>
            <w:tcW w:w="12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Basic EPS</w:t>
            </w:r>
          </w:p>
        </w:tc>
        <w:tc>
          <w:tcPr>
            <w:tcW w:w="2760" w:type="dxa"/>
            <w:vAlign w:val="bottom"/>
            <w:gridSpan w:val="2"/>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tcPr>
          <w:p>
            <w:pPr>
              <w:spacing w:after="0"/>
              <w:rPr>
                <w:sz w:val="18"/>
                <w:szCs w:val="18"/>
                <w:color w:val="auto"/>
              </w:rPr>
            </w:pPr>
          </w:p>
        </w:tc>
        <w:tc>
          <w:tcPr>
            <w:tcW w:w="1180" w:type="dxa"/>
            <w:vAlign w:val="bottom"/>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Pr>
          <w:p>
            <w:pPr>
              <w:spacing w:after="0"/>
              <w:rPr>
                <w:sz w:val="18"/>
                <w:szCs w:val="18"/>
                <w:color w:val="auto"/>
              </w:rPr>
            </w:pPr>
          </w:p>
        </w:tc>
      </w:tr>
      <w:tr>
        <w:trPr>
          <w:trHeight w:val="216"/>
        </w:trPr>
        <w:tc>
          <w:tcPr>
            <w:tcW w:w="52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EPS</w:t>
            </w:r>
          </w:p>
        </w:tc>
        <w:tc>
          <w:tcPr>
            <w:tcW w:w="2760" w:type="dxa"/>
            <w:vAlign w:val="bottom"/>
            <w:gridSpan w:val="2"/>
            <w:shd w:val="clear" w:color="auto" w:fill="CFF0FC"/>
          </w:tcPr>
          <w:p>
            <w:pPr>
              <w:jc w:val="right"/>
              <w:ind w:right="108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24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994"/>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FF0FC"/>
          </w:tcPr>
          <w:p>
            <w:pPr>
              <w:spacing w:after="0"/>
              <w:rPr>
                <w:sz w:val="18"/>
                <w:szCs w:val="18"/>
                <w:color w:val="auto"/>
              </w:rPr>
            </w:pPr>
          </w:p>
        </w:tc>
      </w:tr>
      <w:tr>
        <w:trPr>
          <w:trHeight w:val="540"/>
        </w:trPr>
        <w:tc>
          <w:tcPr>
            <w:tcW w:w="5240" w:type="dxa"/>
            <w:vAlign w:val="bottom"/>
          </w:tcPr>
          <w:p>
            <w:pPr>
              <w:spacing w:after="0"/>
              <w:rPr>
                <w:sz w:val="24"/>
                <w:szCs w:val="24"/>
                <w:color w:val="auto"/>
              </w:rPr>
            </w:pPr>
          </w:p>
        </w:tc>
        <w:tc>
          <w:tcPr>
            <w:tcW w:w="1520" w:type="dxa"/>
            <w:vAlign w:val="bottom"/>
          </w:tcPr>
          <w:p>
            <w:pPr>
              <w:jc w:val="right"/>
              <w:ind w:right="950"/>
              <w:spacing w:after="0"/>
              <w:rPr>
                <w:sz w:val="20"/>
                <w:szCs w:val="20"/>
                <w:color w:val="auto"/>
              </w:rPr>
            </w:pPr>
            <w:r>
              <w:rPr>
                <w:rFonts w:ascii="Times New Roman" w:cs="Times New Roman" w:eastAsia="Times New Roman" w:hAnsi="Times New Roman"/>
                <w:sz w:val="18"/>
                <w:szCs w:val="18"/>
                <w:color w:val="auto"/>
              </w:rPr>
              <w:t>19</w:t>
            </w: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79"/>
        </w:trPr>
        <w:tc>
          <w:tcPr>
            <w:tcW w:w="524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-2399665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-2399665</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-2116455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-2116455</wp:posOffset>
            </wp:positionV>
            <wp:extent cx="7747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left="760" w:right="140" w:hanging="378"/>
        <w:spacing w:after="0" w:line="255"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there were 1,226,143 unvested performance-based LTIP units that were not included in the computation of diluted EPS because to do so would have been antidilutive for the period. During the three months ended March 31, 2025, there were 163,805 unvested performance-based LTIP units, respectively, that were not included in the computation of diluted EPS because to do so would have been antidilutive for the period.</w:t>
      </w:r>
    </w:p>
    <w:p>
      <w:pPr>
        <w:spacing w:after="0" w:line="2" w:lineRule="exact"/>
        <w:rPr>
          <w:rFonts w:ascii="Times New Roman" w:cs="Times New Roman" w:eastAsia="Times New Roman" w:hAnsi="Times New Roman"/>
          <w:sz w:val="18"/>
          <w:szCs w:val="18"/>
          <w:color w:val="auto"/>
        </w:rPr>
      </w:pPr>
    </w:p>
    <w:p>
      <w:pPr>
        <w:ind w:left="760" w:right="320" w:hanging="378"/>
        <w:spacing w:after="0" w:line="255" w:lineRule="auto"/>
        <w:tabs>
          <w:tab w:leader="none" w:pos="76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there were no underlying unsettled forward sale transactions that were not included in the computation of diluted EPS because to do so would have been antidilutive for the period. During the three months ended March 31, 2025, all shares of underlying unsettled forward sale transactions were dilutive and included in the computation of diluted EPS.</w:t>
      </w:r>
    </w:p>
    <w:p>
      <w:pPr>
        <w:spacing w:after="0" w:line="28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Lessor</w:t>
      </w:r>
    </w:p>
    <w:p>
      <w:pPr>
        <w:spacing w:after="0" w:line="119"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lease commercial space to the U.S. Government through the GSA or other federal agencies or nongovernmental tenants. These leases may contain extension options that are predominately at the sole discretion of the tenant. Certain of our leases contain a “soft-term” period of the lease, meaning that the U.S. Government tenant agency has the right to terminate the lease prior to its stated lease end date. While certain of our leases are contractually subject to early termination, we do not believe that our tenant agencies are likely to terminate these leases early given the build-to-suit features at the properties subject to the leases, the weighted average age of these properties based on the date the property was built or renovated-to-suit, where applicable (approximately 20.7 years as of March 31, 2026), the mission-critical focus of the properties subject to the leases and the current level of operations at such properties. Certain lease agreements include variable lease payments that, in the future, will vary based on changes in inflationary measures, real estate tax rates, usage, or share of expenditures of the leased premises.</w:t>
      </w:r>
    </w:p>
    <w:p>
      <w:pPr>
        <w:spacing w:after="0" w:line="192"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February 22, 2026, we received a lump sum reimbursement for FDA Atlanta relating to the landlord improvements in excess of the U.S. Government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tenant improvement allowance of $12.6 million. Total reimbursements received for the project as of March 31, 2026 are $150.7 million. We recorded the payments as Deferred revenue on our Consolidated Balance Sheet and began amortizing over the life of the lease through Rental income.</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sets forth our composition of lease revenue recognized between fixed and variable components (amounts in thousands):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480" w:type="dxa"/>
            <w:vAlign w:val="bottom"/>
          </w:tcPr>
          <w:p>
            <w:pPr>
              <w:spacing w:after="0"/>
              <w:rPr>
                <w:sz w:val="16"/>
                <w:szCs w:val="16"/>
                <w:color w:val="auto"/>
              </w:rPr>
            </w:pPr>
          </w:p>
        </w:tc>
        <w:tc>
          <w:tcPr>
            <w:tcW w:w="3920" w:type="dxa"/>
            <w:vAlign w:val="bottom"/>
            <w:tcBorders>
              <w:bottom w:val="single" w:sz="8" w:color="auto"/>
            </w:tcBorders>
            <w:gridSpan w:val="4"/>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6480" w:type="dxa"/>
            <w:vAlign w:val="bottom"/>
          </w:tcPr>
          <w:p>
            <w:pPr>
              <w:spacing w:after="0"/>
              <w:rPr>
                <w:sz w:val="17"/>
                <w:szCs w:val="17"/>
                <w:color w:val="auto"/>
              </w:rPr>
            </w:pPr>
          </w:p>
        </w:tc>
        <w:tc>
          <w:tcPr>
            <w:tcW w:w="148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4"/>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Fixed</w:t>
            </w:r>
          </w:p>
        </w:tc>
        <w:tc>
          <w:tcPr>
            <w:tcW w:w="1480" w:type="dxa"/>
            <w:vAlign w:val="bottom"/>
            <w:shd w:val="clear" w:color="auto" w:fill="CFF0FC"/>
          </w:tcPr>
          <w:p>
            <w:pPr>
              <w:jc w:val="right"/>
              <w:ind w:right="130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82,818</w:t>
            </w:r>
          </w:p>
        </w:tc>
        <w:tc>
          <w:tcPr>
            <w:tcW w:w="1700" w:type="dxa"/>
            <w:vAlign w:val="bottom"/>
            <w:gridSpan w:val="2"/>
            <w:shd w:val="clear" w:color="auto" w:fill="CFF0FC"/>
          </w:tcPr>
          <w:p>
            <w:pPr>
              <w:jc w:val="right"/>
              <w:ind w:right="1268"/>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70,773</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Variable</w:t>
            </w:r>
          </w:p>
        </w:tc>
        <w:tc>
          <w:tcPr>
            <w:tcW w:w="14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5,775</w:t>
            </w:r>
          </w:p>
        </w:tc>
        <w:tc>
          <w:tcPr>
            <w:tcW w:w="28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4,773</w:t>
            </w:r>
          </w:p>
        </w:tc>
        <w:tc>
          <w:tcPr>
            <w:tcW w:w="100" w:type="dxa"/>
            <w:vAlign w:val="bottom"/>
          </w:tcPr>
          <w:p>
            <w:pPr>
              <w:spacing w:after="0"/>
              <w:rPr>
                <w:sz w:val="18"/>
                <w:szCs w:val="18"/>
                <w:color w:val="auto"/>
              </w:rPr>
            </w:pPr>
          </w:p>
        </w:tc>
      </w:tr>
      <w:tr>
        <w:trPr>
          <w:trHeight w:val="210"/>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Rental income</w:t>
            </w:r>
          </w:p>
        </w:tc>
        <w:tc>
          <w:tcPr>
            <w:tcW w:w="14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88,593</w:t>
            </w:r>
          </w:p>
        </w:tc>
        <w:tc>
          <w:tcPr>
            <w:tcW w:w="28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75,546</w:t>
            </w:r>
          </w:p>
        </w:tc>
        <w:tc>
          <w:tcPr>
            <w:tcW w:w="100" w:type="dxa"/>
            <w:vAlign w:val="bottom"/>
            <w:shd w:val="clear" w:color="auto" w:fill="CFF0FC"/>
          </w:tcPr>
          <w:p>
            <w:pPr>
              <w:spacing w:after="0"/>
              <w:rPr>
                <w:sz w:val="18"/>
                <w:szCs w:val="18"/>
                <w:color w:val="auto"/>
              </w:rPr>
            </w:pPr>
          </w:p>
        </w:tc>
      </w:tr>
    </w:tbl>
    <w:p>
      <w:pPr>
        <w:spacing w:after="0" w:line="1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Lessee</w:t>
      </w:r>
    </w:p>
    <w:p>
      <w:pPr>
        <w:spacing w:after="0" w:line="22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lease corporate office space under operating lease arrangements in Washington, D.C., San Diego, CA and West Palm Beach, FL. The leases include variable lease payments that, in the future, will vary based on changes in real estate tax rates, usage, or share of expenditures of the leased premises. We have elected not to separate lease and non-lease components for our corporate office leases.</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the unamortized balances associated with our right-of-use operating lease asset and operating lease liability were $4.1 million and $4.6 million, respectively. We used our incremental borrowing rate, which was arrived at utilizing prevailing market rates and the spread on our revolving credit facility, in order to determine the net present value of the minimum lease payments.</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quantitative information for our commenced operating leases for the three months ended March 31, 2026 (amounts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4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22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96"/>
        </w:trPr>
        <w:tc>
          <w:tcPr>
            <w:tcW w:w="414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88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660" w:type="dxa"/>
            <w:vAlign w:val="bottom"/>
            <w:tcBorders>
              <w:top w:val="single" w:sz="8" w:color="auto"/>
              <w:bottom w:val="single" w:sz="8" w:color="auto"/>
            </w:tcBorders>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10"/>
        </w:trPr>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lease costs</w:t>
            </w:r>
          </w:p>
        </w:tc>
        <w:tc>
          <w:tcPr>
            <w:tcW w:w="28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78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shd w:val="clear" w:color="auto" w:fill="CFF0FC"/>
          </w:tcPr>
          <w:p>
            <w:pPr>
              <w:spacing w:after="0"/>
              <w:rPr>
                <w:sz w:val="18"/>
                <w:szCs w:val="18"/>
                <w:color w:val="auto"/>
              </w:rPr>
            </w:pPr>
          </w:p>
        </w:tc>
      </w:tr>
      <w:tr>
        <w:trPr>
          <w:trHeight w:val="540"/>
        </w:trPr>
        <w:tc>
          <w:tcPr>
            <w:tcW w:w="4140" w:type="dxa"/>
            <w:vAlign w:val="bottom"/>
          </w:tcPr>
          <w:p>
            <w:pPr>
              <w:spacing w:after="0"/>
              <w:rPr>
                <w:sz w:val="24"/>
                <w:szCs w:val="24"/>
                <w:color w:val="auto"/>
              </w:rPr>
            </w:pPr>
          </w:p>
        </w:tc>
        <w:tc>
          <w:tcPr>
            <w:tcW w:w="234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20</w:t>
            </w:r>
          </w:p>
        </w:tc>
        <w:tc>
          <w:tcPr>
            <w:tcW w:w="5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414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2" w:name="page23"/>
    <w:bookmarkEnd w:id="22"/>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In addition, the maturity of fixed lease payments under our commenced corporate office leases as of March 31, 2026 is summarized in the table below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5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Corporate office leases</w:t>
            </w:r>
          </w:p>
        </w:tc>
        <w:tc>
          <w:tcPr>
            <w:tcW w:w="270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100" w:type="dxa"/>
            <w:vAlign w:val="bottom"/>
          </w:tcPr>
          <w:p>
            <w:pPr>
              <w:spacing w:after="0"/>
              <w:rPr>
                <w:sz w:val="15"/>
                <w:szCs w:val="15"/>
                <w:color w:val="auto"/>
              </w:rPr>
            </w:pPr>
          </w:p>
        </w:tc>
      </w:tr>
      <w:tr>
        <w:trPr>
          <w:trHeight w:val="210"/>
        </w:trPr>
        <w:tc>
          <w:tcPr>
            <w:tcW w:w="5580" w:type="dxa"/>
            <w:vAlign w:val="bottom"/>
            <w:shd w:val="clear" w:color="auto" w:fill="CFF0FC"/>
          </w:tcPr>
          <w:p>
            <w:pPr>
              <w:spacing w:after="0" w:line="210" w:lineRule="exact"/>
              <w:rPr>
                <w:sz w:val="20"/>
                <w:szCs w:val="20"/>
                <w:color w:val="auto"/>
              </w:rPr>
            </w:pPr>
            <w:r>
              <w:rPr>
                <w:rFonts w:ascii="Times New Roman" w:cs="Times New Roman" w:eastAsia="Times New Roman" w:hAnsi="Times New Roman"/>
                <w:sz w:val="18"/>
                <w:szCs w:val="18"/>
                <w:color w:val="auto"/>
              </w:rPr>
              <w:t xml:space="preserve">2026 </w:t>
            </w:r>
            <w:r>
              <w:rPr>
                <w:rFonts w:ascii="Times New Roman" w:cs="Times New Roman" w:eastAsia="Times New Roman" w:hAnsi="Times New Roman"/>
                <w:sz w:val="24"/>
                <w:szCs w:val="24"/>
                <w:color w:val="auto"/>
                <w:vertAlign w:val="superscript"/>
              </w:rPr>
              <w:t>(1)</w:t>
            </w:r>
          </w:p>
        </w:tc>
        <w:tc>
          <w:tcPr>
            <w:tcW w:w="2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671</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2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1,046</w:t>
            </w:r>
          </w:p>
        </w:tc>
      </w:tr>
      <w:tr>
        <w:trPr>
          <w:trHeight w:val="216"/>
        </w:trPr>
        <w:tc>
          <w:tcPr>
            <w:tcW w:w="55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270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731</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27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tcPr>
          <w:p>
            <w:pPr>
              <w:spacing w:after="0"/>
              <w:rPr>
                <w:sz w:val="18"/>
                <w:szCs w:val="18"/>
                <w:color w:val="auto"/>
              </w:rPr>
            </w:pPr>
          </w:p>
        </w:tc>
      </w:tr>
      <w:tr>
        <w:trPr>
          <w:trHeight w:val="209"/>
        </w:trPr>
        <w:tc>
          <w:tcPr>
            <w:tcW w:w="5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310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2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5,332</w:t>
            </w: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Imputed interest</w:t>
            </w:r>
          </w:p>
        </w:tc>
        <w:tc>
          <w:tcPr>
            <w:tcW w:w="2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(718)</w:t>
            </w:r>
          </w:p>
        </w:tc>
      </w:tr>
      <w:tr>
        <w:trPr>
          <w:trHeight w:val="250"/>
        </w:trPr>
        <w:tc>
          <w:tcPr>
            <w:tcW w:w="55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70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top w:val="single" w:sz="8" w:color="auto"/>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2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hanging="378"/>
        <w:spacing w:after="0"/>
        <w:tabs>
          <w:tab w:leader="none" w:pos="76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nine months ending December 31, 2026.</w:t>
      </w:r>
    </w:p>
    <w:p>
      <w:pPr>
        <w:spacing w:after="0" w:line="329"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table below sets forth revenue from tenant construction projects and the associated project management income disaggregated by tenant agency for the three months ended March 31, 2026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68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142"/>
        </w:trPr>
        <w:tc>
          <w:tcPr>
            <w:tcW w:w="6980" w:type="dxa"/>
            <w:vAlign w:val="bottom"/>
            <w:tcBorders>
              <w:bottom w:val="single" w:sz="8" w:color="auto"/>
            </w:tcBorders>
            <w:vMerge w:val="continue"/>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6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Food and Drug Administration (“FDA”)</w:t>
            </w:r>
          </w:p>
        </w:tc>
        <w:tc>
          <w:tcPr>
            <w:tcW w:w="58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720" w:type="dxa"/>
            <w:vAlign w:val="bottom"/>
            <w:gridSpan w:val="2"/>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Department of Veteran Affairs (“VA”)</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Joint Staff Command (“JSC”)</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 Service (“IRS”)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 Bureau of Investigation (“FBI”)</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Department of Treasury (“TREAS”)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 Judiciary of the U.S. Government (“JUD”)</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U.S. Citizenship and Immigration Services (“USCIS”)</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Coast Guard (“USCG”)</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Department of Transportation (“DOT”)</w:t>
            </w: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Services Administration - Other</w:t>
            </w:r>
          </w:p>
        </w:tc>
        <w:tc>
          <w:tcPr>
            <w:tcW w:w="1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State of California (“CA”)</w:t>
            </w:r>
          </w:p>
        </w:tc>
        <w:tc>
          <w:tcPr>
            <w:tcW w:w="16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8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9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30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8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-24765</wp:posOffset>
            </wp:positionV>
            <wp:extent cx="7747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-7620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-170815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-24765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-170815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As of both March 31, 2026 and December 31, 2025, the balance in Accounts receivable related to tenant construction projects and the associated project management income was $2.5 million, which is inclusive of contract assets or liabilities.</w:t>
      </w:r>
    </w:p>
    <w:p>
      <w:pPr>
        <w:spacing w:after="0" w:line="162"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duration of the majority of tenant construction project reimbursement arrangements is less than a year and payment is typically due once a project is complete and work has been accepted by the tenant. There were no projects on-going as of March 31, 2026 with a duration of greater than one year.</w:t>
      </w:r>
    </w:p>
    <w:p>
      <w:pPr>
        <w:spacing w:after="0" w:line="176"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and 2025, we recognized $0.4 million and $0.2 million, respectively, in parking garage income. The monthly and transient daily parking revenue falls within the scope of Revenue from Contracts with Customers (“ASC 606”) and is accounted for at the point in time when control of the goods or services transfers to the customer and our</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right="280"/>
        <w:spacing w:after="0" w:line="282" w:lineRule="auto"/>
        <w:rPr>
          <w:sz w:val="20"/>
          <w:szCs w:val="20"/>
          <w:color w:val="auto"/>
        </w:rPr>
      </w:pPr>
      <w:r>
        <w:rPr>
          <w:rFonts w:ascii="Times New Roman" w:cs="Times New Roman" w:eastAsia="Times New Roman" w:hAnsi="Times New Roman"/>
          <w:sz w:val="18"/>
          <w:szCs w:val="18"/>
          <w:color w:val="auto"/>
        </w:rPr>
        <w:t>performance obligation is satisfied. As of March 31, 2026 and December 31, 2025, the balance in Accounts receivable related to parking garage income was $0.1 million and $0.2 million,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Concentrations Risk</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Concentrations of credit risk arise for us when multiple of our tenants are engaged in similar business activities, are located in the same geographic region or have similar economic features that impact in a similar manner their ability to meet contractual obligations, including obligations owed to us. We regularly monitor our tenant base to assess potential concentrations of credit risk.</w:t>
      </w:r>
    </w:p>
    <w:p>
      <w:pPr>
        <w:spacing w:after="0" w:line="176"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As stated in Note 1 above, we lease commercial space to the U.S. Government or non-governmental tenants. At March 31, 2026, the U.S. Government accounted for approximately 86.2% of our total annualized lease income, state and local government tenants accounted for approximately 8.4% of our annualized lease income and non-governmental tenants accounted for the remaining approximately 5.4%.</w:t>
      </w:r>
    </w:p>
    <w:p>
      <w:pPr>
        <w:spacing w:after="0" w:line="176"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Seventeen of our 106 wholly-owned and unconsolidated operating properties are located in California, accounting for approximately 12.9% of our total leased square feet and approximately 16.7% of our total annualized lease income as of March 31, 2026. To the extent that weak economic or real estate conditions or natural disasters affect California more severely than other areas of the country, our business, financial condition and results of operations could be significantly impacted.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Segment Information</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2026 and 2025, our operations are reported within one reportable and operating segment in the consolidated financial statements and all of our properties are included within this single reportable and operating segment (the “segment”).</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Our chief operating decision makers (“CODMs”) include our Chief Executive Officer and Chief Financial Officer as they are responsible for allocating resources, assessing performance and determining appropriate operating segments.</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CODMs assess performance for the segment and decide how to allocate resources based on net income, which is reported on our Consolidated Statements of Operations as Net Income. The Consolidated Statements of Operations, inclusive of significant expenses, are provided to the CODMs for performance assessment. The CODMs use net income to evaluate income generated from our properties when deciding whether to reinvest profits into our assets or into other parts of the entity, such as for acquisitions or dividend payments. Net income is also used to monitor budgeted versus actual results. The CODMs also use net income in competitive analysis by benchmarking to our competitors. The competitive analysis, along with the monitoring of budgeted versus actual results, is used to assess the segment performance and to establish employee and management compensation.</w:t>
      </w:r>
    </w:p>
    <w:p>
      <w:pPr>
        <w:spacing w:after="0" w:line="187"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measure of segment assets is reported on our Consolidated Balance Sheets as Total Assets. The accounting policies of the segment are the same as those described in our Summary of Significant Accounting Policies.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Related Parties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reimbursement arrangements with entities controlled by our Chief Executive Officer and Vice Chairman, which provide for reimbursement of costs paid on our behalf, or those we pay on their behalf. During the three months ended March 31, 2026, we were responsible for reimbursing costs of $0.1 million and received reimbursement for costs of less than $0.1 million. During the three months ended March 31, 2025, we were responsible for reimbursing costs of $0.1 million and received reimbursement for costs of less than $0.1 million.</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provide asset management services to properties owned by the JV. For the three months ended March 31, 2026, we recognized Asset management income of $0.6 million and reimbursement for certain costs that we paid on their behalf of $0.7 million. For the three months ended March 31, 2025, we recognized Asset management income of $0.6 million and reimbursement for certain costs that we paid on their behalf of $0.6 million.</w:t>
      </w:r>
    </w:p>
    <w:p>
      <w:pPr>
        <w:spacing w:after="0" w:line="176"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2026, receivables from related parties were $0.5 million which was included within prepaid expenses and other assets on our balance sheet. As of March 31, 2026, there were no Accounts payable, accrued expenses and other liabilities owed to related parties.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17. Subsequent Events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our consolidated financial statements as of March 31, 2026, we evaluated subsequent events and noted the following significant events.</w:t>
      </w:r>
    </w:p>
    <w:p>
      <w:pPr>
        <w:spacing w:after="0" w:line="117"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Subsequent to March 31, 2026, on April 22, 2026, the Company’s stockholders approved an amendment to the 2024 Plan to increase the aggregate number of shares authorized for issuance from 1,440,000 shares (as adjusted for the Reverse Stock Split) to 4,315,000 shares of common stock, reflecting an increase of 2,875,000 shares. The amendment had been previously approved by the Company’s Board of Directors on March 20, 2026, subject to stockholder approval, and became effective upon such approval.</w:t>
      </w:r>
    </w:p>
    <w:p>
      <w:pPr>
        <w:spacing w:after="0" w:line="7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Forward-Looking Statements</w:t>
      </w:r>
    </w:p>
    <w:p>
      <w:pPr>
        <w:spacing w:after="0" w:line="11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within the meaning of the Private Securities Litigation Reform Act of 1995, Section 27A of the Securities Act of 1933, as amended (the “Securities Act”) and Section 21E of the Securities Exchange Act of 1934, as amended (the “Exchange Act”). We caution investors that forward-looking statements are based on management’s beliefs and on assumptions made by, and information currently available to, management. When used, the words “anticipate”, “believe”, “estimate”, “expect”, “intend”, “may”, “might”, “plan”, “potential”, “project”, “result”, “seek”, “should”, “target”, “will”, and similar expressions which do not relate solely to historical matters are intended to identify forward-looking statements. These statements are subject to risks, uncertainties, and assumptions and are not guarantees of future performance, which may be affected by known and unknown risks, trends, uncertainties, and factors that are beyond our control. Should one or more of these risks or uncertainties materialize, or should underlying assumptions prove incorrect, actual results may vary materially from those anticipated, estimated, or projected. We expressly disclaim any responsibility to update our forward-looking statements, whether as a result of new information, future events, or otherwise. Accordingly, investors should use caution in relying on forward-looking statements, which are based on results and trends at the time they are made, to anticipate future results or trends.</w:t>
      </w:r>
    </w:p>
    <w:p>
      <w:pPr>
        <w:spacing w:after="0" w:line="192" w:lineRule="exact"/>
        <w:rPr>
          <w:sz w:val="20"/>
          <w:szCs w:val="20"/>
          <w:color w:val="auto"/>
        </w:rPr>
      </w:pPr>
    </w:p>
    <w:p>
      <w:pPr>
        <w:ind w:right="3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Some of the risks and uncertainties that may cause our actual results, performance, or achievements to differ materially from those expressed or implied by forward-looking statements include, among others, the following:</w:t>
      </w:r>
    </w:p>
    <w:p>
      <w:pPr>
        <w:spacing w:after="0" w:line="50" w:lineRule="exact"/>
        <w:rPr>
          <w:sz w:val="20"/>
          <w:szCs w:val="20"/>
          <w:color w:val="auto"/>
        </w:rPr>
      </w:pPr>
    </w:p>
    <w:p>
      <w:pPr>
        <w:ind w:left="1020" w:right="200" w:hanging="503"/>
        <w:spacing w:after="0" w:line="284"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factors included under the heading “Risk Factors” in our Annual Report on Form 10-K for the year ended December 31, 2025 and the factors included under the heading “Risk Factors” in our other public filings;</w:t>
      </w:r>
    </w:p>
    <w:p>
      <w:pPr>
        <w:spacing w:after="0" w:line="50" w:lineRule="exact"/>
        <w:rPr>
          <w:rFonts w:ascii="Times New Roman" w:cs="Times New Roman" w:eastAsia="Times New Roman" w:hAnsi="Times New Roman"/>
          <w:sz w:val="18"/>
          <w:szCs w:val="18"/>
          <w:color w:val="auto"/>
        </w:rPr>
      </w:pPr>
    </w:p>
    <w:p>
      <w:pPr>
        <w:jc w:val="both"/>
        <w:ind w:left="1020" w:right="40" w:hanging="503"/>
        <w:spacing w:after="0" w:line="26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our dependence on the U.S. Government and its agencies for substantially all of our revenues, including credit risk and risk that the U.S. Government reduces its spending on real estate or that it changes its preference away from leased properties, including as a result of or in connection with any shutdown of the U.S. Government;</w:t>
      </w:r>
    </w:p>
    <w:p>
      <w:pPr>
        <w:spacing w:after="0" w:line="6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ownership and development of real estate;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of decreased rental rates or increased vacancy rates;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loss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volatility of the capital and credit markets and the market price of our common stock;</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risk we may lose one or more major tenants;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difficulties in completing and successfully integrating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failure of acquisitions or development projects to occur at anticipated levels or yield anticipated results;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actual or threatened terrorist attacks;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our joint venture activities;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intense competition in the real estate market that may limit our ability to attract or retain tenants or re-lease space;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insufficient amounts of insurance or exposure to events that are either uninsured or underinsured;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uncertainties and risks related to adverse weather conditions, natural disasters and climate change;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exposure to liability relating to environmental and health and safety matters;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limited ability to dispose of assets because of the relative illiquidity of real estate investments and the nature of our assets;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exposure to litigation or other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breaches of our data security;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7"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our indebtedness, including failure to refinance current or future indebtedness on favorable terms, or at all, failure to meet the restrictive covenants and requirements in our existing and new debt agreements, fluctuations in interest rates and increased costs to refinance or issue new debt;</w:t>
      </w:r>
    </w:p>
    <w:p>
      <w:pPr>
        <w:spacing w:after="0" w:line="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 w:name="page27"/>
    <w:bookmarkEnd w:id="26"/>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derivatives or hedging activity;</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risks associated with mortgage debt or unsecured financing or the unavailability thereof, which could make it difficult to finance or refinance properties and could subject us to foreclosure; and</w:t>
      </w:r>
    </w:p>
    <w:p>
      <w:pPr>
        <w:spacing w:after="0" w:line="50" w:lineRule="exact"/>
        <w:rPr>
          <w:rFonts w:ascii="Times New Roman" w:cs="Times New Roman" w:eastAsia="Times New Roman" w:hAnsi="Times New Roman"/>
          <w:sz w:val="18"/>
          <w:szCs w:val="18"/>
          <w:color w:val="auto"/>
        </w:rPr>
      </w:pPr>
    </w:p>
    <w:p>
      <w:pPr>
        <w:ind w:left="1020" w:right="40" w:hanging="503"/>
        <w:spacing w:after="0" w:line="284"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adverse impacts from any future pandemic, epidemic or outbreak of any highly infectious disease on the U.S., regional and global economies and our financial condition and results of operations.</w:t>
      </w:r>
    </w:p>
    <w:p>
      <w:pPr>
        <w:spacing w:after="0" w:line="158" w:lineRule="exact"/>
        <w:rPr>
          <w:sz w:val="20"/>
          <w:szCs w:val="20"/>
          <w:color w:val="auto"/>
        </w:rPr>
      </w:pPr>
    </w:p>
    <w:p>
      <w:pPr>
        <w:ind w:right="20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For a further discussion of these and other factors that could affect us and the statements contained herein, see the section entitled “Item 1A. Risk Factors” in our Annual Report on Form 10-K for the year ended December 31, 2025, as may be supplemented or amended from time to time.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References to “we,” “our,” “us” and “the Company” refer to Easterly Government Properties, Inc., a Maryland corporation, together with our consolidated subsidiaries, including Easterly Government Properties LP, a Delaware limited partnership, which we refer to herein as the “Operating Partnership.” We present certain financial information and metrics “at Easterly Share,” which is calculated on an entity-by-entity basis. “At Easterly Share” information, which we also refer to as being “at share,” “pro rata,” “our pro rata share” or “our share” is not, and is not intended to be, a presentation in accordance with accounting principles generally accepted in the United States of America (“GAAP”).</w:t>
      </w:r>
    </w:p>
    <w:p>
      <w:pPr>
        <w:spacing w:after="0" w:line="183"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We are an internally managed real estate investment trust (“REIT”), focused primarily on the acquisition, development and management of Class A commercial properties that are leased to U.S. Government agencies that serve essential functions. We generate over 85% of our revenue by leasing our properties to such agencies, either directly or through the U.S. General Services Administration (“GSA”). Our objective is to generate attractive risk-adjusted returns for our stockholders over the long term through dividends and capital appreciation.</w:t>
      </w:r>
    </w:p>
    <w:p>
      <w:pPr>
        <w:spacing w:after="0" w:line="180"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We focus primarily on acquiring, developing and managing U.S. Government-leased properties that are essential to supporting the mission of the tenant agency and strive to be a partner of choice for the U.S. Government, working closely with the tenant agency to meet its needs and objectives. We continue to pursue opportunities to add properties to our portfolio, including acquiring properties leased to state and local governments with strong creditworthiness and other opportunities that directly or indirectly support the mission of select government agencies. As of March 31, 2026, we wholly owned 96 operating properties and ten operating properties through an unconsolidated joint venture (the “JV”) in the United States, encompassing approximately 10.7 million leased square feet (10.1 million pro rata), including 93 operating properties that were leased primarily to U.S. Government tenant agencies, eight operating properties leased to tenant agencies of a U.S. state or local government and five operating properties that were entirely leased to private tenants. As of March 31, 2026, our operating properties were 97% leased. For purposes of calculating percentage leased, we exclude from the denominator total square feet that was unleased and to which we attributed no value at the time of acquisition. In addition, we wholly owned three properties under development that we expect will encompass approximately 0.2 million leased square feet upon completion.</w:t>
      </w:r>
    </w:p>
    <w:p>
      <w:pPr>
        <w:spacing w:after="0" w:line="19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Operating Partnership holds substantially all of our assets and conducts substantially all of our business. We are the sole general partner of the Operating Partnership and owned approximately 96.6% of the aggregate limited partnership interests in the Operating Partnership, which we refer to herein as common units, as of March 31, 2026. We have elected to be taxed as a REIT and believe that we have operated and have been organized in conformity with the requirements for qualification and taxation as a REIT for U.S. federal income tax purposes commencing with our taxable year ended December 31, 2015.</w:t>
      </w:r>
    </w:p>
    <w:p>
      <w:pPr>
        <w:spacing w:after="0" w:line="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2026 Activity</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Acquisitions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On January 16, 2026, we acquired a 297,713 leased square foot campus consisting of three real estate operating properties near Richmond, Virginia.</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assets are leased primarily to the Commonwealth of Virginia and have lease expirations ranging from 2027 to 2036.</w:t>
      </w:r>
    </w:p>
    <w:p>
      <w:pPr>
        <w:spacing w:after="0" w:line="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Operating Properties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As of March 31, 2026, our operating properties were 97% leased with a weighted average annualized lease income per leased square foot of $36.82 ($36.54 pro rata) and a weighted average age of approximately 16.9 years based on the date the property was built or renovated-to-suit, where applicable. We calculate annualized lease income as annualized contractual base rent for the last month in a specified period, plus the annualized straight line rent adjustments for the last month in such period and the annualized net expense reimbursements earned by us for the last month in such period.</w:t>
      </w:r>
    </w:p>
    <w:p>
      <w:pPr>
        <w:spacing w:after="0" w:line="180"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table set forth below shows information relating to the properties we owned, or in which we had an ownership interest, at March 31, 2026, and it includes properties held by the JV:</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Annualized</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Income per</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Propert</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Tenant Lease</w:t>
            </w: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Leased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Leased</w:t>
            </w:r>
          </w:p>
        </w:tc>
      </w:tr>
      <w:tr>
        <w:trPr>
          <w:trHeight w:val="175"/>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y</w:t>
            </w:r>
          </w:p>
        </w:tc>
        <w:tc>
          <w:tcPr>
            <w:tcW w:w="1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220" w:type="dxa"/>
            <w:vAlign w:val="bottom"/>
          </w:tcPr>
          <w:p>
            <w:pPr>
              <w:spacing w:after="0"/>
              <w:rPr>
                <w:sz w:val="15"/>
                <w:szCs w:val="15"/>
                <w:color w:val="auto"/>
              </w:rPr>
            </w:pPr>
          </w:p>
        </w:tc>
        <w:tc>
          <w:tcPr>
            <w:tcW w:w="1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Square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391"/>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200" w:type="dxa"/>
            <w:vAlign w:val="bottom"/>
          </w:tcPr>
          <w:p>
            <w:pPr>
              <w:spacing w:after="0"/>
              <w:rPr>
                <w:sz w:val="15"/>
                <w:szCs w:val="15"/>
                <w:color w:val="auto"/>
              </w:rPr>
            </w:pPr>
          </w:p>
        </w:tc>
        <w:tc>
          <w:tcPr>
            <w:tcW w:w="118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920" w:type="dxa"/>
            <w:vAlign w:val="bottom"/>
            <w:gridSpan w:val="2"/>
          </w:tcPr>
          <w:p>
            <w:pPr>
              <w:jc w:val="center"/>
              <w:ind w:right="120"/>
              <w:spacing w:after="0" w:line="175" w:lineRule="exact"/>
              <w:rPr>
                <w:sz w:val="20"/>
                <w:szCs w:val="20"/>
                <w:color w:val="auto"/>
              </w:rPr>
            </w:pPr>
            <w:r>
              <w:rPr>
                <w:rFonts w:ascii="Times New Roman" w:cs="Times New Roman" w:eastAsia="Times New Roman" w:hAnsi="Times New Roman"/>
                <w:sz w:val="16"/>
                <w:szCs w:val="16"/>
                <w:b w:val="1"/>
                <w:bCs w:val="1"/>
                <w:color w:val="auto"/>
                <w:w w:val="98"/>
              </w:rPr>
              <w:t>Square</w:t>
            </w:r>
          </w:p>
        </w:tc>
      </w:tr>
      <w:tr>
        <w:trPr>
          <w:trHeight w:val="246"/>
        </w:trPr>
        <w:tc>
          <w:tcPr>
            <w:tcW w:w="22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Property Name</w:t>
            </w:r>
          </w:p>
        </w:tc>
        <w:tc>
          <w:tcPr>
            <w:tcW w:w="100" w:type="dxa"/>
            <w:vAlign w:val="bottom"/>
          </w:tcPr>
          <w:p>
            <w:pPr>
              <w:spacing w:after="0"/>
              <w:rPr>
                <w:sz w:val="21"/>
                <w:szCs w:val="21"/>
                <w:color w:val="auto"/>
              </w:rPr>
            </w:pPr>
          </w:p>
        </w:tc>
        <w:tc>
          <w:tcPr>
            <w:tcW w:w="180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0"/>
              </w:rPr>
              <w:t xml:space="preserve">Type </w:t>
            </w:r>
            <w:r>
              <w:rPr>
                <w:rFonts w:ascii="Times New Roman" w:cs="Times New Roman" w:eastAsia="Times New Roman" w:hAnsi="Times New Roman"/>
                <w:sz w:val="21"/>
                <w:szCs w:val="21"/>
                <w:b w:val="1"/>
                <w:bCs w:val="1"/>
                <w:color w:val="auto"/>
                <w:w w:val="90"/>
                <w:vertAlign w:val="superscript"/>
              </w:rPr>
              <w:t>(1)</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Year </w:t>
            </w:r>
            <w:r>
              <w:rPr>
                <w:rFonts w:ascii="Times New Roman" w:cs="Times New Roman" w:eastAsia="Times New Roman" w:hAnsi="Times New Roman"/>
                <w:sz w:val="21"/>
                <w:szCs w:val="21"/>
                <w:b w:val="1"/>
                <w:bCs w:val="1"/>
                <w:color w:val="auto"/>
                <w:w w:val="96"/>
                <w:vertAlign w:val="superscript"/>
              </w:rPr>
              <w:t>(2)</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80" w:type="dxa"/>
            <w:vAlign w:val="bottom"/>
          </w:tcPr>
          <w:p>
            <w:pPr>
              <w:spacing w:after="0"/>
              <w:rPr>
                <w:sz w:val="21"/>
                <w:szCs w:val="21"/>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Foot</w:t>
            </w:r>
          </w:p>
        </w:tc>
        <w:tc>
          <w:tcPr>
            <w:tcW w:w="100" w:type="dxa"/>
            <w:vAlign w:val="bottom"/>
          </w:tcPr>
          <w:p>
            <w:pPr>
              <w:spacing w:after="0"/>
              <w:rPr>
                <w:sz w:val="21"/>
                <w:szCs w:val="21"/>
                <w:color w:val="auto"/>
              </w:rPr>
            </w:pPr>
          </w:p>
        </w:tc>
      </w:tr>
      <w:tr>
        <w:trPr>
          <w:trHeight w:val="209"/>
        </w:trPr>
        <w:tc>
          <w:tcPr>
            <w:tcW w:w="412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Wholly Owned U.S. Government Leased Properties</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VA - Loma Linda</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Loma Linda, CA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327,614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16,873,821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51.51</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USCIS - Kansas City </w:t>
            </w:r>
            <w:r>
              <w:rPr>
                <w:rFonts w:ascii="Times New Roman" w:cs="Times New Roman" w:eastAsia="Times New Roman" w:hAnsi="Times New Roman"/>
                <w:sz w:val="24"/>
                <w:szCs w:val="24"/>
                <w:color w:val="auto"/>
                <w:vertAlign w:val="superscript"/>
              </w:rPr>
              <w:t>(3)</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Lee's Summit, MO</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2027 - 2042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417,945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10,396,754</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JSC - Suffolk</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Suffolk, VA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403,737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8,556,069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Various GSA - Chicago</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Des Plaines, IL</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7,925,559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41.99</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FDA - Atlanta</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Atlanta, GA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7,064,454</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IRS - Fresno</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Fresno, CA</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180,481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7,019,201</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38.89</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Salt Lake</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Salt Lake City, UT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169,542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6,849,033</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Various GSA - Portland </w:t>
            </w:r>
            <w:r>
              <w:rPr>
                <w:rFonts w:ascii="Times New Roman" w:cs="Times New Roman" w:eastAsia="Times New Roman" w:hAnsi="Times New Roman"/>
                <w:sz w:val="24"/>
                <w:szCs w:val="24"/>
                <w:color w:val="auto"/>
                <w:vertAlign w:val="superscript"/>
              </w:rPr>
              <w:t>(4)</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Portland, OR</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2027-2039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175,214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5,933,752</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33.87</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VA - San Jose</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Jose, CA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5,822,259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Various GSA - Buffalo </w:t>
            </w:r>
            <w:r>
              <w:rPr>
                <w:rFonts w:ascii="Times New Roman" w:cs="Times New Roman" w:eastAsia="Times New Roman" w:hAnsi="Times New Roman"/>
                <w:sz w:val="24"/>
                <w:szCs w:val="24"/>
                <w:color w:val="auto"/>
                <w:vertAlign w:val="superscript"/>
              </w:rPr>
              <w:t>(5)</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Buffalo, NY</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2026-2039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251,236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5,790,098</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23.05</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EPA - Lenexa</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Lenexa, KS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169,585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5,777,792</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34.07</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PTO - Arlington</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Arlington, VA</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190,546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5,393,537</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28.31</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Tampa</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Tampa, FL</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5,385,768</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39.03</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FDA - Alameda</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Alameda, CA</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69,624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5,025,603</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72.18</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San Antonio</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 Antonio, TX</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148,584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4,865,679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USCIS - Lincoln</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Lincoln, NE</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137,671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4,855,909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DEA - El Paso</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 Paso, TX</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203,683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4,818,384</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23.66</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FEMA - Tracy</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Tracy, CA</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210,373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4,668,336</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TREAS - Parkersburg</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Parkersburg, WV</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4,428,100</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24.26</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FBI - Mobile</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Mobile, AL</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76,112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4,350,464</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57.16</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FDA - Lenexa</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Lenexa, KS</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59,690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4,286,244</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71.81</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ICE - Dallas </w:t>
            </w:r>
            <w:r>
              <w:rPr>
                <w:rFonts w:ascii="Times New Roman" w:cs="Times New Roman" w:eastAsia="Times New Roman" w:hAnsi="Times New Roman"/>
                <w:sz w:val="24"/>
                <w:szCs w:val="24"/>
                <w:color w:val="auto"/>
                <w:vertAlign w:val="superscript"/>
              </w:rPr>
              <w:t>(6)</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Irving, TX</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 / 2040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135,200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4,236,638</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31.34</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Pittsburgh</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Pittsburgh, PA</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100,054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4,214,053</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42.12</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FBI - Knoxville</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Knoxville, TN</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99,130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4,208,887</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VA - South Bend</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Mishawaka, IN</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86,363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4,145,662</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FBI - Omaha</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Omaha, NE</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112,196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3,981,453</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35.49</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VA - Mobile</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Mobile, AL</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3,927,189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FBI - New Orleans</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New Orleans, LA</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137,679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3,861,871</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28.05</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FBI - Albany</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Albany, NY</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69,476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3,597,252</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51.78</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FBI - Birmingham</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Birmingham, AL</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96,278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3,596,878</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DOT - Lakewood</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Lakewood, CO</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116,046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3,585,870</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EPA - Kansas City</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Kansas City, KS</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55,833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3,578,199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USFS II - Albuquerque</w:t>
            </w:r>
          </w:p>
        </w:tc>
        <w:tc>
          <w:tcPr>
            <w:tcW w:w="100" w:type="dxa"/>
            <w:vAlign w:val="bottom"/>
          </w:tcPr>
          <w:p>
            <w:pPr>
              <w:spacing w:after="0"/>
              <w:rPr>
                <w:sz w:val="18"/>
                <w:szCs w:val="18"/>
                <w:color w:val="auto"/>
              </w:rPr>
            </w:pPr>
          </w:p>
        </w:tc>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Albuquerque, NM</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98,720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3,578,032</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FBI - Richmond</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Richmond, VA</w:t>
            </w: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96,607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3,383,207</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100" w:type="dxa"/>
            <w:vAlign w:val="bottom"/>
            <w:shd w:val="clear" w:color="auto" w:fill="CFF0FC"/>
          </w:tcPr>
          <w:p>
            <w:pPr>
              <w:spacing w:after="0"/>
              <w:rPr>
                <w:sz w:val="18"/>
                <w:szCs w:val="18"/>
                <w:color w:val="auto"/>
              </w:rPr>
            </w:pPr>
          </w:p>
        </w:tc>
      </w:tr>
      <w:tr>
        <w:trPr>
          <w:trHeight w:val="540"/>
        </w:trPr>
        <w:tc>
          <w:tcPr>
            <w:tcW w:w="2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00" w:type="dxa"/>
            <w:vAlign w:val="bottom"/>
            <w:gridSpan w:val="2"/>
          </w:tcPr>
          <w:p>
            <w:pPr>
              <w:jc w:val="right"/>
              <w:ind w:right="339"/>
              <w:spacing w:after="0"/>
              <w:rPr>
                <w:sz w:val="20"/>
                <w:szCs w:val="20"/>
                <w:color w:val="auto"/>
              </w:rPr>
            </w:pPr>
            <w:r>
              <w:rPr>
                <w:rFonts w:ascii="Times New Roman" w:cs="Times New Roman" w:eastAsia="Times New Roman" w:hAnsi="Times New Roman"/>
                <w:sz w:val="18"/>
                <w:szCs w:val="18"/>
                <w:color w:val="auto"/>
              </w:rPr>
              <w:t>27</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979"/>
        </w:trPr>
        <w:tc>
          <w:tcPr>
            <w:tcW w:w="2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3"/>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Annualized</w:t>
            </w:r>
          </w:p>
        </w:tc>
      </w:tr>
      <w:tr>
        <w:trPr>
          <w:trHeight w:val="203"/>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03"/>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80" w:type="dxa"/>
            <w:vAlign w:val="bottom"/>
          </w:tcPr>
          <w:p>
            <w:pPr>
              <w:spacing w:after="0"/>
              <w:rPr>
                <w:sz w:val="17"/>
                <w:szCs w:val="17"/>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Income per</w:t>
            </w:r>
          </w:p>
        </w:tc>
      </w:tr>
      <w:tr>
        <w:trPr>
          <w:trHeight w:val="203"/>
        </w:trPr>
        <w:tc>
          <w:tcPr>
            <w:tcW w:w="2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Propert</w:t>
            </w:r>
          </w:p>
        </w:tc>
        <w:tc>
          <w:tcPr>
            <w:tcW w:w="10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Tenant Lease</w:t>
            </w:r>
          </w:p>
        </w:tc>
        <w:tc>
          <w:tcPr>
            <w:tcW w:w="2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Leased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22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9"/>
              </w:rPr>
              <w:t>Leased</w:t>
            </w:r>
          </w:p>
        </w:tc>
      </w:tr>
      <w:tr>
        <w:trPr>
          <w:trHeight w:val="175"/>
        </w:trPr>
        <w:tc>
          <w:tcPr>
            <w:tcW w:w="2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y</w:t>
            </w:r>
          </w:p>
        </w:tc>
        <w:tc>
          <w:tcPr>
            <w:tcW w:w="100" w:type="dxa"/>
            <w:vAlign w:val="bottom"/>
          </w:tcPr>
          <w:p>
            <w:pPr>
              <w:spacing w:after="0"/>
              <w:rPr>
                <w:sz w:val="15"/>
                <w:szCs w:val="15"/>
                <w:color w:val="auto"/>
              </w:rPr>
            </w:pPr>
          </w:p>
        </w:tc>
        <w:tc>
          <w:tcPr>
            <w:tcW w:w="118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22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Square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jc w:val="right"/>
              <w:ind w:right="411"/>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220" w:type="dxa"/>
            <w:vAlign w:val="bottom"/>
          </w:tcPr>
          <w:p>
            <w:pPr>
              <w:spacing w:after="0"/>
              <w:rPr>
                <w:sz w:val="15"/>
                <w:szCs w:val="15"/>
                <w:color w:val="auto"/>
              </w:rPr>
            </w:pPr>
          </w:p>
        </w:tc>
        <w:tc>
          <w:tcPr>
            <w:tcW w:w="104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center"/>
              <w:ind w:right="260"/>
              <w:spacing w:after="0" w:line="175" w:lineRule="exact"/>
              <w:rPr>
                <w:sz w:val="20"/>
                <w:szCs w:val="20"/>
                <w:color w:val="auto"/>
              </w:rPr>
            </w:pPr>
            <w:r>
              <w:rPr>
                <w:rFonts w:ascii="Times New Roman" w:cs="Times New Roman" w:eastAsia="Times New Roman" w:hAnsi="Times New Roman"/>
                <w:sz w:val="16"/>
                <w:szCs w:val="16"/>
                <w:b w:val="1"/>
                <w:bCs w:val="1"/>
                <w:color w:val="auto"/>
                <w:w w:val="98"/>
              </w:rPr>
              <w:t>Square</w:t>
            </w:r>
          </w:p>
        </w:tc>
      </w:tr>
      <w:tr>
        <w:trPr>
          <w:trHeight w:val="246"/>
        </w:trPr>
        <w:tc>
          <w:tcPr>
            <w:tcW w:w="22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b w:val="1"/>
                <w:bCs w:val="1"/>
                <w:color w:val="auto"/>
              </w:rPr>
              <w:t>Property Name</w:t>
            </w:r>
          </w:p>
        </w:tc>
        <w:tc>
          <w:tcPr>
            <w:tcW w:w="120" w:type="dxa"/>
            <w:vAlign w:val="bottom"/>
          </w:tcPr>
          <w:p>
            <w:pPr>
              <w:spacing w:after="0"/>
              <w:rPr>
                <w:sz w:val="21"/>
                <w:szCs w:val="21"/>
                <w:color w:val="auto"/>
              </w:rPr>
            </w:pPr>
          </w:p>
        </w:tc>
        <w:tc>
          <w:tcPr>
            <w:tcW w:w="17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 xml:space="preserve">Type </w:t>
            </w:r>
            <w:r>
              <w:rPr>
                <w:rFonts w:ascii="Times New Roman" w:cs="Times New Roman" w:eastAsia="Times New Roman" w:hAnsi="Times New Roman"/>
                <w:sz w:val="21"/>
                <w:szCs w:val="21"/>
                <w:b w:val="1"/>
                <w:bCs w:val="1"/>
                <w:color w:val="auto"/>
                <w:w w:val="94"/>
                <w:vertAlign w:val="superscript"/>
              </w:rPr>
              <w:t>(1)</w:t>
            </w:r>
          </w:p>
        </w:tc>
        <w:tc>
          <w:tcPr>
            <w:tcW w:w="100" w:type="dxa"/>
            <w:vAlign w:val="bottom"/>
          </w:tcPr>
          <w:p>
            <w:pPr>
              <w:spacing w:after="0"/>
              <w:rPr>
                <w:sz w:val="21"/>
                <w:szCs w:val="21"/>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2"/>
              </w:rPr>
              <w:t xml:space="preserve">Year </w:t>
            </w:r>
            <w:r>
              <w:rPr>
                <w:rFonts w:ascii="Times New Roman" w:cs="Times New Roman" w:eastAsia="Times New Roman" w:hAnsi="Times New Roman"/>
                <w:sz w:val="21"/>
                <w:szCs w:val="21"/>
                <w:b w:val="1"/>
                <w:bCs w:val="1"/>
                <w:color w:val="auto"/>
                <w:w w:val="92"/>
                <w:vertAlign w:val="superscript"/>
              </w:rPr>
              <w:t>(2)</w:t>
            </w: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21"/>
                <w:szCs w:val="21"/>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Foot</w:t>
            </w:r>
          </w:p>
        </w:tc>
        <w:tc>
          <w:tcPr>
            <w:tcW w:w="120" w:type="dxa"/>
            <w:vAlign w:val="bottom"/>
          </w:tcPr>
          <w:p>
            <w:pPr>
              <w:spacing w:after="0"/>
              <w:rPr>
                <w:sz w:val="21"/>
                <w:szCs w:val="21"/>
                <w:color w:val="auto"/>
              </w:rPr>
            </w:pPr>
          </w:p>
        </w:tc>
      </w:tr>
      <w:tr>
        <w:trPr>
          <w:trHeight w:val="209"/>
        </w:trPr>
        <w:tc>
          <w:tcPr>
            <w:tcW w:w="4820" w:type="dxa"/>
            <w:vAlign w:val="bottom"/>
            <w:gridSpan w:val="5"/>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Wholly Owned U.S. Government Leased Properties (Cont.)</w:t>
            </w:r>
          </w:p>
        </w:tc>
        <w:tc>
          <w:tcPr>
            <w:tcW w:w="1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VA - Chico</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Chico, CA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51,647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3,370,428</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65.26</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ICE - Charleston</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North Charleston, SC</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65,124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3,262,630</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50.10</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FBI - Little Rock</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Little Rock, AR</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102,377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3,262,033</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31.86</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Sterling</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Sterling, VA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57,692</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3,238,115</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56.13</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JUD - Del Rio</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Del Rio, TX</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89,880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3,216,180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35.78</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USCIS - Tustin</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Tustin, CA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66,818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3,176,673</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47.54</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DEA - Vista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Vista, CA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52,293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3,175,630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60.73</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 - Orange</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Orange, CT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56,330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2,978,003</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VA - Indianapolis</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Brownsburg, IN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2,973,092</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SSA - Charleston</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Charleston, WV</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2,910,184</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ICE - Albuquerque</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Albuquerque, NM</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2,886,242</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JUD - El Centro</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El Centro, CA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43,345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2,843,404</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65.60</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DEA - Dallas Lab</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Dallas, TX</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49,723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2,840,436</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57.13</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Pleasanton</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Pleasanton, CA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42,480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2,803,294</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65.99</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DEA - Upper Marlboro</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Upper Marlboro, MD</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50,978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2,777,450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54.48</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Dallas</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Dallas, TX</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71,827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2,742,744</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38.19</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DHS - Burlington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Williston, VT</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74,549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2,738,630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NARA - Broomfield</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Broomfield, CO</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161,730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2,697,002</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16.68</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JUD - Jackson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Jackson, TN</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75,043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2,654,729</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35.38</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TREAS - Birmingham</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Birmingham, AL</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83,676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2,647,284</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31.64</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DHS - Atlanta </w:t>
            </w:r>
            <w:r>
              <w:rPr>
                <w:rFonts w:ascii="Times New Roman" w:cs="Times New Roman" w:eastAsia="Times New Roman" w:hAnsi="Times New Roman"/>
                <w:sz w:val="24"/>
                <w:szCs w:val="24"/>
                <w:color w:val="auto"/>
                <w:vertAlign w:val="superscript"/>
              </w:rPr>
              <w:t>(7)</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Atlanta, GA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2031 - 2038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91,185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2,602,112</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USAO - Louisville</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Louisville, KY</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2,566,248</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42.77</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JUD - Charleston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Charleston, SC</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52,339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2,491,927</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IRS - Ogden</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Ogden, UT</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2,394,006</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23.94</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CBP - Savannah</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Savannah, GA</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2,306,216</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65.89</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Various GSA - Cleveland </w:t>
            </w:r>
            <w:r>
              <w:rPr>
                <w:rFonts w:ascii="Times New Roman" w:cs="Times New Roman" w:eastAsia="Times New Roman" w:hAnsi="Times New Roman"/>
                <w:sz w:val="24"/>
                <w:szCs w:val="24"/>
                <w:color w:val="auto"/>
                <w:vertAlign w:val="superscript"/>
              </w:rPr>
              <w:t>(8)</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Brooklyn Heights, OH</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2028 - 2040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2,248,708</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36.63</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NWS - Kansas City</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Kansas City, MO</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94,378</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2,180,188</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23.10</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Santa Ana</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Santa Ana, CA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2,036,945</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GSA - Clarksburg</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Clarksburg, WV</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70,495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1,958,510</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27.78</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North Highlands</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Sacramento, CA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37,975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1,891,896</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49.82</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JUD - Aberdeen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Aberdeen, MS</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45,194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1,890,909</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41.84</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Riverside</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Riverside, CA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34,354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1,889,092</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54.99</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NPS - Omaha</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Omaha, NE</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62,772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1,873,659</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29.85</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ICE - Orlando</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Orlando, FL</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49,420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1,796,130</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36.34</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VA - Golden</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Golden, CO</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56,753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1,793,899</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JUD - Newport News</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Newport News, VA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1,693,655</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48.38</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USCG - Martinsburg</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Martinsburg, WV</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59,547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1,646,454</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27.65</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 - Charleston</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North Charleston, SC</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1,519,642</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USAO - Springfield</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Springfield, IL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43,600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1,399,201</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JUD - Council Bluffs</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Council Bluffs, IA</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1,369,479</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47.39</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DEA - Birmingham</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Birmingham, AL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35,616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1,270,359</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35.67</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Albany</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Albany, NY</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31,976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1,193,758</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2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Times New Roman" w:cs="Times New Roman" w:eastAsia="Times New Roman" w:hAnsi="Times New Roman"/>
                <w:sz w:val="18"/>
                <w:szCs w:val="18"/>
                <w:color w:val="auto"/>
              </w:rPr>
              <w:t>HSI - Orlando</w:t>
            </w: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Orlando, FL</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27,840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1,119,208</w:t>
            </w:r>
          </w:p>
        </w:tc>
        <w:tc>
          <w:tcPr>
            <w:tcW w:w="12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40.20</w:t>
            </w:r>
          </w:p>
        </w:tc>
        <w:tc>
          <w:tcPr>
            <w:tcW w:w="120" w:type="dxa"/>
            <w:vAlign w:val="bottom"/>
          </w:tcPr>
          <w:p>
            <w:pPr>
              <w:spacing w:after="0"/>
              <w:rPr>
                <w:sz w:val="18"/>
                <w:szCs w:val="18"/>
                <w:color w:val="auto"/>
              </w:rPr>
            </w:pPr>
          </w:p>
        </w:tc>
      </w:tr>
      <w:tr>
        <w:trPr>
          <w:trHeight w:val="216"/>
        </w:trPr>
        <w:tc>
          <w:tcPr>
            <w:tcW w:w="2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SSA - Dallas</w:t>
            </w:r>
          </w:p>
        </w:tc>
        <w:tc>
          <w:tcPr>
            <w:tcW w:w="19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Dallas, TX</w:t>
            </w:r>
          </w:p>
        </w:tc>
        <w:tc>
          <w:tcPr>
            <w:tcW w:w="10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2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1,073,581</w:t>
            </w:r>
          </w:p>
        </w:tc>
        <w:tc>
          <w:tcPr>
            <w:tcW w:w="1260" w:type="dxa"/>
            <w:vAlign w:val="bottom"/>
            <w:gridSpan w:val="3"/>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39.47</w:t>
            </w:r>
          </w:p>
        </w:tc>
        <w:tc>
          <w:tcPr>
            <w:tcW w:w="120" w:type="dxa"/>
            <w:vAlign w:val="bottom"/>
            <w:shd w:val="clear" w:color="auto" w:fill="CFF0FC"/>
          </w:tcPr>
          <w:p>
            <w:pPr>
              <w:spacing w:after="0"/>
              <w:rPr>
                <w:sz w:val="18"/>
                <w:szCs w:val="18"/>
                <w:color w:val="auto"/>
              </w:rPr>
            </w:pPr>
          </w:p>
        </w:tc>
      </w:tr>
      <w:tr>
        <w:trPr>
          <w:trHeight w:val="540"/>
        </w:trPr>
        <w:tc>
          <w:tcPr>
            <w:tcW w:w="2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gridSpan w:val="2"/>
          </w:tcPr>
          <w:p>
            <w:pPr>
              <w:jc w:val="right"/>
              <w:ind w:right="299"/>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79"/>
        </w:trPr>
        <w:tc>
          <w:tcPr>
            <w:tcW w:w="2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Annualized</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9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Income per</w:t>
            </w:r>
          </w:p>
        </w:tc>
      </w:t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Propert</w:t>
            </w:r>
          </w:p>
        </w:tc>
        <w:tc>
          <w:tcPr>
            <w:tcW w:w="10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Tenant Lease</w:t>
            </w:r>
          </w:p>
        </w:tc>
        <w:tc>
          <w:tcPr>
            <w:tcW w:w="2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Leased</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2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120" w:type="dxa"/>
            <w:vAlign w:val="bottom"/>
          </w:tcPr>
          <w:p>
            <w:pPr>
              <w:spacing w:after="0"/>
              <w:rPr>
                <w:sz w:val="17"/>
                <w:szCs w:val="17"/>
                <w:color w:val="auto"/>
              </w:rPr>
            </w:pPr>
          </w:p>
        </w:tc>
        <w:tc>
          <w:tcPr>
            <w:tcW w:w="80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Leased</w:t>
            </w:r>
          </w:p>
        </w:tc>
      </w:tr>
      <w:tr>
        <w:trPr>
          <w:trHeight w:val="175"/>
        </w:trPr>
        <w:tc>
          <w:tcPr>
            <w:tcW w:w="2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y</w:t>
            </w:r>
          </w:p>
        </w:tc>
        <w:tc>
          <w:tcPr>
            <w:tcW w:w="100" w:type="dxa"/>
            <w:vAlign w:val="bottom"/>
          </w:tcPr>
          <w:p>
            <w:pPr>
              <w:spacing w:after="0"/>
              <w:rPr>
                <w:sz w:val="15"/>
                <w:szCs w:val="15"/>
                <w:color w:val="auto"/>
              </w:rPr>
            </w:pPr>
          </w:p>
        </w:tc>
        <w:tc>
          <w:tcPr>
            <w:tcW w:w="12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220" w:type="dxa"/>
            <w:vAlign w:val="bottom"/>
          </w:tcPr>
          <w:p>
            <w:pPr>
              <w:spacing w:after="0"/>
              <w:rPr>
                <w:sz w:val="15"/>
                <w:szCs w:val="15"/>
                <w:color w:val="auto"/>
              </w:rPr>
            </w:pPr>
          </w:p>
        </w:tc>
        <w:tc>
          <w:tcPr>
            <w:tcW w:w="10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Square</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60" w:type="dxa"/>
            <w:vAlign w:val="bottom"/>
          </w:tcPr>
          <w:p>
            <w:pPr>
              <w:jc w:val="right"/>
              <w:ind w:right="391"/>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200" w:type="dxa"/>
            <w:vAlign w:val="bottom"/>
          </w:tcPr>
          <w:p>
            <w:pPr>
              <w:spacing w:after="0"/>
              <w:rPr>
                <w:sz w:val="15"/>
                <w:szCs w:val="15"/>
                <w:color w:val="auto"/>
              </w:rPr>
            </w:pPr>
          </w:p>
        </w:tc>
        <w:tc>
          <w:tcPr>
            <w:tcW w:w="118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120" w:type="dxa"/>
            <w:vAlign w:val="bottom"/>
          </w:tcPr>
          <w:p>
            <w:pPr>
              <w:spacing w:after="0"/>
              <w:rPr>
                <w:sz w:val="15"/>
                <w:szCs w:val="15"/>
                <w:color w:val="auto"/>
              </w:rPr>
            </w:pPr>
          </w:p>
        </w:tc>
        <w:tc>
          <w:tcPr>
            <w:tcW w:w="800" w:type="dxa"/>
            <w:vAlign w:val="bottom"/>
            <w:gridSpan w:val="2"/>
          </w:tcPr>
          <w:p>
            <w:pPr>
              <w:jc w:val="center"/>
              <w:ind w:right="240"/>
              <w:spacing w:after="0" w:line="175" w:lineRule="exact"/>
              <w:rPr>
                <w:sz w:val="20"/>
                <w:szCs w:val="20"/>
                <w:color w:val="auto"/>
              </w:rPr>
            </w:pPr>
            <w:r>
              <w:rPr>
                <w:rFonts w:ascii="Times New Roman" w:cs="Times New Roman" w:eastAsia="Times New Roman" w:hAnsi="Times New Roman"/>
                <w:sz w:val="16"/>
                <w:szCs w:val="16"/>
                <w:b w:val="1"/>
                <w:bCs w:val="1"/>
                <w:color w:val="auto"/>
                <w:w w:val="98"/>
              </w:rPr>
              <w:t>Square</w:t>
            </w:r>
          </w:p>
        </w:tc>
      </w:tr>
      <w:tr>
        <w:trPr>
          <w:trHeight w:val="246"/>
        </w:trPr>
        <w:tc>
          <w:tcPr>
            <w:tcW w:w="2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Property Name</w:t>
            </w:r>
          </w:p>
        </w:tc>
        <w:tc>
          <w:tcPr>
            <w:tcW w:w="100" w:type="dxa"/>
            <w:vAlign w:val="bottom"/>
          </w:tcPr>
          <w:p>
            <w:pPr>
              <w:spacing w:after="0"/>
              <w:rPr>
                <w:sz w:val="21"/>
                <w:szCs w:val="21"/>
                <w:color w:val="auto"/>
              </w:rPr>
            </w:pPr>
          </w:p>
        </w:tc>
        <w:tc>
          <w:tcPr>
            <w:tcW w:w="18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20" w:type="dxa"/>
            <w:vAlign w:val="bottom"/>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0"/>
              </w:rPr>
              <w:t xml:space="preserve">Type </w:t>
            </w:r>
            <w:r>
              <w:rPr>
                <w:rFonts w:ascii="Times New Roman" w:cs="Times New Roman" w:eastAsia="Times New Roman" w:hAnsi="Times New Roman"/>
                <w:sz w:val="21"/>
                <w:szCs w:val="21"/>
                <w:b w:val="1"/>
                <w:bCs w:val="1"/>
                <w:color w:val="auto"/>
                <w:w w:val="90"/>
                <w:vertAlign w:val="superscript"/>
              </w:rPr>
              <w:t>(1)</w:t>
            </w:r>
          </w:p>
        </w:tc>
        <w:tc>
          <w:tcPr>
            <w:tcW w:w="100" w:type="dxa"/>
            <w:vAlign w:val="bottom"/>
          </w:tcPr>
          <w:p>
            <w:pPr>
              <w:spacing w:after="0"/>
              <w:rPr>
                <w:sz w:val="21"/>
                <w:szCs w:val="21"/>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Year </w:t>
            </w:r>
            <w:r>
              <w:rPr>
                <w:rFonts w:ascii="Times New Roman" w:cs="Times New Roman" w:eastAsia="Times New Roman" w:hAnsi="Times New Roman"/>
                <w:sz w:val="21"/>
                <w:szCs w:val="21"/>
                <w:b w:val="1"/>
                <w:bCs w:val="1"/>
                <w:color w:val="auto"/>
                <w:w w:val="96"/>
                <w:vertAlign w:val="superscript"/>
              </w:rPr>
              <w:t>(2)</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Feet</w:t>
            </w:r>
          </w:p>
        </w:tc>
        <w:tc>
          <w:tcPr>
            <w:tcW w:w="2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0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6"/>
                <w:szCs w:val="16"/>
                <w:b w:val="1"/>
                <w:bCs w:val="1"/>
                <w:color w:val="auto"/>
              </w:rPr>
              <w:t>Foot</w:t>
            </w:r>
          </w:p>
        </w:tc>
        <w:tc>
          <w:tcPr>
            <w:tcW w:w="100" w:type="dxa"/>
            <w:vAlign w:val="bottom"/>
          </w:tcPr>
          <w:p>
            <w:pPr>
              <w:spacing w:after="0"/>
              <w:rPr>
                <w:sz w:val="21"/>
                <w:szCs w:val="21"/>
                <w:color w:val="auto"/>
              </w:rPr>
            </w:pPr>
          </w:p>
        </w:tc>
      </w:tr>
      <w:tr>
        <w:trPr>
          <w:trHeight w:val="209"/>
        </w:trPr>
        <w:tc>
          <w:tcPr>
            <w:tcW w:w="48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Wholly Owned U.S. Government Leased Properties (Cont.)</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JUD - South Bend</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South Bend, IN</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C</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30,119</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831,012</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27.59</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ICE - Louisville</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Louisville, KY</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17,420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772,144</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44.33</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DEA - San Diego</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 Diego, CA</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16,100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565,018</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DEA - Bakersfield</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Bakersfield, CA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497,530</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50.77</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SSA - San Diego</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 Diego, CA</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10,059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458,846</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w:t>
            </w:r>
          </w:p>
        </w:tc>
        <w:tc>
          <w:tcPr>
            <w:tcW w:w="100" w:type="dxa"/>
            <w:vAlign w:val="bottom"/>
            <w:shd w:val="clear" w:color="auto" w:fill="CFF0FC"/>
          </w:tcPr>
          <w:p>
            <w:pPr>
              <w:spacing w:after="0"/>
              <w:rPr>
                <w:sz w:val="18"/>
                <w:szCs w:val="18"/>
                <w:color w:val="auto"/>
              </w:rPr>
            </w:pPr>
          </w:p>
        </w:tc>
      </w:tr>
      <w:tr>
        <w:trPr>
          <w:trHeight w:val="20"/>
        </w:trPr>
        <w:tc>
          <w:tcPr>
            <w:tcW w:w="2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8,054,450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292,506,522</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74.3%</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36.32</w:t>
            </w:r>
          </w:p>
        </w:tc>
        <w:tc>
          <w:tcPr>
            <w:tcW w:w="100" w:type="dxa"/>
            <w:vAlign w:val="bottom"/>
          </w:tcPr>
          <w:p>
            <w:pPr>
              <w:spacing w:after="0"/>
              <w:rPr>
                <w:sz w:val="18"/>
                <w:szCs w:val="18"/>
                <w:color w:val="auto"/>
              </w:rPr>
            </w:pPr>
          </w:p>
        </w:tc>
      </w:tr>
      <w:tr>
        <w:trPr>
          <w:trHeight w:val="210"/>
        </w:trPr>
        <w:tc>
          <w:tcPr>
            <w:tcW w:w="2320" w:type="dxa"/>
            <w:vAlign w:val="bottom"/>
            <w:gridSpan w:val="2"/>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Wholly Owned State and Local Government Property</w:t>
            </w: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DC - Capitol Plaza </w:t>
            </w:r>
            <w:r>
              <w:rPr>
                <w:rFonts w:ascii="Times New Roman" w:cs="Times New Roman" w:eastAsia="Times New Roman" w:hAnsi="Times New Roman"/>
                <w:sz w:val="24"/>
                <w:szCs w:val="24"/>
                <w:color w:val="auto"/>
                <w:vertAlign w:val="superscript"/>
              </w:rPr>
              <w:t>(9)</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Washington, DC</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2026 - 2038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284,688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18,123,285</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63.66</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Wake County III - Cary </w:t>
            </w:r>
            <w:r>
              <w:rPr>
                <w:rFonts w:ascii="Times New Roman" w:cs="Times New Roman" w:eastAsia="Times New Roman" w:hAnsi="Times New Roman"/>
                <w:sz w:val="24"/>
                <w:szCs w:val="24"/>
                <w:color w:val="auto"/>
                <w:vertAlign w:val="superscript"/>
              </w:rPr>
              <w:t>(10)</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Cary, NC</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2027 / 2034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113,722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3,500,694</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30.78</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 - Anaheim</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Anaheim, CA</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2033 / 2034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95,273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3,364,379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35.31</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SVA - Glen Allen I</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Glen Allen, VA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3,113,404</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Wake County II - Cary</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Cary, NC</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98,340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2,967,871</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30.18</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NM - Albuquerque</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Albuquerque, NM</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32,534</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2,344,699</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72.07</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Wake County I - Cary</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Cary, NC</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75,401</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2,226,569</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29.53</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SVA - Glen Allen II</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Glen Allen, VA</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46,147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1,089,563</w:t>
            </w:r>
          </w:p>
        </w:tc>
        <w:tc>
          <w:tcPr>
            <w:tcW w:w="2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Pr>
          <w:p>
            <w:pPr>
              <w:spacing w:after="0"/>
              <w:rPr>
                <w:sz w:val="18"/>
                <w:szCs w:val="18"/>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873,605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36,730,464</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100" w:type="dxa"/>
            <w:vAlign w:val="bottom"/>
            <w:shd w:val="clear" w:color="auto" w:fill="CFF0FC"/>
          </w:tcPr>
          <w:p>
            <w:pPr>
              <w:spacing w:after="0"/>
              <w:rPr>
                <w:sz w:val="18"/>
                <w:szCs w:val="18"/>
                <w:color w:val="auto"/>
              </w:rPr>
            </w:pPr>
          </w:p>
        </w:tc>
      </w:tr>
      <w:tr>
        <w:trPr>
          <w:trHeight w:val="209"/>
        </w:trPr>
        <w:tc>
          <w:tcPr>
            <w:tcW w:w="2320" w:type="dxa"/>
            <w:vAlign w:val="bottom"/>
            <w:tcBorders>
              <w:top w:val="single" w:sz="8" w:color="CFF0FC"/>
            </w:tcBorders>
            <w:gridSpan w:val="2"/>
          </w:tcPr>
          <w:p>
            <w:pPr>
              <w:spacing w:after="0"/>
              <w:rPr>
                <w:sz w:val="18"/>
                <w:szCs w:val="18"/>
                <w:color w:val="auto"/>
              </w:rPr>
            </w:pPr>
          </w:p>
        </w:tc>
        <w:tc>
          <w:tcPr>
            <w:tcW w:w="18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Wholly Owned Privately Leased Property</w:t>
            </w: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York Space Systems -</w:t>
            </w: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138,125</w:t>
            </w:r>
          </w:p>
        </w:tc>
        <w:tc>
          <w:tcPr>
            <w:tcW w:w="3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5,012,522</w:t>
            </w:r>
          </w:p>
        </w:tc>
        <w:tc>
          <w:tcPr>
            <w:tcW w:w="138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36.29</w:t>
            </w:r>
          </w:p>
        </w:tc>
        <w:tc>
          <w:tcPr>
            <w:tcW w:w="100" w:type="dxa"/>
            <w:vAlign w:val="bottom"/>
          </w:tcPr>
          <w:p>
            <w:pPr>
              <w:spacing w:after="0"/>
              <w:rPr>
                <w:sz w:val="17"/>
                <w:szCs w:val="17"/>
                <w:color w:val="auto"/>
              </w:rPr>
            </w:pPr>
          </w:p>
        </w:tc>
      </w:tr>
      <w:tr>
        <w:trPr>
          <w:trHeight w:val="234"/>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Greenwood Village</w:t>
            </w:r>
          </w:p>
        </w:tc>
        <w:tc>
          <w:tcPr>
            <w:tcW w:w="100" w:type="dxa"/>
            <w:vAlign w:val="bottom"/>
          </w:tcPr>
          <w:p>
            <w:pPr>
              <w:spacing w:after="0"/>
              <w:rPr>
                <w:sz w:val="20"/>
                <w:szCs w:val="20"/>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Greenwood Village, CO</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2031</w:t>
            </w:r>
          </w:p>
        </w:tc>
        <w:tc>
          <w:tcPr>
            <w:tcW w:w="2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222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SVA - Glen Allen III </w:t>
            </w:r>
            <w:r>
              <w:rPr>
                <w:rFonts w:ascii="Times New Roman" w:cs="Times New Roman" w:eastAsia="Times New Roman" w:hAnsi="Times New Roman"/>
                <w:sz w:val="24"/>
                <w:szCs w:val="24"/>
                <w:color w:val="auto"/>
                <w:vertAlign w:val="superscript"/>
              </w:rPr>
              <w:t>(11)</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Glen Allen, VA</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2027 - 2031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124,066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2,774,090</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shd w:val="clear" w:color="auto" w:fill="CFF0FC"/>
          </w:tcPr>
          <w:p>
            <w:pPr>
              <w:spacing w:after="0"/>
              <w:rPr>
                <w:sz w:val="18"/>
                <w:szCs w:val="18"/>
                <w:color w:val="auto"/>
              </w:rPr>
            </w:pPr>
          </w:p>
        </w:tc>
      </w:tr>
      <w:tr>
        <w:trPr>
          <w:trHeight w:val="216"/>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Northrop Grumman - Dayton</w:t>
            </w:r>
          </w:p>
        </w:tc>
        <w:tc>
          <w:tcPr>
            <w:tcW w:w="100" w:type="dxa"/>
            <w:vAlign w:val="bottom"/>
          </w:tcPr>
          <w:p>
            <w:pPr>
              <w:spacing w:after="0"/>
              <w:rPr>
                <w:sz w:val="18"/>
                <w:szCs w:val="18"/>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Beavercreek, OH</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99,246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2,629,161</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w:t>
            </w:r>
          </w:p>
        </w:tc>
        <w:tc>
          <w:tcPr>
            <w:tcW w:w="100" w:type="dxa"/>
            <w:vAlign w:val="bottom"/>
          </w:tcPr>
          <w:p>
            <w:pPr>
              <w:spacing w:after="0"/>
              <w:rPr>
                <w:sz w:val="18"/>
                <w:szCs w:val="18"/>
                <w:color w:val="auto"/>
              </w:rPr>
            </w:pPr>
          </w:p>
        </w:tc>
      </w:tr>
      <w:tr>
        <w:trPr>
          <w:trHeight w:val="216"/>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Northrop Grumman - Aurora</w:t>
            </w:r>
          </w:p>
        </w:tc>
        <w:tc>
          <w:tcPr>
            <w:tcW w:w="100" w:type="dxa"/>
            <w:vAlign w:val="bottom"/>
            <w:shd w:val="clear" w:color="auto" w:fill="CFF0FC"/>
          </w:tcPr>
          <w:p>
            <w:pPr>
              <w:spacing w:after="0"/>
              <w:rPr>
                <w:sz w:val="18"/>
                <w:szCs w:val="18"/>
                <w:color w:val="auto"/>
              </w:rPr>
            </w:pPr>
          </w:p>
        </w:tc>
        <w:tc>
          <w:tcPr>
            <w:tcW w:w="1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Aurora, CO</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SF</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104,136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2,368,386</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22.74</w:t>
            </w:r>
          </w:p>
        </w:tc>
        <w:tc>
          <w:tcPr>
            <w:tcW w:w="100" w:type="dxa"/>
            <w:vAlign w:val="bottom"/>
            <w:shd w:val="clear" w:color="auto" w:fill="CFF0FC"/>
          </w:tcPr>
          <w:p>
            <w:pPr>
              <w:spacing w:after="0"/>
              <w:rPr>
                <w:sz w:val="18"/>
                <w:szCs w:val="18"/>
                <w:color w:val="auto"/>
              </w:rPr>
            </w:pPr>
          </w:p>
        </w:tc>
      </w:tr>
      <w:tr>
        <w:trPr>
          <w:trHeight w:val="198"/>
        </w:trPr>
        <w:tc>
          <w:tcPr>
            <w:tcW w:w="2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501 East Hunter Street -</w:t>
            </w:r>
          </w:p>
        </w:tc>
        <w:tc>
          <w:tcPr>
            <w:tcW w:w="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70,078</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411,207</w:t>
            </w:r>
          </w:p>
        </w:tc>
        <w:tc>
          <w:tcPr>
            <w:tcW w:w="1380" w:type="dxa"/>
            <w:vAlign w:val="bottom"/>
            <w:gridSpan w:val="3"/>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7"/>
                <w:szCs w:val="17"/>
                <w:color w:val="auto"/>
              </w:rPr>
            </w:pPr>
          </w:p>
        </w:tc>
        <w:tc>
          <w:tcPr>
            <w:tcW w:w="7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5.87</w:t>
            </w:r>
          </w:p>
        </w:tc>
        <w:tc>
          <w:tcPr>
            <w:tcW w:w="100" w:type="dxa"/>
            <w:vAlign w:val="bottom"/>
          </w:tcPr>
          <w:p>
            <w:pPr>
              <w:spacing w:after="0"/>
              <w:rPr>
                <w:sz w:val="17"/>
                <w:szCs w:val="17"/>
                <w:color w:val="auto"/>
              </w:rPr>
            </w:pPr>
          </w:p>
        </w:tc>
      </w:tr>
      <w:tr>
        <w:trPr>
          <w:trHeight w:val="221"/>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Lummus Corporation</w:t>
            </w:r>
          </w:p>
        </w:tc>
        <w:tc>
          <w:tcPr>
            <w:tcW w:w="100" w:type="dxa"/>
            <w:vAlign w:val="bottom"/>
          </w:tcPr>
          <w:p>
            <w:pPr>
              <w:spacing w:after="0"/>
              <w:rPr>
                <w:sz w:val="19"/>
                <w:szCs w:val="19"/>
                <w:color w:val="auto"/>
              </w:rPr>
            </w:pP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Lubbock, TX</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2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Subtotal</w:t>
            </w:r>
          </w:p>
        </w:tc>
        <w:tc>
          <w:tcPr>
            <w:tcW w:w="100" w:type="dxa"/>
            <w:vAlign w:val="bottom"/>
            <w:shd w:val="clear" w:color="auto" w:fill="CFF0FC"/>
          </w:tcPr>
          <w:p>
            <w:pPr>
              <w:spacing w:after="0"/>
              <w:rPr>
                <w:sz w:val="18"/>
                <w:szCs w:val="18"/>
                <w:color w:val="auto"/>
              </w:rPr>
            </w:pPr>
          </w:p>
        </w:tc>
        <w:tc>
          <w:tcPr>
            <w:tcW w:w="18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535,651</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13,195,366</w:t>
            </w:r>
          </w:p>
        </w:tc>
        <w:tc>
          <w:tcPr>
            <w:tcW w:w="13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00" w:type="dxa"/>
            <w:vAlign w:val="bottom"/>
            <w:shd w:val="clear" w:color="auto" w:fill="CFF0FC"/>
          </w:tcPr>
          <w:p>
            <w:pPr>
              <w:spacing w:after="0"/>
              <w:rPr>
                <w:sz w:val="18"/>
                <w:szCs w:val="18"/>
                <w:color w:val="auto"/>
              </w:rPr>
            </w:pPr>
          </w:p>
        </w:tc>
      </w:tr>
      <w:tr>
        <w:trPr>
          <w:trHeight w:val="210"/>
        </w:trPr>
        <w:tc>
          <w:tcPr>
            <w:tcW w:w="2320" w:type="dxa"/>
            <w:vAlign w:val="bottom"/>
            <w:tcBorders>
              <w:top w:val="single" w:sz="8" w:color="CFF0FC"/>
            </w:tcBorders>
            <w:gridSpan w:val="2"/>
          </w:tcPr>
          <w:p>
            <w:pPr>
              <w:spacing w:after="0"/>
              <w:rPr>
                <w:sz w:val="18"/>
                <w:szCs w:val="18"/>
                <w:color w:val="auto"/>
              </w:rPr>
            </w:pPr>
          </w:p>
        </w:tc>
        <w:tc>
          <w:tcPr>
            <w:tcW w:w="18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60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200" w:type="dxa"/>
            <w:vAlign w:val="bottom"/>
            <w:tcBorders>
              <w:top w:val="single" w:sz="8" w:color="CFF0FC"/>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90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30"/>
        </w:trPr>
        <w:tc>
          <w:tcPr>
            <w:tcW w:w="4240" w:type="dxa"/>
            <w:vAlign w:val="bottom"/>
            <w:gridSpan w:val="4"/>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Wholly Owned Properties Total / Weighted Average</w:t>
            </w: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9,463,706</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342,432,352</w:t>
            </w:r>
          </w:p>
        </w:tc>
        <w:tc>
          <w:tcPr>
            <w:tcW w:w="2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100" w:type="dxa"/>
            <w:vAlign w:val="bottom"/>
            <w:shd w:val="clear" w:color="auto" w:fill="CFF0FC"/>
          </w:tcPr>
          <w:p>
            <w:pPr>
              <w:spacing w:after="0"/>
              <w:rPr>
                <w:sz w:val="19"/>
                <w:szCs w:val="19"/>
                <w:color w:val="auto"/>
              </w:rPr>
            </w:pPr>
          </w:p>
        </w:tc>
      </w:tr>
      <w:tr>
        <w:trPr>
          <w:trHeight w:val="20"/>
        </w:trPr>
        <w:tc>
          <w:tcPr>
            <w:tcW w:w="2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-3368040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-3368040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-3368040</wp:posOffset>
            </wp:positionV>
            <wp:extent cx="11176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-3368040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-1696720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-1696720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-1696720</wp:posOffset>
            </wp:positionV>
            <wp:extent cx="11176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-1696720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-316865</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-316865</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-316865</wp:posOffset>
            </wp:positionV>
            <wp:extent cx="11176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-24765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-7620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1117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1117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Annualize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0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Income</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of Total</w:t>
            </w:r>
          </w:p>
        </w:tc>
        <w:tc>
          <w:tcPr>
            <w:tcW w:w="100" w:type="dxa"/>
            <w:vAlign w:val="bottom"/>
          </w:tcPr>
          <w:p>
            <w:pPr>
              <w:spacing w:after="0"/>
              <w:rPr>
                <w:sz w:val="17"/>
                <w:szCs w:val="17"/>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per</w:t>
            </w:r>
          </w:p>
        </w:tc>
      </w:tr>
      <w:tr>
        <w:trPr>
          <w:trHeight w:val="203"/>
        </w:trPr>
        <w:tc>
          <w:tcPr>
            <w:tcW w:w="2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Propert</w:t>
            </w:r>
          </w:p>
        </w:tc>
        <w:tc>
          <w:tcPr>
            <w:tcW w:w="1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Tenant Lease</w:t>
            </w:r>
          </w:p>
        </w:tc>
        <w:tc>
          <w:tcPr>
            <w:tcW w:w="22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Leased</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Annualized</w:t>
            </w:r>
          </w:p>
        </w:tc>
        <w:tc>
          <w:tcPr>
            <w:tcW w:w="220" w:type="dxa"/>
            <w:vAlign w:val="bottom"/>
          </w:tcPr>
          <w:p>
            <w:pPr>
              <w:spacing w:after="0"/>
              <w:rPr>
                <w:sz w:val="17"/>
                <w:szCs w:val="17"/>
                <w:color w:val="auto"/>
              </w:rPr>
            </w:pPr>
          </w:p>
        </w:tc>
        <w:tc>
          <w:tcPr>
            <w:tcW w:w="11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Annualized</w:t>
            </w:r>
          </w:p>
        </w:tc>
        <w:tc>
          <w:tcPr>
            <w:tcW w:w="100" w:type="dxa"/>
            <w:vAlign w:val="bottom"/>
          </w:tcPr>
          <w:p>
            <w:pPr>
              <w:spacing w:after="0"/>
              <w:rPr>
                <w:sz w:val="17"/>
                <w:szCs w:val="17"/>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Leased</w:t>
            </w:r>
          </w:p>
        </w:tc>
      </w:tr>
      <w:tr>
        <w:trPr>
          <w:trHeight w:val="175"/>
        </w:trPr>
        <w:tc>
          <w:tcPr>
            <w:tcW w:w="2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9"/>
              </w:rPr>
              <w:t>y</w:t>
            </w:r>
          </w:p>
        </w:tc>
        <w:tc>
          <w:tcPr>
            <w:tcW w:w="120" w:type="dxa"/>
            <w:vAlign w:val="bottom"/>
          </w:tcPr>
          <w:p>
            <w:pPr>
              <w:spacing w:after="0"/>
              <w:rPr>
                <w:sz w:val="15"/>
                <w:szCs w:val="15"/>
                <w:color w:val="auto"/>
              </w:rPr>
            </w:pPr>
          </w:p>
        </w:tc>
        <w:tc>
          <w:tcPr>
            <w:tcW w:w="114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rPr>
              <w:t>Expiration</w:t>
            </w:r>
          </w:p>
        </w:tc>
        <w:tc>
          <w:tcPr>
            <w:tcW w:w="220" w:type="dxa"/>
            <w:vAlign w:val="bottom"/>
          </w:tcPr>
          <w:p>
            <w:pPr>
              <w:spacing w:after="0"/>
              <w:rPr>
                <w:sz w:val="15"/>
                <w:szCs w:val="15"/>
                <w:color w:val="auto"/>
              </w:rPr>
            </w:pPr>
          </w:p>
        </w:tc>
        <w:tc>
          <w:tcPr>
            <w:tcW w:w="10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b w:val="1"/>
                <w:bCs w:val="1"/>
                <w:color w:val="auto"/>
                <w:w w:val="98"/>
              </w:rPr>
              <w:t>Square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352"/>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220" w:type="dxa"/>
            <w:vAlign w:val="bottom"/>
          </w:tcPr>
          <w:p>
            <w:pPr>
              <w:spacing w:after="0"/>
              <w:rPr>
                <w:sz w:val="15"/>
                <w:szCs w:val="15"/>
                <w:color w:val="auto"/>
              </w:rPr>
            </w:pPr>
          </w:p>
        </w:tc>
        <w:tc>
          <w:tcPr>
            <w:tcW w:w="1140" w:type="dxa"/>
            <w:vAlign w:val="bottom"/>
            <w:gridSpan w:val="2"/>
          </w:tcPr>
          <w:p>
            <w:pPr>
              <w:jc w:val="center"/>
              <w:ind w:right="300"/>
              <w:spacing w:after="0" w:line="175" w:lineRule="exact"/>
              <w:rPr>
                <w:sz w:val="20"/>
                <w:szCs w:val="20"/>
                <w:color w:val="auto"/>
              </w:rPr>
            </w:pPr>
            <w:r>
              <w:rPr>
                <w:rFonts w:ascii="Times New Roman" w:cs="Times New Roman" w:eastAsia="Times New Roman" w:hAnsi="Times New Roman"/>
                <w:sz w:val="16"/>
                <w:szCs w:val="16"/>
                <w:b w:val="1"/>
                <w:bCs w:val="1"/>
                <w:color w:val="auto"/>
              </w:rPr>
              <w:t>Lease</w:t>
            </w:r>
          </w:p>
        </w:tc>
        <w:tc>
          <w:tcPr>
            <w:tcW w:w="100" w:type="dxa"/>
            <w:vAlign w:val="bottom"/>
          </w:tcPr>
          <w:p>
            <w:pPr>
              <w:spacing w:after="0"/>
              <w:rPr>
                <w:sz w:val="15"/>
                <w:szCs w:val="15"/>
                <w:color w:val="auto"/>
              </w:rPr>
            </w:pPr>
          </w:p>
        </w:tc>
        <w:tc>
          <w:tcPr>
            <w:tcW w:w="800" w:type="dxa"/>
            <w:vAlign w:val="bottom"/>
            <w:gridSpan w:val="2"/>
          </w:tcPr>
          <w:p>
            <w:pPr>
              <w:jc w:val="center"/>
              <w:ind w:right="220"/>
              <w:spacing w:after="0" w:line="175" w:lineRule="exact"/>
              <w:rPr>
                <w:sz w:val="20"/>
                <w:szCs w:val="20"/>
                <w:color w:val="auto"/>
              </w:rPr>
            </w:pPr>
            <w:r>
              <w:rPr>
                <w:rFonts w:ascii="Times New Roman" w:cs="Times New Roman" w:eastAsia="Times New Roman" w:hAnsi="Times New Roman"/>
                <w:sz w:val="16"/>
                <w:szCs w:val="16"/>
                <w:b w:val="1"/>
                <w:bCs w:val="1"/>
                <w:color w:val="auto"/>
              </w:rPr>
              <w:t>Square</w:t>
            </w:r>
          </w:p>
        </w:tc>
      </w:tr>
      <w:tr>
        <w:trPr>
          <w:trHeight w:val="246"/>
        </w:trPr>
        <w:tc>
          <w:tcPr>
            <w:tcW w:w="2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Property Name</w:t>
            </w:r>
          </w:p>
        </w:tc>
        <w:tc>
          <w:tcPr>
            <w:tcW w:w="120" w:type="dxa"/>
            <w:vAlign w:val="bottom"/>
          </w:tcPr>
          <w:p>
            <w:pPr>
              <w:spacing w:after="0"/>
              <w:rPr>
                <w:sz w:val="21"/>
                <w:szCs w:val="21"/>
                <w:color w:val="auto"/>
              </w:rPr>
            </w:pPr>
          </w:p>
        </w:tc>
        <w:tc>
          <w:tcPr>
            <w:tcW w:w="1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Location</w:t>
            </w:r>
          </w:p>
        </w:tc>
        <w:tc>
          <w:tcPr>
            <w:tcW w:w="100" w:type="dxa"/>
            <w:vAlign w:val="bottom"/>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 xml:space="preserve">Type </w:t>
            </w:r>
            <w:r>
              <w:rPr>
                <w:rFonts w:ascii="Times New Roman" w:cs="Times New Roman" w:eastAsia="Times New Roman" w:hAnsi="Times New Roman"/>
                <w:sz w:val="21"/>
                <w:szCs w:val="21"/>
                <w:b w:val="1"/>
                <w:bCs w:val="1"/>
                <w:color w:val="auto"/>
                <w:w w:val="94"/>
                <w:vertAlign w:val="superscript"/>
              </w:rPr>
              <w:t>(1)</w:t>
            </w:r>
          </w:p>
        </w:tc>
        <w:tc>
          <w:tcPr>
            <w:tcW w:w="120" w:type="dxa"/>
            <w:vAlign w:val="bottom"/>
          </w:tcPr>
          <w:p>
            <w:pPr>
              <w:spacing w:after="0"/>
              <w:rPr>
                <w:sz w:val="21"/>
                <w:szCs w:val="21"/>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 xml:space="preserve">Year </w:t>
            </w:r>
            <w:r>
              <w:rPr>
                <w:rFonts w:ascii="Times New Roman" w:cs="Times New Roman" w:eastAsia="Times New Roman" w:hAnsi="Times New Roman"/>
                <w:sz w:val="21"/>
                <w:szCs w:val="21"/>
                <w:b w:val="1"/>
                <w:bCs w:val="1"/>
                <w:color w:val="auto"/>
                <w:w w:val="96"/>
                <w:vertAlign w:val="superscript"/>
              </w:rPr>
              <w:t>(2)</w:t>
            </w:r>
          </w:p>
        </w:tc>
        <w:tc>
          <w:tcPr>
            <w:tcW w:w="220" w:type="dxa"/>
            <w:vAlign w:val="bottom"/>
          </w:tcPr>
          <w:p>
            <w:pPr>
              <w:spacing w:after="0"/>
              <w:rPr>
                <w:sz w:val="21"/>
                <w:szCs w:val="21"/>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Feet</w:t>
            </w:r>
          </w:p>
        </w:tc>
        <w:tc>
          <w:tcPr>
            <w:tcW w:w="2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220" w:type="dxa"/>
            <w:vAlign w:val="bottom"/>
          </w:tcPr>
          <w:p>
            <w:pPr>
              <w:spacing w:after="0"/>
              <w:rPr>
                <w:sz w:val="21"/>
                <w:szCs w:val="2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Income</w:t>
            </w:r>
          </w:p>
        </w:tc>
        <w:tc>
          <w:tcPr>
            <w:tcW w:w="2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6"/>
                <w:szCs w:val="16"/>
                <w:b w:val="1"/>
                <w:bCs w:val="1"/>
                <w:color w:val="auto"/>
              </w:rPr>
              <w:t>Foot</w:t>
            </w:r>
          </w:p>
        </w:tc>
        <w:tc>
          <w:tcPr>
            <w:tcW w:w="100" w:type="dxa"/>
            <w:vAlign w:val="bottom"/>
          </w:tcPr>
          <w:p>
            <w:pPr>
              <w:spacing w:after="0"/>
              <w:rPr>
                <w:sz w:val="21"/>
                <w:szCs w:val="21"/>
                <w:color w:val="auto"/>
              </w:rPr>
            </w:pPr>
          </w:p>
        </w:tc>
      </w:tr>
      <w:tr>
        <w:trPr>
          <w:trHeight w:val="209"/>
        </w:trPr>
        <w:tc>
          <w:tcPr>
            <w:tcW w:w="6260" w:type="dxa"/>
            <w:vAlign w:val="bottom"/>
            <w:gridSpan w:val="7"/>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Unconsolidated Real Estate Venture U.S. Government Leased Properties</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Phoenix </w:t>
            </w:r>
            <w:r>
              <w:rPr>
                <w:rFonts w:ascii="Times New Roman" w:cs="Times New Roman" w:eastAsia="Times New Roman" w:hAnsi="Times New Roman"/>
                <w:sz w:val="24"/>
                <w:szCs w:val="24"/>
                <w:color w:val="auto"/>
                <w:vertAlign w:val="superscript"/>
              </w:rPr>
              <w:t>(12)</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Phoenix, AZ</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257,294</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10,919,455</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42.44</w:t>
            </w:r>
          </w:p>
        </w:tc>
        <w:tc>
          <w:tcPr>
            <w:tcW w:w="100" w:type="dxa"/>
            <w:vAlign w:val="bottom"/>
          </w:tcPr>
          <w:p>
            <w:pPr>
              <w:spacing w:after="0"/>
              <w:rPr>
                <w:sz w:val="18"/>
                <w:szCs w:val="18"/>
                <w:color w:val="auto"/>
              </w:rPr>
            </w:pPr>
          </w:p>
        </w:tc>
      </w:tr>
      <w:tr>
        <w:trPr>
          <w:trHeight w:val="216"/>
        </w:trPr>
        <w:tc>
          <w:tcPr>
            <w:tcW w:w="2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San Antonio </w:t>
            </w:r>
            <w:r>
              <w:rPr>
                <w:rFonts w:ascii="Times New Roman" w:cs="Times New Roman" w:eastAsia="Times New Roman" w:hAnsi="Times New Roman"/>
                <w:sz w:val="24"/>
                <w:szCs w:val="24"/>
                <w:color w:val="auto"/>
                <w:vertAlign w:val="superscript"/>
              </w:rPr>
              <w:t>(12)</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San Antonio, TX</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226,148</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9,233,382</w:t>
            </w:r>
          </w:p>
        </w:tc>
        <w:tc>
          <w:tcPr>
            <w:tcW w:w="1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40.83</w:t>
            </w:r>
          </w:p>
        </w:tc>
        <w:tc>
          <w:tcPr>
            <w:tcW w:w="100" w:type="dxa"/>
            <w:vAlign w:val="bottom"/>
            <w:shd w:val="clear" w:color="auto" w:fill="CFF0FC"/>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Jacksonville </w:t>
            </w:r>
            <w:r>
              <w:rPr>
                <w:rFonts w:ascii="Times New Roman" w:cs="Times New Roman" w:eastAsia="Times New Roman" w:hAnsi="Times New Roman"/>
                <w:sz w:val="24"/>
                <w:szCs w:val="24"/>
                <w:color w:val="auto"/>
                <w:vertAlign w:val="superscript"/>
              </w:rPr>
              <w:t>(12)</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Jacksonville, FL</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193,100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7,634,166</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00" w:type="dxa"/>
            <w:vAlign w:val="bottom"/>
          </w:tcPr>
          <w:p>
            <w:pPr>
              <w:spacing w:after="0"/>
              <w:rPr>
                <w:sz w:val="18"/>
                <w:szCs w:val="18"/>
                <w:color w:val="auto"/>
              </w:rPr>
            </w:pPr>
          </w:p>
        </w:tc>
      </w:tr>
      <w:tr>
        <w:trPr>
          <w:trHeight w:val="216"/>
        </w:trPr>
        <w:tc>
          <w:tcPr>
            <w:tcW w:w="2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Chattanooga </w:t>
            </w:r>
            <w:r>
              <w:rPr>
                <w:rFonts w:ascii="Times New Roman" w:cs="Times New Roman" w:eastAsia="Times New Roman" w:hAnsi="Times New Roman"/>
                <w:sz w:val="24"/>
                <w:szCs w:val="24"/>
                <w:color w:val="auto"/>
                <w:vertAlign w:val="superscript"/>
              </w:rPr>
              <w:t>(12)</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Chattanooga, TN</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2035</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94,566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4,311,698</w:t>
            </w:r>
          </w:p>
        </w:tc>
        <w:tc>
          <w:tcPr>
            <w:tcW w:w="1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45.59</w:t>
            </w:r>
          </w:p>
        </w:tc>
        <w:tc>
          <w:tcPr>
            <w:tcW w:w="100" w:type="dxa"/>
            <w:vAlign w:val="bottom"/>
            <w:shd w:val="clear" w:color="auto" w:fill="CFF0FC"/>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Lubbock </w:t>
            </w:r>
            <w:r>
              <w:rPr>
                <w:rFonts w:ascii="Times New Roman" w:cs="Times New Roman" w:eastAsia="Times New Roman" w:hAnsi="Times New Roman"/>
                <w:sz w:val="24"/>
                <w:szCs w:val="24"/>
                <w:color w:val="auto"/>
                <w:vertAlign w:val="superscript"/>
              </w:rPr>
              <w:t>(12) (13)</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Lubbock, TX</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120,916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4,272,006</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w:t>
            </w:r>
          </w:p>
        </w:tc>
        <w:tc>
          <w:tcPr>
            <w:tcW w:w="100" w:type="dxa"/>
            <w:vAlign w:val="bottom"/>
          </w:tcPr>
          <w:p>
            <w:pPr>
              <w:spacing w:after="0"/>
              <w:rPr>
                <w:sz w:val="18"/>
                <w:szCs w:val="18"/>
                <w:color w:val="auto"/>
              </w:rPr>
            </w:pPr>
          </w:p>
        </w:tc>
      </w:tr>
      <w:tr>
        <w:trPr>
          <w:trHeight w:val="216"/>
        </w:trPr>
        <w:tc>
          <w:tcPr>
            <w:tcW w:w="2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Marietta </w:t>
            </w:r>
            <w:r>
              <w:rPr>
                <w:rFonts w:ascii="Times New Roman" w:cs="Times New Roman" w:eastAsia="Times New Roman" w:hAnsi="Times New Roman"/>
                <w:sz w:val="24"/>
                <w:szCs w:val="24"/>
                <w:color w:val="auto"/>
                <w:vertAlign w:val="superscript"/>
              </w:rPr>
              <w:t>(12)</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Marietta, GA</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76,882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3,864,206</w:t>
            </w:r>
          </w:p>
        </w:tc>
        <w:tc>
          <w:tcPr>
            <w:tcW w:w="1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50.26</w:t>
            </w:r>
          </w:p>
        </w:tc>
        <w:tc>
          <w:tcPr>
            <w:tcW w:w="100" w:type="dxa"/>
            <w:vAlign w:val="bottom"/>
            <w:shd w:val="clear" w:color="auto" w:fill="CFF0FC"/>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Birmingham </w:t>
            </w:r>
            <w:r>
              <w:rPr>
                <w:rFonts w:ascii="Times New Roman" w:cs="Times New Roman" w:eastAsia="Times New Roman" w:hAnsi="Times New Roman"/>
                <w:sz w:val="24"/>
                <w:szCs w:val="24"/>
                <w:color w:val="auto"/>
                <w:vertAlign w:val="superscript"/>
              </w:rPr>
              <w:t>(12)</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Irondale, AL</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77,128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3,212,592</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18"/>
                <w:szCs w:val="18"/>
                <w:color w:val="auto"/>
              </w:rPr>
            </w:pPr>
          </w:p>
        </w:tc>
      </w:tr>
      <w:tr>
        <w:trPr>
          <w:trHeight w:val="216"/>
        </w:trPr>
        <w:tc>
          <w:tcPr>
            <w:tcW w:w="2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Corpus Christi </w:t>
            </w:r>
            <w:r>
              <w:rPr>
                <w:rFonts w:ascii="Times New Roman" w:cs="Times New Roman" w:eastAsia="Times New Roman" w:hAnsi="Times New Roman"/>
                <w:sz w:val="24"/>
                <w:szCs w:val="24"/>
                <w:color w:val="auto"/>
                <w:vertAlign w:val="superscript"/>
              </w:rPr>
              <w:t>(12)</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Corpus Christi, TX</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69,276</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2,994,312</w:t>
            </w:r>
          </w:p>
        </w:tc>
        <w:tc>
          <w:tcPr>
            <w:tcW w:w="136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43.22</w:t>
            </w:r>
          </w:p>
        </w:tc>
        <w:tc>
          <w:tcPr>
            <w:tcW w:w="100" w:type="dxa"/>
            <w:vAlign w:val="bottom"/>
            <w:shd w:val="clear" w:color="auto" w:fill="CFF0FC"/>
          </w:tcPr>
          <w:p>
            <w:pPr>
              <w:spacing w:after="0"/>
              <w:rPr>
                <w:sz w:val="18"/>
                <w:szCs w:val="18"/>
                <w:color w:val="auto"/>
              </w:rPr>
            </w:pPr>
          </w:p>
        </w:tc>
      </w:tr>
      <w:tr>
        <w:trPr>
          <w:trHeight w:val="216"/>
        </w:trPr>
        <w:tc>
          <w:tcPr>
            <w:tcW w:w="24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Columbus </w:t>
            </w:r>
            <w:r>
              <w:rPr>
                <w:rFonts w:ascii="Times New Roman" w:cs="Times New Roman" w:eastAsia="Times New Roman" w:hAnsi="Times New Roman"/>
                <w:sz w:val="24"/>
                <w:szCs w:val="24"/>
                <w:color w:val="auto"/>
                <w:vertAlign w:val="superscript"/>
              </w:rPr>
              <w:t>(12)</w:t>
            </w:r>
          </w:p>
        </w:tc>
        <w:tc>
          <w:tcPr>
            <w:tcW w:w="120" w:type="dxa"/>
            <w:vAlign w:val="bottom"/>
          </w:tcPr>
          <w:p>
            <w:pPr>
              <w:spacing w:after="0"/>
              <w:rPr>
                <w:sz w:val="18"/>
                <w:szCs w:val="18"/>
                <w:color w:val="auto"/>
              </w:rPr>
            </w:pPr>
          </w:p>
        </w:tc>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Columbus, GA</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2042</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67,793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2,954,810</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43.59</w:t>
            </w:r>
          </w:p>
        </w:tc>
        <w:tc>
          <w:tcPr>
            <w:tcW w:w="100" w:type="dxa"/>
            <w:vAlign w:val="bottom"/>
          </w:tcPr>
          <w:p>
            <w:pPr>
              <w:spacing w:after="0"/>
              <w:rPr>
                <w:sz w:val="18"/>
                <w:szCs w:val="18"/>
                <w:color w:val="auto"/>
              </w:rPr>
            </w:pPr>
          </w:p>
        </w:tc>
      </w:tr>
      <w:tr>
        <w:trPr>
          <w:trHeight w:val="216"/>
        </w:trPr>
        <w:tc>
          <w:tcPr>
            <w:tcW w:w="24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VA - Lenexa </w:t>
            </w:r>
            <w:r>
              <w:rPr>
                <w:rFonts w:ascii="Times New Roman" w:cs="Times New Roman" w:eastAsia="Times New Roman" w:hAnsi="Times New Roman"/>
                <w:sz w:val="24"/>
                <w:szCs w:val="24"/>
                <w:color w:val="auto"/>
                <w:vertAlign w:val="superscript"/>
              </w:rPr>
              <w:t>(12)</w:t>
            </w:r>
          </w:p>
        </w:tc>
        <w:tc>
          <w:tcPr>
            <w:tcW w:w="120" w:type="dxa"/>
            <w:vAlign w:val="bottom"/>
            <w:shd w:val="clear" w:color="auto" w:fill="CFF0FC"/>
          </w:tcPr>
          <w:p>
            <w:pPr>
              <w:spacing w:after="0"/>
              <w:rPr>
                <w:sz w:val="18"/>
                <w:szCs w:val="18"/>
                <w:color w:val="auto"/>
              </w:rPr>
            </w:pPr>
          </w:p>
        </w:tc>
        <w:tc>
          <w:tcPr>
            <w:tcW w:w="17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Lenexa, KS</w:t>
            </w:r>
          </w:p>
        </w:tc>
        <w:tc>
          <w:tcPr>
            <w:tcW w:w="100" w:type="dxa"/>
            <w:vAlign w:val="bottom"/>
            <w:shd w:val="clear" w:color="auto" w:fill="CFF0FC"/>
          </w:tcPr>
          <w:p>
            <w:pPr>
              <w:spacing w:after="0"/>
              <w:rPr>
                <w:sz w:val="18"/>
                <w:szCs w:val="18"/>
                <w:color w:val="auto"/>
              </w:rPr>
            </w:pPr>
          </w:p>
        </w:tc>
        <w:tc>
          <w:tcPr>
            <w:tcW w:w="60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95"/>
              </w:rPr>
              <w:t>OC</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2041</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31,062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1,336,514</w:t>
            </w:r>
          </w:p>
        </w:tc>
        <w:tc>
          <w:tcPr>
            <w:tcW w:w="22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43.03</w:t>
            </w:r>
          </w:p>
        </w:tc>
        <w:tc>
          <w:tcPr>
            <w:tcW w:w="100" w:type="dxa"/>
            <w:vAlign w:val="bottom"/>
            <w:shd w:val="clear" w:color="auto" w:fill="CFF0FC"/>
          </w:tcPr>
          <w:p>
            <w:pPr>
              <w:spacing w:after="0"/>
              <w:rPr>
                <w:sz w:val="18"/>
                <w:szCs w:val="18"/>
                <w:color w:val="auto"/>
              </w:rPr>
            </w:pPr>
          </w:p>
        </w:tc>
      </w:tr>
      <w:tr>
        <w:trPr>
          <w:trHeight w:val="20"/>
        </w:trPr>
        <w:tc>
          <w:tcPr>
            <w:tcW w:w="24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7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6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1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Subtotal</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1,214,165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50,733,141</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00" w:type="dxa"/>
            <w:vAlign w:val="bottom"/>
          </w:tcPr>
          <w:p>
            <w:pPr>
              <w:spacing w:after="0"/>
              <w:rPr>
                <w:sz w:val="18"/>
                <w:szCs w:val="18"/>
                <w:color w:val="auto"/>
              </w:rPr>
            </w:pPr>
          </w:p>
        </w:tc>
      </w:tr>
      <w:tr>
        <w:trPr>
          <w:trHeight w:val="210"/>
        </w:trPr>
        <w:tc>
          <w:tcPr>
            <w:tcW w:w="24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7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6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top w:val="single" w:sz="8" w:color="auto"/>
              <w:bottom w:val="single" w:sz="8" w:color="auto"/>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spacing w:after="0"/>
              <w:rPr>
                <w:sz w:val="18"/>
                <w:szCs w:val="18"/>
                <w:color w:val="auto"/>
              </w:rPr>
            </w:pPr>
          </w:p>
        </w:tc>
        <w:tc>
          <w:tcPr>
            <w:tcW w:w="700" w:type="dxa"/>
            <w:vAlign w:val="bottom"/>
            <w:tcBorders>
              <w:top w:val="single" w:sz="8" w:color="auto"/>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2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 Weighted Average</w:t>
            </w:r>
          </w:p>
        </w:tc>
        <w:tc>
          <w:tcPr>
            <w:tcW w:w="1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10,677,871</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393,165,493</w:t>
            </w:r>
          </w:p>
        </w:tc>
        <w:tc>
          <w:tcPr>
            <w:tcW w:w="13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r>
              <w:rPr>
                <w:rFonts w:ascii="Times New Roman" w:cs="Times New Roman" w:eastAsia="Times New Roman" w:hAnsi="Times New Roman"/>
                <w:sz w:val="18"/>
                <w:szCs w:val="18"/>
                <w:u w:val="single" w:color="auto"/>
                <w:color w:val="auto"/>
              </w:rPr>
              <w:t>82</w:t>
            </w:r>
          </w:p>
        </w:tc>
        <w:tc>
          <w:tcPr>
            <w:tcW w:w="100" w:type="dxa"/>
            <w:vAlign w:val="bottom"/>
          </w:tcPr>
          <w:p>
            <w:pPr>
              <w:spacing w:after="0"/>
              <w:rPr>
                <w:sz w:val="18"/>
                <w:szCs w:val="18"/>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580" w:type="dxa"/>
            <w:vAlign w:val="bottom"/>
            <w:tcBorders>
              <w:bottom w:val="single" w:sz="8" w:color="CFF0FC"/>
            </w:tcBorders>
            <w:gridSpan w:val="2"/>
            <w:shd w:val="clear" w:color="auto" w:fill="CFF0FC"/>
          </w:tcPr>
          <w:p>
            <w:pPr>
              <w:spacing w:after="0"/>
              <w:rPr>
                <w:sz w:val="17"/>
                <w:szCs w:val="17"/>
                <w:color w:val="auto"/>
              </w:rPr>
            </w:pPr>
          </w:p>
        </w:tc>
        <w:tc>
          <w:tcPr>
            <w:tcW w:w="172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14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70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r>
      <w:tr>
        <w:trPr>
          <w:trHeight w:val="209"/>
        </w:trPr>
        <w:tc>
          <w:tcPr>
            <w:tcW w:w="43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 Weighted Average at Easterly's Share</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10,107,212</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369,320,915</w:t>
            </w: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r>
              <w:rPr>
                <w:rFonts w:ascii="Times New Roman" w:cs="Times New Roman" w:eastAsia="Times New Roman" w:hAnsi="Times New Roman"/>
                <w:sz w:val="18"/>
                <w:szCs w:val="18"/>
                <w:u w:val="single" w:color="auto"/>
                <w:color w:val="auto"/>
              </w:rPr>
              <w:t>54</w:t>
            </w:r>
          </w:p>
        </w:tc>
        <w:tc>
          <w:tcPr>
            <w:tcW w:w="100" w:type="dxa"/>
            <w:vAlign w:val="bottom"/>
          </w:tcPr>
          <w:p>
            <w:pPr>
              <w:spacing w:after="0"/>
              <w:rPr>
                <w:sz w:val="18"/>
                <w:szCs w:val="18"/>
                <w:color w:val="auto"/>
              </w:rPr>
            </w:pPr>
          </w:p>
        </w:tc>
      </w:tr>
      <w:tr>
        <w:trPr>
          <w:trHeight w:val="20"/>
        </w:trPr>
        <w:tc>
          <w:tcPr>
            <w:tcW w:w="2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-770890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-770890</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-770890</wp:posOffset>
            </wp:positionV>
            <wp:extent cx="1111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-479425</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-479425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6391275</wp:posOffset>
            </wp:positionH>
            <wp:positionV relativeFrom="paragraph">
              <wp:posOffset>-479425</wp:posOffset>
            </wp:positionV>
            <wp:extent cx="11112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-170815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-170815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OC=Outpatient Clinic; SF=Specialized Facility; O=Office; C=Courthouse; L=Laboratory; W=Warehouse.</w:t>
      </w:r>
    </w:p>
    <w:p>
      <w:pPr>
        <w:spacing w:after="0" w:line="2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of lease expiration does not include renewal options.</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tenants occupy 101,627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tenants occupy 12,259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 government tenant occupies 14,274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tenants occupy 54,677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tenant occupies 17,373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tenant occupies 11,402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Private tenants occupy 20,299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private tenant occupies 37,858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private tenants occupy 124,066 leased square feet.</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own 53.0% of the property through an unconsolidated joint venture.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is subject to a ground lease where the unconsolidated joint venture is the lessee.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8" w:right="339" w:bottom="1440" w:gutter="0" w:footer="0" w:header="0"/>
        </w:sectPr>
      </w:pPr>
    </w:p>
    <w:bookmarkStart w:id="32" w:name="page33"/>
    <w:bookmarkEnd w:id="32"/>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Certain of our leases are currently in the “soft-term” period of the lease, meaning that the U.S. Government tenant agency has the right to terminate the lease prior to its stated lease end date. We believe that, from the U.S. Government’s perspective, leases with such provisions are helpful for budgetary purposes. While some of our leases are contractually subject to early termination, we do not believe that our tenant agencies are likely to terminate these leases early given the build-to-suit features at the properties subject to the leases, the weighted average age of these properties based on the date the property was built or renovated-to-suit, where applicable (approximately 20.7 years as of March 31, 2026), the mission-critical focus of the properties subject to the leases and the current level of operations at such properties.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schedule of lease expirations for leases in place (including for wholly owned properties and properties held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JV) as of March 31, 2026: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Percentage of</w:t>
            </w: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Percentage</w:t>
            </w:r>
          </w:p>
        </w:tc>
        <w:tc>
          <w:tcPr>
            <w:tcW w:w="100" w:type="dxa"/>
            <w:vAlign w:val="bottom"/>
          </w:tcPr>
          <w:p>
            <w:pPr>
              <w:spacing w:after="0"/>
              <w:rPr>
                <w:sz w:val="13"/>
                <w:szCs w:val="13"/>
                <w:color w:val="auto"/>
              </w:rPr>
            </w:pPr>
          </w:p>
        </w:tc>
        <w:tc>
          <w:tcPr>
            <w:tcW w:w="11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3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Leased Square</w:t>
            </w:r>
          </w:p>
        </w:tc>
        <w:tc>
          <w:tcPr>
            <w:tcW w:w="14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Annualized</w:t>
            </w: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of Total</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Lease Income</w:t>
            </w:r>
          </w:p>
        </w:tc>
        <w:tc>
          <w:tcPr>
            <w:tcW w:w="0" w:type="dxa"/>
            <w:vAlign w:val="bottom"/>
          </w:tcPr>
          <w:p>
            <w:pPr>
              <w:spacing w:after="0"/>
              <w:rPr>
                <w:sz w:val="1"/>
                <w:szCs w:val="1"/>
                <w:color w:val="auto"/>
              </w:rPr>
            </w:pPr>
          </w:p>
        </w:tc>
      </w:tr>
      <w:tr>
        <w:trPr>
          <w:trHeight w:val="148"/>
        </w:trPr>
        <w:tc>
          <w:tcPr>
            <w:tcW w:w="3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Portfolio Leased</w:t>
            </w:r>
          </w:p>
        </w:tc>
        <w:tc>
          <w:tcPr>
            <w:tcW w:w="1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Annualized</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 Leased</w:t>
            </w:r>
          </w:p>
        </w:tc>
        <w:tc>
          <w:tcPr>
            <w:tcW w:w="0" w:type="dxa"/>
            <w:vAlign w:val="bottom"/>
          </w:tcPr>
          <w:p>
            <w:pPr>
              <w:spacing w:after="0"/>
              <w:rPr>
                <w:sz w:val="1"/>
                <w:szCs w:val="1"/>
                <w:color w:val="auto"/>
              </w:rPr>
            </w:pPr>
          </w:p>
        </w:tc>
      </w:tr>
      <w:tr>
        <w:trPr>
          <w:trHeight w:val="148"/>
        </w:trPr>
        <w:tc>
          <w:tcPr>
            <w:tcW w:w="31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 xml:space="preserve">Year of Lease Expiration </w:t>
            </w:r>
            <w:r>
              <w:rPr>
                <w:rFonts w:ascii="Times New Roman" w:cs="Times New Roman" w:eastAsia="Times New Roman" w:hAnsi="Times New Roman"/>
                <w:sz w:val="19"/>
                <w:szCs w:val="19"/>
                <w:color w:val="auto"/>
                <w:vertAlign w:val="superscript"/>
              </w:rPr>
              <w:t>(1)</w:t>
            </w: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Leases</w:t>
            </w:r>
          </w:p>
        </w:tc>
        <w:tc>
          <w:tcPr>
            <w:tcW w:w="13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Footage</w:t>
            </w: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Square</w:t>
            </w:r>
          </w:p>
        </w:tc>
        <w:tc>
          <w:tcPr>
            <w:tcW w:w="1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Lease Income</w:t>
            </w:r>
          </w:p>
        </w:tc>
        <w:tc>
          <w:tcPr>
            <w:tcW w:w="144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Lease Income</w:t>
            </w:r>
          </w:p>
        </w:tc>
        <w:tc>
          <w:tcPr>
            <w:tcW w:w="10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Square Foot</w:t>
            </w:r>
          </w:p>
        </w:tc>
        <w:tc>
          <w:tcPr>
            <w:tcW w:w="0" w:type="dxa"/>
            <w:vAlign w:val="bottom"/>
          </w:tcPr>
          <w:p>
            <w:pPr>
              <w:spacing w:after="0"/>
              <w:rPr>
                <w:sz w:val="1"/>
                <w:szCs w:val="1"/>
                <w:color w:val="auto"/>
              </w:rPr>
            </w:pPr>
          </w:p>
        </w:tc>
      </w:tr>
      <w:tr>
        <w:trPr>
          <w:trHeight w:val="173"/>
        </w:trPr>
        <w:tc>
          <w:tcPr>
            <w:tcW w:w="31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00" w:type="dxa"/>
            <w:vAlign w:val="bottom"/>
          </w:tcPr>
          <w:p>
            <w:pPr>
              <w:spacing w:after="0"/>
              <w:rPr>
                <w:sz w:val="15"/>
                <w:szCs w:val="15"/>
                <w:color w:val="auto"/>
              </w:rPr>
            </w:pPr>
          </w:p>
        </w:tc>
        <w:tc>
          <w:tcPr>
            <w:tcW w:w="11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Footage Expiring</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00" w:type="dxa"/>
            <w:vAlign w:val="bottom"/>
          </w:tcPr>
          <w:p>
            <w:pPr>
              <w:spacing w:after="0"/>
              <w:rPr>
                <w:sz w:val="15"/>
                <w:szCs w:val="15"/>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2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Expiring</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344,916</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13,729,244</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12</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572,603</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20,791,493</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906,740</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22,256,040</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24.55</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2029</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757,363</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24,853,554</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32.82</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2030</w:t>
            </w:r>
          </w:p>
        </w:tc>
        <w:tc>
          <w:tcPr>
            <w:tcW w:w="1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95,888</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2,610,150</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27.22</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2031</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533,104</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18,472,816</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34.65</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2032</w:t>
            </w:r>
          </w:p>
        </w:tc>
        <w:tc>
          <w:tcPr>
            <w:tcW w:w="1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712,188</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22,295,921</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31.31</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2033</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10</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566,197</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22,427,093</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39.61</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2034</w:t>
            </w:r>
          </w:p>
        </w:tc>
        <w:tc>
          <w:tcPr>
            <w:tcW w:w="14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635,293</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24,461,298</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38.50</w:t>
            </w:r>
          </w:p>
        </w:tc>
        <w:tc>
          <w:tcPr>
            <w:tcW w:w="0" w:type="dxa"/>
            <w:vAlign w:val="bottom"/>
          </w:tcPr>
          <w:p>
            <w:pPr>
              <w:spacing w:after="0"/>
              <w:rPr>
                <w:sz w:val="1"/>
                <w:szCs w:val="1"/>
                <w:color w:val="auto"/>
              </w:rPr>
            </w:pPr>
          </w:p>
        </w:tc>
      </w:tr>
      <w:tr>
        <w:trPr>
          <w:trHeight w:val="216"/>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2035</w:t>
            </w:r>
          </w:p>
        </w:tc>
        <w:tc>
          <w:tcPr>
            <w:tcW w:w="142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440,450</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17,598,695</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39.96</w:t>
            </w: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56</w:t>
            </w:r>
          </w:p>
        </w:tc>
        <w:tc>
          <w:tcPr>
            <w:tcW w:w="1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5,113,129</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47.9%</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203,669,189</w:t>
            </w:r>
          </w:p>
        </w:tc>
        <w:tc>
          <w:tcPr>
            <w:tcW w:w="14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51.7%</w:t>
            </w:r>
          </w:p>
        </w:tc>
        <w:tc>
          <w:tcPr>
            <w:tcW w:w="1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39.83</w:t>
            </w:r>
          </w:p>
        </w:tc>
        <w:tc>
          <w:tcPr>
            <w:tcW w:w="0" w:type="dxa"/>
            <w:vAlign w:val="bottom"/>
          </w:tcPr>
          <w:p>
            <w:pPr>
              <w:spacing w:after="0"/>
              <w:rPr>
                <w:sz w:val="1"/>
                <w:szCs w:val="1"/>
                <w:color w:val="auto"/>
              </w:rPr>
            </w:pPr>
          </w:p>
        </w:tc>
      </w:tr>
      <w:tr>
        <w:trPr>
          <w:trHeight w:val="20"/>
        </w:trPr>
        <w:tc>
          <w:tcPr>
            <w:tcW w:w="3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160" w:type="dxa"/>
            <w:vAlign w:val="bottom"/>
          </w:tcPr>
          <w:p>
            <w:pPr>
              <w:spacing w:after="0"/>
              <w:rPr>
                <w:sz w:val="20"/>
                <w:szCs w:val="20"/>
                <w:color w:val="auto"/>
              </w:rPr>
            </w:pPr>
            <w:r>
              <w:rPr>
                <w:rFonts w:ascii="Times New Roman" w:cs="Times New Roman" w:eastAsia="Times New Roman" w:hAnsi="Times New Roman"/>
                <w:sz w:val="18"/>
                <w:szCs w:val="18"/>
                <w:color w:val="auto"/>
              </w:rPr>
              <w:t>Total / Weighted Average</w:t>
            </w:r>
          </w:p>
        </w:tc>
        <w:tc>
          <w:tcPr>
            <w:tcW w:w="100" w:type="dxa"/>
            <w:vAlign w:val="bottom"/>
          </w:tcPr>
          <w:p>
            <w:pPr>
              <w:spacing w:after="0"/>
              <w:rPr>
                <w:sz w:val="19"/>
                <w:szCs w:val="19"/>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10,677,871</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393,165,493</w:t>
            </w: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36.82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-156845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3613785</wp:posOffset>
            </wp:positionH>
            <wp:positionV relativeFrom="paragraph">
              <wp:posOffset>-156845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-156845</wp:posOffset>
            </wp:positionV>
            <wp:extent cx="10287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5328285</wp:posOffset>
            </wp:positionH>
            <wp:positionV relativeFrom="paragraph">
              <wp:posOffset>-156845</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-156845</wp:posOffset>
            </wp:positionV>
            <wp:extent cx="10287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ind w:left="760" w:right="160" w:hanging="378"/>
        <w:spacing w:after="0" w:line="261"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year of lease expiration is pursuant to current contract terms. Some tenants have the right to vacate their space during a specified period, or “soft term,” before the stated terms of their leases expire. As of March 31, 2026, eight tenants occupying approximately 4.0% of our leased square feet and contributing approximately 4.3% of our annualized lease income are currently operating under lease provisions that allow them to exercise their right to terminate their lease before the stated term of their respective lease expires.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left="520"/>
        <w:spacing w:after="0"/>
        <w:rPr>
          <w:sz w:val="20"/>
          <w:szCs w:val="20"/>
          <w:color w:val="auto"/>
        </w:rPr>
      </w:pPr>
      <w:r>
        <w:rPr>
          <w:rFonts w:ascii="Times New Roman" w:cs="Times New Roman" w:eastAsia="Times New Roman" w:hAnsi="Times New Roman"/>
          <w:sz w:val="18"/>
          <w:szCs w:val="18"/>
          <w:color w:val="auto"/>
        </w:rPr>
        <w:t>Information about our development properties as of March 31, 2026 is set forth in the table below:</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Estimated</w:t>
            </w:r>
          </w:p>
        </w:tc>
        <w:tc>
          <w:tcPr>
            <w:tcW w:w="0" w:type="dxa"/>
            <w:vAlign w:val="bottom"/>
          </w:tcPr>
          <w:p>
            <w:pPr>
              <w:spacing w:after="0"/>
              <w:rPr>
                <w:sz w:val="1"/>
                <w:szCs w:val="1"/>
                <w:color w:val="auto"/>
              </w:rPr>
            </w:pPr>
          </w:p>
        </w:tc>
      </w:tr>
      <w:tr>
        <w:trPr>
          <w:trHeight w:val="149"/>
        </w:trPr>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Property</w:t>
            </w: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Leased</w:t>
            </w:r>
          </w:p>
        </w:tc>
        <w:tc>
          <w:tcPr>
            <w:tcW w:w="0" w:type="dxa"/>
            <w:vAlign w:val="bottom"/>
          </w:tcPr>
          <w:p>
            <w:pPr>
              <w:spacing w:after="0"/>
              <w:rPr>
                <w:sz w:val="1"/>
                <w:szCs w:val="1"/>
                <w:color w:val="auto"/>
              </w:rPr>
            </w:pPr>
          </w:p>
        </w:tc>
      </w:tr>
      <w:tr>
        <w:trPr>
          <w:trHeight w:val="146"/>
        </w:trPr>
        <w:tc>
          <w:tcPr>
            <w:tcW w:w="14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Property Name</w:t>
            </w:r>
          </w:p>
        </w:tc>
        <w:tc>
          <w:tcPr>
            <w:tcW w:w="160" w:type="dxa"/>
            <w:vAlign w:val="bottom"/>
          </w:tcPr>
          <w:p>
            <w:pPr>
              <w:spacing w:after="0"/>
              <w:rPr>
                <w:sz w:val="12"/>
                <w:szCs w:val="12"/>
                <w:color w:val="auto"/>
              </w:rPr>
            </w:pPr>
          </w:p>
        </w:tc>
        <w:tc>
          <w:tcPr>
            <w:tcW w:w="1460" w:type="dxa"/>
            <w:vAlign w:val="bottom"/>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60" w:type="dxa"/>
            <w:vAlign w:val="bottom"/>
          </w:tcPr>
          <w:p>
            <w:pPr>
              <w:spacing w:after="0"/>
              <w:rPr>
                <w:sz w:val="12"/>
                <w:szCs w:val="12"/>
                <w:color w:val="auto"/>
              </w:rPr>
            </w:pPr>
          </w:p>
        </w:tc>
        <w:tc>
          <w:tcPr>
            <w:tcW w:w="4240" w:type="dxa"/>
            <w:vAlign w:val="bottom"/>
            <w:vMerge w:val="restart"/>
          </w:tcPr>
          <w:p>
            <w:pPr>
              <w:ind w:left="1900"/>
              <w:spacing w:after="0"/>
              <w:rPr>
                <w:sz w:val="20"/>
                <w:szCs w:val="20"/>
                <w:color w:val="auto"/>
              </w:rPr>
            </w:pPr>
            <w:r>
              <w:rPr>
                <w:rFonts w:ascii="Times New Roman" w:cs="Times New Roman" w:eastAsia="Times New Roman" w:hAnsi="Times New Roman"/>
                <w:sz w:val="14"/>
                <w:szCs w:val="14"/>
                <w:b w:val="1"/>
                <w:bCs w:val="1"/>
                <w:color w:val="auto"/>
              </w:rPr>
              <w:t>Tenant</w:t>
            </w:r>
          </w:p>
        </w:tc>
        <w:tc>
          <w:tcPr>
            <w:tcW w:w="1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Lease Term</w:t>
            </w:r>
          </w:p>
        </w:tc>
        <w:tc>
          <w:tcPr>
            <w:tcW w:w="120" w:type="dxa"/>
            <w:vAlign w:val="bottom"/>
          </w:tcPr>
          <w:p>
            <w:pPr>
              <w:spacing w:after="0"/>
              <w:rPr>
                <w:sz w:val="12"/>
                <w:szCs w:val="12"/>
                <w:color w:val="auto"/>
              </w:rPr>
            </w:pPr>
          </w:p>
        </w:tc>
        <w:tc>
          <w:tcPr>
            <w:tcW w:w="980" w:type="dxa"/>
            <w:vAlign w:val="bottom"/>
            <w:gridSpan w:val="2"/>
          </w:tcPr>
          <w:p>
            <w:pPr>
              <w:jc w:val="center"/>
              <w:ind w:right="140"/>
              <w:spacing w:after="0" w:line="146" w:lineRule="exact"/>
              <w:rPr>
                <w:sz w:val="20"/>
                <w:szCs w:val="20"/>
                <w:color w:val="auto"/>
              </w:rPr>
            </w:pPr>
            <w:r>
              <w:rPr>
                <w:rFonts w:ascii="Times New Roman" w:cs="Times New Roman" w:eastAsia="Times New Roman" w:hAnsi="Times New Roman"/>
                <w:sz w:val="14"/>
                <w:szCs w:val="14"/>
                <w:b w:val="1"/>
                <w:bCs w:val="1"/>
                <w:color w:val="auto"/>
              </w:rPr>
              <w:t>Square</w:t>
            </w:r>
          </w:p>
        </w:tc>
        <w:tc>
          <w:tcPr>
            <w:tcW w:w="0" w:type="dxa"/>
            <w:vAlign w:val="bottom"/>
          </w:tcPr>
          <w:p>
            <w:pPr>
              <w:spacing w:after="0"/>
              <w:rPr>
                <w:sz w:val="1"/>
                <w:szCs w:val="1"/>
                <w:color w:val="auto"/>
              </w:rPr>
            </w:pPr>
          </w:p>
        </w:tc>
      </w:tr>
      <w:tr>
        <w:trPr>
          <w:trHeight w:val="175"/>
        </w:trPr>
        <w:tc>
          <w:tcPr>
            <w:tcW w:w="14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24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Borders>
              <w:bottom w:val="single" w:sz="8" w:color="auto"/>
            </w:tcBorders>
          </w:tcPr>
          <w:p>
            <w:pPr>
              <w:spacing w:after="0" w:line="175" w:lineRule="exact"/>
              <w:rPr>
                <w:sz w:val="20"/>
                <w:szCs w:val="20"/>
                <w:color w:val="auto"/>
              </w:rPr>
            </w:pPr>
            <w:r>
              <w:rPr>
                <w:rFonts w:ascii="Times New Roman" w:cs="Times New Roman" w:eastAsia="Times New Roman" w:hAnsi="Times New Roman"/>
                <w:sz w:val="14"/>
                <w:szCs w:val="14"/>
                <w:b w:val="1"/>
                <w:bCs w:val="1"/>
                <w:color w:val="auto"/>
              </w:rPr>
              <w:t xml:space="preserve">Type </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5"/>
                <w:szCs w:val="15"/>
                <w:color w:val="auto"/>
              </w:rPr>
            </w:pPr>
          </w:p>
        </w:tc>
        <w:tc>
          <w:tcPr>
            <w:tcW w:w="126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Feet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JUD - Flagstaff</w:t>
            </w:r>
          </w:p>
        </w:tc>
        <w:tc>
          <w:tcPr>
            <w:tcW w:w="16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Flagstaff, AZ</w:t>
            </w:r>
          </w:p>
        </w:tc>
        <w:tc>
          <w:tcPr>
            <w:tcW w:w="160" w:type="dxa"/>
            <w:vAlign w:val="bottom"/>
            <w:shd w:val="clear" w:color="auto" w:fill="CFF0FC"/>
          </w:tcPr>
          <w:p>
            <w:pPr>
              <w:spacing w:after="0"/>
              <w:rPr>
                <w:sz w:val="18"/>
                <w:szCs w:val="18"/>
                <w:color w:val="auto"/>
              </w:rPr>
            </w:pPr>
          </w:p>
        </w:tc>
        <w:tc>
          <w:tcPr>
            <w:tcW w:w="424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Judiciary of the U.S. Government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shd w:val="clear" w:color="auto" w:fill="CFF0FC"/>
          </w:tcPr>
          <w:p>
            <w:pPr>
              <w:spacing w:after="0"/>
              <w:rPr>
                <w:sz w:val="18"/>
                <w:szCs w:val="18"/>
                <w:color w:val="auto"/>
              </w:rPr>
            </w:pPr>
          </w:p>
        </w:tc>
        <w:tc>
          <w:tcPr>
            <w:tcW w:w="126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20-year</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50,777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JUD - Medford</w:t>
            </w:r>
          </w:p>
        </w:tc>
        <w:tc>
          <w:tcPr>
            <w:tcW w:w="16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Medford, OR</w:t>
            </w:r>
          </w:p>
        </w:tc>
        <w:tc>
          <w:tcPr>
            <w:tcW w:w="160" w:type="dxa"/>
            <w:vAlign w:val="bottom"/>
          </w:tcPr>
          <w:p>
            <w:pPr>
              <w:spacing w:after="0"/>
              <w:rPr>
                <w:sz w:val="18"/>
                <w:szCs w:val="18"/>
                <w:color w:val="auto"/>
              </w:rPr>
            </w:pPr>
          </w:p>
        </w:tc>
        <w:tc>
          <w:tcPr>
            <w:tcW w:w="42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Judiciary of the U.S. Government</w:t>
            </w:r>
          </w:p>
        </w:tc>
        <w:tc>
          <w:tcPr>
            <w:tcW w:w="160" w:type="dxa"/>
            <w:vAlign w:val="bottom"/>
          </w:tcPr>
          <w:p>
            <w:pPr>
              <w:spacing w:after="0"/>
              <w:rPr>
                <w:sz w:val="18"/>
                <w:szCs w:val="18"/>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160" w:type="dxa"/>
            <w:vAlign w:val="bottom"/>
          </w:tcPr>
          <w:p>
            <w:pPr>
              <w:spacing w:after="0"/>
              <w:rPr>
                <w:sz w:val="18"/>
                <w:szCs w:val="18"/>
                <w:color w:val="auto"/>
              </w:rPr>
            </w:pPr>
          </w:p>
        </w:tc>
        <w:tc>
          <w:tcPr>
            <w:tcW w:w="12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20-year</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FL - Fort Myers</w:t>
            </w:r>
          </w:p>
        </w:tc>
        <w:tc>
          <w:tcPr>
            <w:tcW w:w="160" w:type="dxa"/>
            <w:vAlign w:val="bottom"/>
            <w:tcBorders>
              <w:bottom w:val="single" w:sz="8" w:color="CFF0FC"/>
            </w:tcBorders>
            <w:shd w:val="clear" w:color="auto" w:fill="CFF0FC"/>
          </w:tcPr>
          <w:p>
            <w:pPr>
              <w:spacing w:after="0"/>
              <w:rPr>
                <w:sz w:val="18"/>
                <w:szCs w:val="18"/>
                <w:color w:val="auto"/>
              </w:rPr>
            </w:pPr>
          </w:p>
        </w:tc>
        <w:tc>
          <w:tcPr>
            <w:tcW w:w="1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Fort Myers, FL</w:t>
            </w:r>
          </w:p>
        </w:tc>
        <w:tc>
          <w:tcPr>
            <w:tcW w:w="160" w:type="dxa"/>
            <w:vAlign w:val="bottom"/>
            <w:tcBorders>
              <w:bottom w:val="single" w:sz="8" w:color="CFF0FC"/>
            </w:tcBorders>
            <w:shd w:val="clear" w:color="auto" w:fill="CFF0FC"/>
          </w:tcPr>
          <w:p>
            <w:pPr>
              <w:spacing w:after="0"/>
              <w:rPr>
                <w:sz w:val="18"/>
                <w:szCs w:val="18"/>
                <w:color w:val="auto"/>
              </w:rPr>
            </w:pPr>
          </w:p>
        </w:tc>
        <w:tc>
          <w:tcPr>
            <w:tcW w:w="424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Florida Department of Law Enforcement</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w:t>
            </w:r>
          </w:p>
        </w:tc>
        <w:tc>
          <w:tcPr>
            <w:tcW w:w="16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ind w:left="540"/>
              <w:spacing w:after="0"/>
              <w:rPr>
                <w:sz w:val="20"/>
                <w:szCs w:val="20"/>
                <w:color w:val="auto"/>
              </w:rPr>
            </w:pPr>
            <w:r>
              <w:rPr>
                <w:rFonts w:ascii="Times New Roman" w:cs="Times New Roman" w:eastAsia="Times New Roman" w:hAnsi="Times New Roman"/>
                <w:sz w:val="18"/>
                <w:szCs w:val="18"/>
                <w:color w:val="auto"/>
              </w:rPr>
              <w:t>25-year</w:t>
            </w:r>
          </w:p>
        </w:tc>
        <w:tc>
          <w:tcPr>
            <w:tcW w:w="12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154,812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C=Courthouse; L=Laboratory.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Comparison of Results of Operations for the three months ended March 31, 2026 and 2025</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financial information presented below summarizes our results of operations for the three months ended March 31, 2026 and 2025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8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3280" w:type="dxa"/>
            <w:vAlign w:val="bottom"/>
            <w:tcBorders>
              <w:bottom w:val="single" w:sz="8" w:color="auto"/>
            </w:tcBorders>
            <w:gridSpan w:val="7"/>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3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5380" w:type="dxa"/>
            <w:vAlign w:val="bottom"/>
          </w:tcPr>
          <w:p>
            <w:pPr>
              <w:spacing w:after="0"/>
              <w:rPr>
                <w:sz w:val="12"/>
                <w:szCs w:val="12"/>
                <w:color w:val="auto"/>
              </w:rPr>
            </w:pP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Change</w:t>
            </w:r>
          </w:p>
        </w:tc>
        <w:tc>
          <w:tcPr>
            <w:tcW w:w="120" w:type="dxa"/>
            <w:vAlign w:val="bottom"/>
          </w:tcPr>
          <w:p>
            <w:pPr>
              <w:spacing w:after="0"/>
              <w:rPr>
                <w:sz w:val="12"/>
                <w:szCs w:val="12"/>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Rental income</w:t>
            </w:r>
          </w:p>
        </w:tc>
        <w:tc>
          <w:tcPr>
            <w:tcW w:w="1080" w:type="dxa"/>
            <w:vAlign w:val="bottom"/>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88,593</w:t>
            </w:r>
          </w:p>
        </w:tc>
        <w:tc>
          <w:tcPr>
            <w:tcW w:w="280" w:type="dxa"/>
            <w:vAlign w:val="bottom"/>
          </w:tcPr>
          <w:p>
            <w:pPr>
              <w:spacing w:after="0"/>
              <w:rPr>
                <w:sz w:val="18"/>
                <w:szCs w:val="18"/>
                <w:color w:val="auto"/>
              </w:rPr>
            </w:pP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75,546</w:t>
            </w:r>
          </w:p>
        </w:tc>
        <w:tc>
          <w:tcPr>
            <w:tcW w:w="180" w:type="dxa"/>
            <w:vAlign w:val="bottom"/>
          </w:tcPr>
          <w:p>
            <w:pPr>
              <w:spacing w:after="0"/>
              <w:rPr>
                <w:sz w:val="18"/>
                <w:szCs w:val="18"/>
                <w:color w:val="auto"/>
              </w:rPr>
            </w:pPr>
          </w:p>
        </w:tc>
        <w:tc>
          <w:tcPr>
            <w:tcW w:w="46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13,047</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Tenant reimbursements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Asset management income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r>
      <w:tr>
        <w:trPr>
          <w:trHeight w:val="216"/>
        </w:trPr>
        <w:tc>
          <w:tcPr>
            <w:tcW w:w="538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income</w:t>
            </w:r>
          </w:p>
        </w:tc>
        <w:tc>
          <w:tcPr>
            <w:tcW w:w="108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revenues</w:t>
            </w:r>
          </w:p>
        </w:tc>
        <w:tc>
          <w:tcPr>
            <w:tcW w:w="1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91,545</w:t>
            </w:r>
          </w:p>
        </w:tc>
        <w:tc>
          <w:tcPr>
            <w:tcW w:w="28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20" w:type="dxa"/>
            <w:vAlign w:val="bottom"/>
          </w:tcPr>
          <w:p>
            <w:pPr>
              <w:spacing w:after="0"/>
              <w:rPr>
                <w:sz w:val="18"/>
                <w:szCs w:val="18"/>
                <w:color w:val="auto"/>
              </w:rPr>
            </w:pPr>
          </w:p>
        </w:tc>
      </w:tr>
      <w:tr>
        <w:trPr>
          <w:trHeight w:val="210"/>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Expenses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Property operating</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20,536</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Real estate taxes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8,532</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33,221</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26,797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Acquisition costs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general and administrative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8,495</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w:t>
            </w:r>
          </w:p>
        </w:tc>
        <w:tc>
          <w:tcPr>
            <w:tcW w:w="120" w:type="dxa"/>
            <w:vAlign w:val="bottom"/>
          </w:tcPr>
          <w:p>
            <w:pPr>
              <w:spacing w:after="0"/>
              <w:rPr>
                <w:sz w:val="18"/>
                <w:szCs w:val="18"/>
                <w:color w:val="auto"/>
              </w:rPr>
            </w:pPr>
          </w:p>
        </w:tc>
      </w:tr>
      <w:tr>
        <w:trPr>
          <w:trHeight w:val="216"/>
        </w:trPr>
        <w:tc>
          <w:tcPr>
            <w:tcW w:w="53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20" w:type="dxa"/>
            <w:vAlign w:val="bottom"/>
            <w:shd w:val="clear" w:color="auto" w:fill="CFF0FC"/>
          </w:tcPr>
          <w:p>
            <w:pPr>
              <w:spacing w:after="0"/>
              <w:rPr>
                <w:sz w:val="18"/>
                <w:szCs w:val="18"/>
                <w:color w:val="auto"/>
              </w:rPr>
            </w:pPr>
          </w:p>
        </w:tc>
      </w:tr>
      <w:tr>
        <w:trPr>
          <w:trHeight w:val="210"/>
        </w:trPr>
        <w:tc>
          <w:tcPr>
            <w:tcW w:w="538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Total expenses</w:t>
            </w:r>
          </w:p>
        </w:tc>
        <w:tc>
          <w:tcPr>
            <w:tcW w:w="108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71,629</w:t>
            </w:r>
          </w:p>
        </w:tc>
        <w:tc>
          <w:tcPr>
            <w:tcW w:w="280" w:type="dxa"/>
            <w:vAlign w:val="bottom"/>
            <w:tcBorders>
              <w:top w:val="single" w:sz="8" w:color="CFF0FC"/>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58,837</w:t>
            </w:r>
          </w:p>
        </w:tc>
        <w:tc>
          <w:tcPr>
            <w:tcW w:w="18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12,792</w:t>
            </w:r>
          </w:p>
        </w:tc>
        <w:tc>
          <w:tcPr>
            <w:tcW w:w="120" w:type="dxa"/>
            <w:vAlign w:val="bottom"/>
            <w:tcBorders>
              <w:top w:val="single" w:sz="8" w:color="CFF0FC"/>
            </w:tcBorders>
          </w:tcPr>
          <w:p>
            <w:pPr>
              <w:spacing w:after="0"/>
              <w:rPr>
                <w:sz w:val="18"/>
                <w:szCs w:val="18"/>
                <w:color w:val="auto"/>
              </w:rPr>
            </w:pPr>
          </w:p>
        </w:tc>
      </w:tr>
      <w:tr>
        <w:trPr>
          <w:trHeight w:val="20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08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5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unconsolidated real estate venture</w:t>
            </w:r>
          </w:p>
        </w:tc>
        <w:tc>
          <w:tcPr>
            <w:tcW w:w="10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(158)</w:t>
            </w:r>
          </w:p>
        </w:tc>
      </w:tr>
      <w:tr>
        <w:trPr>
          <w:trHeight w:val="216"/>
        </w:trPr>
        <w:tc>
          <w:tcPr>
            <w:tcW w:w="53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108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(20,166)</w:t>
            </w:r>
          </w:p>
        </w:tc>
        <w:tc>
          <w:tcPr>
            <w:tcW w:w="4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(18,377)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(1,789)</w:t>
            </w:r>
          </w:p>
        </w:tc>
      </w:tr>
      <w:tr>
        <w:trPr>
          <w:trHeight w:val="210"/>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Borders>
              <w:top w:val="single" w:sz="8" w:color="auto"/>
              <w:bottom w:val="single" w:sz="8" w:color="auto"/>
            </w:tcBorders>
          </w:tcPr>
          <w:p>
            <w:pPr>
              <w:jc w:val="right"/>
              <w:ind w:right="896"/>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28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-1833880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-1833880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-1833880</wp:posOffset>
            </wp:positionV>
            <wp:extent cx="7747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-719455</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5782945</wp:posOffset>
            </wp:positionH>
            <wp:positionV relativeFrom="paragraph">
              <wp:posOffset>-719455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-719455</wp:posOffset>
            </wp:positionV>
            <wp:extent cx="7747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4492625</wp:posOffset>
            </wp:positionH>
            <wp:positionV relativeFrom="paragraph">
              <wp:posOffset>-166370</wp:posOffset>
            </wp:positionV>
            <wp:extent cx="93980" cy="17970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5770245</wp:posOffset>
            </wp:positionH>
            <wp:positionV relativeFrom="paragraph">
              <wp:posOffset>-166370</wp:posOffset>
            </wp:positionV>
            <wp:extent cx="93980" cy="17970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7047230</wp:posOffset>
            </wp:positionH>
            <wp:positionV relativeFrom="paragraph">
              <wp:posOffset>-166370</wp:posOffset>
            </wp:positionV>
            <wp:extent cx="102870" cy="17970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02870" cy="17970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Total revenues increased $12.9 million to $91.5 million for the three months ended March 31, 2026 compared to $78.7 million for the three months ended March 31, 2025.</w:t>
      </w:r>
    </w:p>
    <w:p>
      <w:pPr>
        <w:spacing w:after="0" w:line="162" w:lineRule="exact"/>
        <w:rPr>
          <w:sz w:val="20"/>
          <w:szCs w:val="20"/>
          <w:color w:val="auto"/>
        </w:rPr>
      </w:pPr>
    </w:p>
    <w:p>
      <w:pPr>
        <w:ind w:right="700" w:firstLine="509"/>
        <w:spacing w:after="0" w:line="282" w:lineRule="auto"/>
        <w:rPr>
          <w:sz w:val="20"/>
          <w:szCs w:val="20"/>
          <w:color w:val="auto"/>
        </w:rPr>
      </w:pPr>
      <w:r>
        <w:rPr>
          <w:rFonts w:ascii="Times New Roman" w:cs="Times New Roman" w:eastAsia="Times New Roman" w:hAnsi="Times New Roman"/>
          <w:sz w:val="18"/>
          <w:szCs w:val="18"/>
          <w:color w:val="auto"/>
        </w:rPr>
        <w:t>The $13.0 million increase in Rental income is primarily attributable to the six operating properties acquired since March 31, 2025 and one development property placed into service since March 31, 2025.</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$0.2 million decrease in tenant reimbursements is primarily attributable to a decrease in tenant project reimbursement.</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less than $0.1 million increase in Asset management income is primarily attributable to the fee earned by us for asset management of the JV.</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less than $0.1 million increase in Other income is primarily attributable to an increase in interest income.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4" w:name="page35"/>
    <w:bookmarkEnd w:id="34"/>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Total expenses increased $12.8 million to $71.6 million for the three months ended March 31, 2026 compared to $58.8 million for the three months ended March 31, 2025.</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$2.7 million increase in Property operating expenses is primarily attributable to the six operating properties acquired since March 31, 2025 and one development property placed into service since March 31, 2025.</w:t>
      </w:r>
    </w:p>
    <w:p>
      <w:pPr>
        <w:spacing w:after="0" w:line="16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The $0.6 million increase in Real estate taxes is primarily attributable to the six operating properties acquired since March 31, 2025 and one development property placed into service since March 31, 2025.</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$6.4 million increase in Depreciation and amortization is primarily attributable to the six operating properties acquired since March 31, 2025 and one development property placed into service since March 31, 2025.</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$2.3 million increase in Corporate general and administrative is primarily due to an increase in employee costs and non-cash compensation.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$0.4 million increase in Provision for (recovery of) credit losses is primarily due to the mezzanine loan entered into in March 2026.</w:t>
      </w:r>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from unconsolidated real estate venture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$0.2 million decrease in Income from unconsolidated real estate venture is primarily attributable to higher operating expenses during the quarter ended March 31, 2026.</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 net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$1.8 million increase in Interest expense, net is primarily attributable to the fixed rate senior unsecured notes issued in March 2025.</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anticipate that our cash flows from the sources listed below will provide adequate capital for the next 12 months for all anticipated uses, including all scheduled principal and interest payments on our outstanding indebtedness, current and anticipated tenant improvements, development activities at JUD – Flagstaff, JUD – Medford and FL - Ft. Myers, planned and possible acquisitions of properties, stockholder distributions to maintain our qualification as a REIT, potential repurchases of common stock under our share repurchase program and other capital obligations associated with conducting our business. At March 31, 2026, we had approximately $2.0 million available in cash and cash equivalents, $10.7 million of restricted cash and there was approximately $154.8 million available under our 2024 revolving credit facility.</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primary expected sources of capital are as follows:</w:t>
      </w:r>
    </w:p>
    <w:p>
      <w:pPr>
        <w:spacing w:after="0" w:line="119"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existing cash balances;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cash flow;</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of cash flows from the JV;</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available borrowings under our 2024 revolving credit facility;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long-term debt;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equity, including under our 2021 ATM Program (as described below);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sales.</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Our short-term liquidity requirements consist primarily of funds to pay for the following:</w:t>
      </w:r>
    </w:p>
    <w:p>
      <w:pPr>
        <w:spacing w:after="0" w:line="119" w:lineRule="exact"/>
        <w:rPr>
          <w:sz w:val="20"/>
          <w:szCs w:val="20"/>
          <w:color w:val="auto"/>
        </w:rPr>
      </w:pPr>
    </w:p>
    <w:p>
      <w:pPr>
        <w:ind w:left="1020" w:right="400" w:hanging="503"/>
        <w:spacing w:after="0" w:line="282"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redevelopment activities, including major redevelopment, renovation or expansion programs at JUD - Flagstaff, JUD - Medford and FL - Ft. Myers and other individual properties;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5" w:name="page36"/>
    <w:bookmarkEnd w:id="35"/>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acquisitions;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improvements, allowances and leasing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recurring maintenance and capital expenditures;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repayment requirements;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to fund advancements through loans receivable;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administrative costs;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payments on our outstanding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swap payments;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payments;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repurchases of common stock under our share repurchase program.</w:t>
      </w:r>
    </w:p>
    <w:p>
      <w:pPr>
        <w:spacing w:after="0" w:line="225"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long-term liquidity needs, in addition to recurring short-term liquidity needs as discussed above, consist primarily of funds necessary to pay for acquisitions, non-recurring capital expenditures, and scheduled debt maturities. Although we may be able to anticipate and plan for certain of our liquidity needs, unexpected increases in uses of cash that are beyond our control and which affect our financial condition and results of operations may arise, or our sources of liquidity may be fewer than, and the funds available from such sources may be less than, anticipated or required. As of the date of this filing, there were no known commitments or events that would have a material impact on our liquidity.</w:t>
      </w:r>
    </w:p>
    <w:p>
      <w:pPr>
        <w:spacing w:after="0" w:line="2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ATM Programs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We entered into an equity distribution agreement on June 22, 2021 (the “2021 ATM Program”) with various financial institutions. Pursuant to the 2021 ATM Program, we may issue and sell shares of our common stock having an aggregate offering price of up to $300.0 million from time to time in negotiated transactions or transactions that are deemed to be “at the market” offerings as defined in Rule 415 under the Securities Act. Under the 2021 ATM Program, we may enter into one or more forward transactions (each, a “forward sale transaction”) under separate master forward sale confirmations and related supplemental confirmations with each of the various financial institutions party to the 2021 ATM Program for the sale of shares of our common stock on a forward basis.</w:t>
      </w:r>
    </w:p>
    <w:p>
      <w:pPr>
        <w:spacing w:after="0" w:line="18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issuances under the 2021 ATM Program during the three months ended March 31, 2026 (amounts in thousands, except share amounts):</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2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2021 ATM Program</w:t>
            </w:r>
          </w:p>
        </w:tc>
        <w:tc>
          <w:tcPr>
            <w:tcW w:w="2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9"/>
        </w:trPr>
        <w:tc>
          <w:tcPr>
            <w:tcW w:w="5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For the quarter ended</w:t>
            </w:r>
          </w:p>
        </w:tc>
        <w:tc>
          <w:tcPr>
            <w:tcW w:w="140" w:type="dxa"/>
            <w:vAlign w:val="bottom"/>
          </w:tcPr>
          <w:p>
            <w:pPr>
              <w:spacing w:after="0"/>
              <w:rPr>
                <w:sz w:val="16"/>
                <w:szCs w:val="16"/>
                <w:color w:val="auto"/>
              </w:rPr>
            </w:pPr>
          </w:p>
        </w:tc>
        <w:tc>
          <w:tcPr>
            <w:tcW w:w="2520" w:type="dxa"/>
            <w:vAlign w:val="bottom"/>
            <w:tcBorders>
              <w:bottom w:val="single" w:sz="8" w:color="auto"/>
            </w:tcBorders>
          </w:tcPr>
          <w:p>
            <w:pPr>
              <w:jc w:val="right"/>
              <w:ind w:right="339"/>
              <w:spacing w:after="0" w:line="189" w:lineRule="exact"/>
              <w:rPr>
                <w:sz w:val="20"/>
                <w:szCs w:val="20"/>
                <w:color w:val="auto"/>
              </w:rPr>
            </w:pPr>
            <w:r>
              <w:rPr>
                <w:rFonts w:ascii="Times New Roman" w:cs="Times New Roman" w:eastAsia="Times New Roman" w:hAnsi="Times New Roman"/>
                <w:sz w:val="14"/>
                <w:szCs w:val="14"/>
                <w:b w:val="1"/>
                <w:bCs w:val="1"/>
                <w:color w:val="auto"/>
              </w:rPr>
              <w:t xml:space="preserve">Number of Shares Issued </w:t>
            </w:r>
            <w:r>
              <w:rPr>
                <w:rFonts w:ascii="Times New Roman" w:cs="Times New Roman" w:eastAsia="Times New Roman" w:hAnsi="Times New Roman"/>
                <w:sz w:val="19"/>
                <w:szCs w:val="19"/>
                <w:b w:val="1"/>
                <w:bCs w:val="1"/>
                <w:color w:val="auto"/>
                <w:vertAlign w:val="superscript"/>
              </w:rPr>
              <w:t>(1)</w:t>
            </w:r>
          </w:p>
        </w:tc>
        <w:tc>
          <w:tcPr>
            <w:tcW w:w="30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Net Proceeds</w:t>
            </w:r>
          </w:p>
        </w:tc>
        <w:tc>
          <w:tcPr>
            <w:tcW w:w="100" w:type="dxa"/>
            <w:vAlign w:val="bottom"/>
          </w:tcPr>
          <w:p>
            <w:pPr>
              <w:spacing w:after="0"/>
              <w:rPr>
                <w:sz w:val="16"/>
                <w:szCs w:val="16"/>
                <w:color w:val="auto"/>
              </w:rPr>
            </w:pPr>
          </w:p>
        </w:tc>
      </w:tr>
      <w:tr>
        <w:trPr>
          <w:trHeight w:val="210"/>
        </w:trPr>
        <w:tc>
          <w:tcPr>
            <w:tcW w:w="55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March 31, 2026</w:t>
            </w:r>
          </w:p>
        </w:tc>
        <w:tc>
          <w:tcPr>
            <w:tcW w:w="2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94,170</w:t>
            </w:r>
          </w:p>
        </w:tc>
        <w:tc>
          <w:tcPr>
            <w:tcW w:w="1100" w:type="dxa"/>
            <w:vAlign w:val="bottom"/>
            <w:gridSpan w:val="2"/>
            <w:shd w:val="clear" w:color="auto" w:fill="CFF0FC"/>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shd w:val="clear" w:color="auto" w:fill="CFF0FC"/>
          </w:tcPr>
          <w:p>
            <w:pPr>
              <w:spacing w:after="0"/>
              <w:rPr>
                <w:sz w:val="18"/>
                <w:szCs w:val="18"/>
                <w:color w:val="auto"/>
              </w:rPr>
            </w:pPr>
          </w:p>
        </w:tc>
      </w:tr>
      <w:tr>
        <w:trPr>
          <w:trHeight w:val="209"/>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94,170</w:t>
            </w:r>
          </w:p>
        </w:tc>
        <w:tc>
          <w:tcPr>
            <w:tcW w:w="3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w:t>
            </w:r>
          </w:p>
        </w:tc>
        <w:tc>
          <w:tcPr>
            <w:tcW w:w="100" w:type="dxa"/>
            <w:vAlign w:val="bottom"/>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3493770</wp:posOffset>
            </wp:positionH>
            <wp:positionV relativeFrom="paragraph">
              <wp:posOffset>-419100</wp:posOffset>
            </wp:positionV>
            <wp:extent cx="357441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574415" cy="8255"/>
                    </a:xfrm>
                    <a:prstGeom prst="rect">
                      <a:avLst/>
                    </a:prstGeom>
                    <a:noFill/>
                  </pic:spPr>
                </pic:pic>
              </a:graphicData>
            </a:graphic>
          </wp:anchor>
        </w:drawing>
      </w:r>
    </w:p>
    <w:p>
      <w:pPr>
        <w:spacing w:after="0" w:line="178" w:lineRule="exact"/>
        <w:rPr>
          <w:sz w:val="20"/>
          <w:szCs w:val="20"/>
          <w:color w:val="auto"/>
        </w:rPr>
      </w:pPr>
    </w:p>
    <w:p>
      <w:pPr>
        <w:ind w:left="760" w:right="100" w:hanging="365"/>
        <w:spacing w:after="0" w:line="282" w:lineRule="auto"/>
        <w:tabs>
          <w:tab w:leader="none" w:pos="69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issued by us, which were all issued in settlement of forward sale transactions. As of March 31, 2026, we had settled all of our outstanding forward sale transactions under the 2021 ATM Program. We accounted for the forward sale transactions as equity.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March 31, 2026, we had approximately $234.0 million of gross sales of our common stock available under the 2021 ATM Program.</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28, 2022, our Board of Directors authorized a share repurchase program whereby we may repurchase up to 1,815,597 shares of our common stock (adjusted for the 1-for-2.5 reverse stock split of the Company’s issued and outstanding Common Stock), or approximately 5% of our outstanding shares as of the original authorization date. We are not required to purchase shares under the share repurchase program but may choose to do so in the open market or through privately negotiated transactions at times and amounts based on our evaluation of market conditions and other factors.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6" w:name="page37"/>
    <w:bookmarkEnd w:id="36"/>
    <w:p>
      <w:pPr>
        <w:ind w:left="520"/>
        <w:spacing w:after="0"/>
        <w:rPr>
          <w:sz w:val="20"/>
          <w:szCs w:val="20"/>
          <w:color w:val="auto"/>
        </w:rPr>
      </w:pPr>
      <w:r>
        <w:rPr>
          <w:rFonts w:ascii="Times New Roman" w:cs="Times New Roman" w:eastAsia="Times New Roman" w:hAnsi="Times New Roman"/>
          <w:sz w:val="18"/>
          <w:szCs w:val="18"/>
          <w:color w:val="auto"/>
        </w:rPr>
        <w:t>No repurchases of shares of our common stock were made under the share repurchase program during the three months ended March 31, 2026.</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Indebtedness Outstanding</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certain information with respect to our outstanding indebtedness as of March 31, 2026 (amounts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Loan</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Principal Outstanding</w:t>
            </w:r>
          </w:p>
        </w:tc>
        <w:tc>
          <w:tcPr>
            <w:tcW w:w="1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60" w:type="dxa"/>
            <w:vAlign w:val="bottom"/>
          </w:tcPr>
          <w:p>
            <w:pPr>
              <w:spacing w:after="0"/>
              <w:rPr>
                <w:sz w:val="13"/>
                <w:szCs w:val="13"/>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0" w:type="dxa"/>
            <w:vAlign w:val="bottom"/>
          </w:tcPr>
          <w:p>
            <w:pPr>
              <w:spacing w:after="0"/>
              <w:rPr>
                <w:sz w:val="1"/>
                <w:szCs w:val="1"/>
                <w:color w:val="auto"/>
              </w:rPr>
            </w:pPr>
          </w:p>
        </w:tc>
      </w:tr>
      <w:tr>
        <w:trPr>
          <w:trHeight w:val="175"/>
        </w:trPr>
        <w:tc>
          <w:tcPr>
            <w:tcW w:w="45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960" w:type="dxa"/>
            <w:vAlign w:val="bottom"/>
          </w:tcPr>
          <w:p>
            <w:pPr>
              <w:jc w:val="center"/>
              <w:spacing w:after="0" w:line="176" w:lineRule="exact"/>
              <w:rPr>
                <w:sz w:val="20"/>
                <w:szCs w:val="20"/>
                <w:color w:val="auto"/>
              </w:rPr>
            </w:pPr>
            <w:r>
              <w:rPr>
                <w:rFonts w:ascii="Times New Roman" w:cs="Times New Roman" w:eastAsia="Times New Roman" w:hAnsi="Times New Roman"/>
                <w:sz w:val="20"/>
                <w:szCs w:val="20"/>
                <w:b w:val="1"/>
                <w:bCs w:val="1"/>
                <w:color w:val="auto"/>
                <w:vertAlign w:val="subscript"/>
              </w:rPr>
              <w:t>Rate</w:t>
            </w:r>
            <w:r>
              <w:rPr>
                <w:rFonts w:ascii="Times New Roman" w:cs="Times New Roman" w:eastAsia="Times New Roman" w:hAnsi="Times New Roman"/>
                <w:sz w:val="8"/>
                <w:szCs w:val="8"/>
                <w:b w:val="1"/>
                <w:bCs w:val="1"/>
                <w:color w:val="auto"/>
              </w:rPr>
              <w:t xml:space="preserve"> (1)(2)</w:t>
            </w:r>
          </w:p>
        </w:tc>
        <w:tc>
          <w:tcPr>
            <w:tcW w:w="160" w:type="dxa"/>
            <w:vAlign w:val="bottom"/>
          </w:tcPr>
          <w:p>
            <w:pPr>
              <w:spacing w:after="0"/>
              <w:rPr>
                <w:sz w:val="15"/>
                <w:szCs w:val="15"/>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0" w:type="dxa"/>
            <w:vAlign w:val="bottom"/>
          </w:tcPr>
          <w:p>
            <w:pPr>
              <w:spacing w:after="0"/>
              <w:rPr>
                <w:sz w:val="1"/>
                <w:szCs w:val="1"/>
                <w:color w:val="auto"/>
              </w:rPr>
            </w:pPr>
          </w:p>
        </w:tc>
      </w:tr>
      <w:tr>
        <w:trPr>
          <w:trHeight w:val="210"/>
        </w:trPr>
        <w:tc>
          <w:tcPr>
            <w:tcW w:w="45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Revolving credit facility:</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2024 revolving credit facility </w:t>
            </w:r>
            <w:r>
              <w:rPr>
                <w:rFonts w:ascii="Times New Roman" w:cs="Times New Roman" w:eastAsia="Times New Roman" w:hAnsi="Times New Roman"/>
                <w:sz w:val="24"/>
                <w:szCs w:val="24"/>
                <w:color w:val="auto"/>
                <w:vertAlign w:val="superscript"/>
              </w:rPr>
              <w:t>(3)</w:t>
            </w:r>
          </w:p>
        </w:tc>
        <w:tc>
          <w:tcPr>
            <w:tcW w:w="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245,050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SOFR + 145 bps</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5"/>
              </w:rPr>
              <w:t xml:space="preserve">June 2028 </w:t>
            </w:r>
            <w:r>
              <w:rPr>
                <w:rFonts w:ascii="Times New Roman" w:cs="Times New Roman" w:eastAsia="Times New Roman" w:hAnsi="Times New Roman"/>
                <w:sz w:val="24"/>
                <w:szCs w:val="24"/>
                <w:color w:val="auto"/>
                <w:w w:val="95"/>
                <w:vertAlign w:val="superscript"/>
              </w:rPr>
              <w:t>(4)</w:t>
            </w: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revolving credit facility</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245,050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Term loan facilities: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2016 term loan facility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19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5.31% </w:t>
            </w:r>
            <w:r>
              <w:rPr>
                <w:rFonts w:ascii="Times New Roman" w:cs="Times New Roman" w:eastAsia="Times New Roman" w:hAnsi="Times New Roman"/>
                <w:sz w:val="24"/>
                <w:szCs w:val="24"/>
                <w:color w:val="auto"/>
                <w:w w:val="94"/>
                <w:vertAlign w:val="superscript"/>
              </w:rPr>
              <w:t>(5)</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6"/>
              </w:rPr>
              <w:t xml:space="preserve">January 2028 </w:t>
            </w:r>
            <w:r>
              <w:rPr>
                <w:rFonts w:ascii="Times New Roman" w:cs="Times New Roman" w:eastAsia="Times New Roman" w:hAnsi="Times New Roman"/>
                <w:sz w:val="24"/>
                <w:szCs w:val="24"/>
                <w:color w:val="auto"/>
                <w:w w:val="96"/>
                <w:vertAlign w:val="superscript"/>
              </w:rPr>
              <w:t>(6)</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2018 term loan facility</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5.09% </w:t>
            </w:r>
            <w:r>
              <w:rPr>
                <w:rFonts w:ascii="Times New Roman" w:cs="Times New Roman" w:eastAsia="Times New Roman" w:hAnsi="Times New Roman"/>
                <w:sz w:val="24"/>
                <w:szCs w:val="24"/>
                <w:color w:val="auto"/>
                <w:w w:val="94"/>
                <w:vertAlign w:val="superscript"/>
              </w:rPr>
              <w:t>(7)</w:t>
            </w:r>
          </w:p>
        </w:tc>
        <w:tc>
          <w:tcPr>
            <w:tcW w:w="16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CFF0FC"/>
            </w:tcBorders>
            <w:gridSpan w:val="2"/>
            <w:shd w:val="clear" w:color="auto" w:fill="CFF0FC"/>
          </w:tcPr>
          <w:p>
            <w:pPr>
              <w:jc w:val="center"/>
              <w:ind w:right="180"/>
              <w:spacing w:after="0" w:line="216" w:lineRule="exact"/>
              <w:rPr>
                <w:sz w:val="20"/>
                <w:szCs w:val="20"/>
                <w:color w:val="auto"/>
              </w:rPr>
            </w:pPr>
            <w:r>
              <w:rPr>
                <w:rFonts w:ascii="Times New Roman" w:cs="Times New Roman" w:eastAsia="Times New Roman" w:hAnsi="Times New Roman"/>
                <w:sz w:val="18"/>
                <w:szCs w:val="18"/>
                <w:color w:val="auto"/>
                <w:w w:val="96"/>
              </w:rPr>
              <w:t xml:space="preserve">August 2028 </w:t>
            </w:r>
            <w:r>
              <w:rPr>
                <w:rFonts w:ascii="Times New Roman" w:cs="Times New Roman" w:eastAsia="Times New Roman" w:hAnsi="Times New Roman"/>
                <w:sz w:val="24"/>
                <w:szCs w:val="24"/>
                <w:color w:val="auto"/>
                <w:w w:val="96"/>
                <w:vertAlign w:val="superscript"/>
              </w:rPr>
              <w:t>(8)</w:t>
            </w:r>
          </w:p>
        </w:tc>
        <w:tc>
          <w:tcPr>
            <w:tcW w:w="0" w:type="dxa"/>
            <w:vAlign w:val="bottom"/>
          </w:tcPr>
          <w:p>
            <w:pPr>
              <w:spacing w:after="0"/>
              <w:rPr>
                <w:sz w:val="1"/>
                <w:szCs w:val="1"/>
                <w:color w:val="auto"/>
              </w:rPr>
            </w:pPr>
          </w:p>
        </w:tc>
      </w:tr>
      <w:tr>
        <w:trPr>
          <w:trHeight w:val="20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term loan facilities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(2,521)</w:t>
            </w: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 term loan facilities, net</w:t>
            </w:r>
          </w:p>
        </w:tc>
        <w:tc>
          <w:tcPr>
            <w:tcW w:w="200" w:type="dxa"/>
            <w:vAlign w:val="bottom"/>
            <w:tcBorders>
              <w:top w:val="single" w:sz="8" w:color="CFF0FC"/>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297,479</w:t>
            </w:r>
          </w:p>
        </w:tc>
        <w:tc>
          <w:tcPr>
            <w:tcW w:w="300" w:type="dxa"/>
            <w:vAlign w:val="bottom"/>
            <w:tcBorders>
              <w:top w:val="single" w:sz="8" w:color="CFF0FC"/>
            </w:tcBorders>
          </w:tcPr>
          <w:p>
            <w:pPr>
              <w:spacing w:after="0"/>
              <w:rPr>
                <w:sz w:val="18"/>
                <w:szCs w:val="18"/>
                <w:color w:val="auto"/>
              </w:rPr>
            </w:pPr>
          </w:p>
        </w:tc>
        <w:tc>
          <w:tcPr>
            <w:tcW w:w="1960" w:type="dxa"/>
            <w:vAlign w:val="bottom"/>
            <w:tcBorders>
              <w:top w:val="single" w:sz="8" w:color="CFF0FC"/>
            </w:tcBorders>
          </w:tcPr>
          <w:p>
            <w:pPr>
              <w:spacing w:after="0"/>
              <w:rPr>
                <w:sz w:val="18"/>
                <w:szCs w:val="18"/>
                <w:color w:val="auto"/>
              </w:rPr>
            </w:pPr>
          </w:p>
        </w:tc>
        <w:tc>
          <w:tcPr>
            <w:tcW w:w="160" w:type="dxa"/>
            <w:vAlign w:val="bottom"/>
            <w:tcBorders>
              <w:top w:val="single" w:sz="8" w:color="CFF0FC"/>
            </w:tcBorders>
          </w:tcPr>
          <w:p>
            <w:pPr>
              <w:spacing w:after="0"/>
              <w:rPr>
                <w:sz w:val="18"/>
                <w:szCs w:val="18"/>
                <w:color w:val="auto"/>
              </w:rPr>
            </w:pPr>
          </w:p>
        </w:tc>
        <w:tc>
          <w:tcPr>
            <w:tcW w:w="20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 series A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4.05%</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2027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2017 series B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4.15%</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2029</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2017 series C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4.30%</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2032</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2019 series A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3.73%</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2029</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2019 series B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3.83%</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2031</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2019 series C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3.98%</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September 2034</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2021 series A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2.62%</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October 2028</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2021 series B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2.89%</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October 2030</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 series A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7"/>
              </w:rPr>
              <w:t>May 2033</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2024 series B senior notes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6.56%</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August 2033</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2025 series A senior notes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6.13%</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March 2030</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2025 series B senior notes</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00" w:type="dxa"/>
            <w:vAlign w:val="bottom"/>
          </w:tcPr>
          <w:p>
            <w:pPr>
              <w:spacing w:after="0"/>
              <w:rPr>
                <w:sz w:val="18"/>
                <w:szCs w:val="18"/>
                <w:color w:val="auto"/>
              </w:rPr>
            </w:pPr>
          </w:p>
        </w:tc>
        <w:tc>
          <w:tcPr>
            <w:tcW w:w="1960" w:type="dxa"/>
            <w:vAlign w:val="bottom"/>
          </w:tcPr>
          <w:p>
            <w:pPr>
              <w:jc w:val="center"/>
              <w:spacing w:after="0" w:line="216" w:lineRule="exact"/>
              <w:rPr>
                <w:sz w:val="20"/>
                <w:szCs w:val="20"/>
                <w:color w:val="auto"/>
              </w:rPr>
            </w:pPr>
            <w:r>
              <w:rPr>
                <w:rFonts w:ascii="Times New Roman" w:cs="Times New Roman" w:eastAsia="Times New Roman" w:hAnsi="Times New Roman"/>
                <w:sz w:val="18"/>
                <w:szCs w:val="18"/>
                <w:color w:val="auto"/>
                <w:w w:val="94"/>
              </w:rPr>
              <w:t xml:space="preserve">6.33% </w:t>
            </w:r>
            <w:r>
              <w:rPr>
                <w:rFonts w:ascii="Times New Roman" w:cs="Times New Roman" w:eastAsia="Times New Roman" w:hAnsi="Times New Roman"/>
                <w:sz w:val="24"/>
                <w:szCs w:val="24"/>
                <w:color w:val="auto"/>
                <w:w w:val="94"/>
                <w:vertAlign w:val="superscript"/>
              </w:rPr>
              <w:t>(9)</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March 2032</w:t>
            </w: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notes payable</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1,025,000</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(5,868)</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notes payable, net</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1,019,132</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Mortgage notes payable:</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USFS II – Albuquerque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4.46%</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July 2026</w:t>
            </w: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ICE – Charleston</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8,517</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4.21%</w:t>
            </w:r>
          </w:p>
        </w:tc>
        <w:tc>
          <w:tcPr>
            <w:tcW w:w="160" w:type="dxa"/>
            <w:vAlign w:val="bottom"/>
            <w:shd w:val="clear" w:color="auto" w:fill="CFF0FC"/>
          </w:tcPr>
          <w:p>
            <w:pPr>
              <w:spacing w:after="0"/>
              <w:rPr>
                <w:sz w:val="18"/>
                <w:szCs w:val="18"/>
                <w:color w:val="auto"/>
              </w:rPr>
            </w:pPr>
          </w:p>
        </w:tc>
        <w:tc>
          <w:tcPr>
            <w:tcW w:w="2180" w:type="dxa"/>
            <w:vAlign w:val="bottom"/>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w w:val="99"/>
              </w:rPr>
              <w:t>January 2027</w:t>
            </w: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VA – Loma Linda</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127,500</w:t>
            </w:r>
          </w:p>
        </w:tc>
        <w:tc>
          <w:tcPr>
            <w:tcW w:w="30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3.59%</w:t>
            </w:r>
          </w:p>
        </w:tc>
        <w:tc>
          <w:tcPr>
            <w:tcW w:w="160" w:type="dxa"/>
            <w:vAlign w:val="bottom"/>
          </w:tcPr>
          <w:p>
            <w:pPr>
              <w:spacing w:after="0"/>
              <w:rPr>
                <w:sz w:val="18"/>
                <w:szCs w:val="18"/>
                <w:color w:val="auto"/>
              </w:rPr>
            </w:pPr>
          </w:p>
        </w:tc>
        <w:tc>
          <w:tcPr>
            <w:tcW w:w="21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July 2027</w:t>
            </w:r>
          </w:p>
        </w:tc>
        <w:tc>
          <w:tcPr>
            <w:tcW w:w="0" w:type="dxa"/>
            <w:vAlign w:val="bottom"/>
          </w:tcPr>
          <w:p>
            <w:pPr>
              <w:spacing w:after="0"/>
              <w:rPr>
                <w:sz w:val="1"/>
                <w:szCs w:val="1"/>
                <w:color w:val="auto"/>
              </w:rPr>
            </w:pPr>
          </w:p>
        </w:tc>
      </w:tr>
      <w:tr>
        <w:trPr>
          <w:trHeight w:val="216"/>
        </w:trPr>
        <w:tc>
          <w:tcPr>
            <w:tcW w:w="45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CBP – Savannah</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7,561</w:t>
            </w:r>
          </w:p>
        </w:tc>
        <w:tc>
          <w:tcPr>
            <w:tcW w:w="300" w:type="dxa"/>
            <w:vAlign w:val="bottom"/>
            <w:tcBorders>
              <w:bottom w:val="single" w:sz="8" w:color="CFF0FC"/>
            </w:tcBorders>
            <w:shd w:val="clear" w:color="auto" w:fill="CFF0FC"/>
          </w:tcPr>
          <w:p>
            <w:pPr>
              <w:spacing w:after="0"/>
              <w:rPr>
                <w:sz w:val="18"/>
                <w:szCs w:val="18"/>
                <w:color w:val="auto"/>
              </w:rPr>
            </w:pPr>
          </w:p>
        </w:tc>
        <w:tc>
          <w:tcPr>
            <w:tcW w:w="1960" w:type="dxa"/>
            <w:vAlign w:val="bottom"/>
            <w:tcBorders>
              <w:bottom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3.40%</w:t>
            </w:r>
          </w:p>
        </w:tc>
        <w:tc>
          <w:tcPr>
            <w:tcW w:w="160" w:type="dxa"/>
            <w:vAlign w:val="bottom"/>
            <w:tcBorders>
              <w:bottom w:val="single" w:sz="8" w:color="CFF0FC"/>
            </w:tcBorders>
            <w:shd w:val="clear" w:color="auto" w:fill="CFF0FC"/>
          </w:tcPr>
          <w:p>
            <w:pPr>
              <w:spacing w:after="0"/>
              <w:rPr>
                <w:sz w:val="18"/>
                <w:szCs w:val="18"/>
                <w:color w:val="auto"/>
              </w:rPr>
            </w:pPr>
          </w:p>
        </w:tc>
        <w:tc>
          <w:tcPr>
            <w:tcW w:w="2180" w:type="dxa"/>
            <w:vAlign w:val="bottom"/>
            <w:tcBorders>
              <w:bottom w:val="single" w:sz="8" w:color="CFF0FC"/>
            </w:tcBorders>
            <w:gridSpan w:val="2"/>
            <w:shd w:val="clear" w:color="auto" w:fill="CFF0FC"/>
          </w:tcPr>
          <w:p>
            <w:pPr>
              <w:jc w:val="center"/>
              <w:ind w:right="180"/>
              <w:spacing w:after="0"/>
              <w:rPr>
                <w:sz w:val="20"/>
                <w:szCs w:val="20"/>
                <w:color w:val="auto"/>
              </w:rPr>
            </w:pPr>
            <w:r>
              <w:rPr>
                <w:rFonts w:ascii="Times New Roman" w:cs="Times New Roman" w:eastAsia="Times New Roman" w:hAnsi="Times New Roman"/>
                <w:sz w:val="18"/>
                <w:szCs w:val="18"/>
                <w:color w:val="auto"/>
              </w:rPr>
              <w:t>July 2033</w:t>
            </w:r>
          </w:p>
        </w:tc>
        <w:tc>
          <w:tcPr>
            <w:tcW w:w="0" w:type="dxa"/>
            <w:vAlign w:val="bottom"/>
          </w:tcPr>
          <w:p>
            <w:pPr>
              <w:spacing w:after="0"/>
              <w:rPr>
                <w:sz w:val="1"/>
                <w:szCs w:val="1"/>
                <w:color w:val="auto"/>
              </w:rPr>
            </w:pPr>
          </w:p>
        </w:tc>
      </w:tr>
      <w:tr>
        <w:trPr>
          <w:trHeight w:val="210"/>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Total mortgage notes payable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150,510</w:t>
            </w: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Total unamortized deferred financing fees</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(298)</w:t>
            </w: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Less: Total unamortized premium/discount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(158)</w:t>
            </w: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mortgage notes payable, net</w:t>
            </w:r>
          </w:p>
        </w:tc>
        <w:tc>
          <w:tcPr>
            <w:tcW w:w="20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7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150,054</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3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1,711,715</w:t>
            </w:r>
          </w:p>
        </w:tc>
        <w:tc>
          <w:tcPr>
            <w:tcW w:w="300" w:type="dxa"/>
            <w:vAlign w:val="bottom"/>
            <w:shd w:val="clear" w:color="auto" w:fill="CFF0FC"/>
          </w:tcPr>
          <w:p>
            <w:pPr>
              <w:spacing w:after="0"/>
              <w:rPr>
                <w:sz w:val="18"/>
                <w:szCs w:val="18"/>
                <w:color w:val="auto"/>
              </w:rPr>
            </w:pPr>
          </w:p>
        </w:tc>
        <w:tc>
          <w:tcPr>
            <w:tcW w:w="19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-4448175</wp:posOffset>
            </wp:positionV>
            <wp:extent cx="7747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-4165600</wp:posOffset>
            </wp:positionV>
            <wp:extent cx="7747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4213860</wp:posOffset>
            </wp:positionH>
            <wp:positionV relativeFrom="paragraph">
              <wp:posOffset>-847725</wp:posOffset>
            </wp:positionV>
            <wp:extent cx="7747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70" w:lineRule="exact"/>
        <w:rPr>
          <w:sz w:val="20"/>
          <w:szCs w:val="20"/>
          <w:color w:val="auto"/>
        </w:rPr>
      </w:pPr>
    </w:p>
    <w:p>
      <w:pPr>
        <w:ind w:left="760" w:right="100" w:hanging="378"/>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interest rates are as follows: 2016 term loan facility 5.59%, 2018 term loan facility 5.53%, 2017 series A senior notes 4.15%, 2017 series B senior notes 4.23%, 2017 series C senior notes 4.37%, 2019 series A senior notes 3.82%, 2019 series B senior notes 3.91%, 2019 series C senior notes 4.04%, 2021 series A senior notes 2.74%, 2021 series B senior notes 2.99%, 2024 series A senior notes 6.74%, 2024 series B senior notes 6.73%, 2025 series A senior notes 6.36%, 2025 series B</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7" w:name="page38"/>
    <w:bookmarkEnd w:id="37"/>
    <w:p>
      <w:pPr>
        <w:ind w:left="760"/>
        <w:spacing w:after="0"/>
        <w:rPr>
          <w:sz w:val="20"/>
          <w:szCs w:val="20"/>
          <w:color w:val="auto"/>
        </w:rPr>
      </w:pPr>
      <w:r>
        <w:rPr>
          <w:rFonts w:ascii="Times New Roman" w:cs="Times New Roman" w:eastAsia="Times New Roman" w:hAnsi="Times New Roman"/>
          <w:sz w:val="18"/>
          <w:szCs w:val="18"/>
          <w:color w:val="auto"/>
        </w:rPr>
        <w:t>senior notes 6.51%, USFS II – Albuquerque 3.92%, ICE – Charleston 3.93%, VA – Loma Linda 3.78%, CBP – Savannah 4.12%.</w:t>
      </w:r>
    </w:p>
    <w:p>
      <w:pPr>
        <w:spacing w:after="0" w:line="27" w:lineRule="exact"/>
        <w:rPr>
          <w:sz w:val="20"/>
          <w:szCs w:val="20"/>
          <w:color w:val="auto"/>
        </w:rPr>
      </w:pPr>
    </w:p>
    <w:p>
      <w:pPr>
        <w:ind w:left="760" w:hanging="378"/>
        <w:spacing w:after="0" w:line="265" w:lineRule="auto"/>
        <w:tabs>
          <w:tab w:leader="none" w:pos="7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March 31, 2026, the USD SOFR with a five day lookback (“SOFR”) was 3.63%. The current interest rate is not adjusted to include the amortization of deferred financing fees or debt issuance costs incurred in obtaining debt or any unamortized fair market value premiums. The spread over the applicable rate for each of our $400.0 million senior unsecured revolving credit facility (the “2024 revolving credit facility”), our $200.0 million senior unsecured term loan facility (as amended, our “2018 term loan facility”) and our $100.0 million senior unsecured term loan facility (as amended, our “2016 term loan facility”) is based on our consolidated leverage ratio, as set forth in the respective loan agreements.</w:t>
      </w:r>
    </w:p>
    <w:p>
      <w:pPr>
        <w:ind w:left="760" w:right="16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$400.0 million senior unsecured revolving credit facility had available capacity of $154.8 million at March 31, 2026, in addition to an accordion feature that provides us with additional capacity of up to $300.0 million, subject to syndication of the increase and the satisfaction of customary terms and conditions.</w:t>
      </w:r>
    </w:p>
    <w:p>
      <w:pPr>
        <w:spacing w:after="0" w:line="1" w:lineRule="exact"/>
        <w:rPr>
          <w:rFonts w:ascii="Times New Roman" w:cs="Times New Roman" w:eastAsia="Times New Roman" w:hAnsi="Times New Roman"/>
          <w:sz w:val="18"/>
          <w:szCs w:val="18"/>
          <w:color w:val="auto"/>
        </w:rPr>
      </w:pPr>
    </w:p>
    <w:p>
      <w:pPr>
        <w:ind w:left="760" w:right="10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2024 revolving credit facility has two six-month as-of-right extension options subject to certain conditions and the payment of an extension fee.</w:t>
      </w:r>
    </w:p>
    <w:p>
      <w:pPr>
        <w:jc w:val="both"/>
        <w:ind w:left="760" w:right="32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2016 term loan facility is subject to three interest rate swaps with an effective date of December 23, 2024 and a notional value of $100.0 million, which effectively fixes the interest rate at 5.31% annually, based on our consolidated leverage ratio as defined in our 2016 term loan facility agreement.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2016 term loan facility has two one-year as-of-right extension options subject to certain conditions and the payment of an extension fee.</w:t>
      </w:r>
    </w:p>
    <w:p>
      <w:pPr>
        <w:spacing w:after="0" w:line="9" w:lineRule="exact"/>
        <w:rPr>
          <w:rFonts w:ascii="Times New Roman" w:cs="Times New Roman" w:eastAsia="Times New Roman" w:hAnsi="Times New Roman"/>
          <w:sz w:val="18"/>
          <w:szCs w:val="18"/>
          <w:color w:val="auto"/>
        </w:rPr>
      </w:pPr>
    </w:p>
    <w:p>
      <w:pPr>
        <w:ind w:left="760" w:right="100" w:hanging="378"/>
        <w:spacing w:after="0" w:line="250" w:lineRule="auto"/>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2018 term loan facility is subject to three interest rate swaps, of which one has an effective date of March 24, 2025 and two of the swaps have an effective date of June 30, 2025. The three swaps have an aggregate notional value of $200.0 million, which effectively fixes the interest rate at 5.09% annually, based on our consolidated leverage ratio as defined in our 2018 term loan facility agreement.</w:t>
      </w:r>
    </w:p>
    <w:p>
      <w:pPr>
        <w:spacing w:after="0" w:line="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2018 term loan facility has two one-year as-of-right extension options subject to certain conditions and the payment of an extension fee.</w:t>
      </w:r>
    </w:p>
    <w:p>
      <w:pPr>
        <w:spacing w:after="0" w:line="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two $50.0 million treasury lock agreements to fix the Treasury rate of our 2025 series B senior notes.</w:t>
      </w:r>
    </w:p>
    <w:p>
      <w:pPr>
        <w:spacing w:after="0" w:line="200" w:lineRule="exact"/>
        <w:rPr>
          <w:sz w:val="20"/>
          <w:szCs w:val="20"/>
          <w:color w:val="auto"/>
        </w:rPr>
      </w:pPr>
    </w:p>
    <w:p>
      <w:pPr>
        <w:spacing w:after="0" w:line="33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Our 2024 revolving credit facility, term loan facilities, notes payable, and mortgage notes payable are subject to ongoing compliance with a number of financial and other covenants. As of March 31, 2026, we were in compliance with all applicable financial covenants.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chart below details our debt capital structure as of March 31, 2026 (dollar amounts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62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Debt Capital Structure</w:t>
            </w: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14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principal outstanding</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1,720,560</w:t>
            </w:r>
          </w:p>
        </w:tc>
        <w:tc>
          <w:tcPr>
            <w:tcW w:w="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maturity</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 average interest rate</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 Variable debt</w:t>
            </w:r>
          </w:p>
        </w:tc>
        <w:tc>
          <w:tcPr>
            <w:tcW w:w="2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 Fixed debt </w:t>
            </w:r>
            <w:r>
              <w:rPr>
                <w:rFonts w:ascii="Times New Roman" w:cs="Times New Roman" w:eastAsia="Times New Roman" w:hAnsi="Times New Roman"/>
                <w:sz w:val="24"/>
                <w:szCs w:val="24"/>
                <w:color w:val="auto"/>
                <w:vertAlign w:val="superscript"/>
              </w:rPr>
              <w:t>(1)</w:t>
            </w:r>
          </w:p>
        </w:tc>
        <w:tc>
          <w:tcPr>
            <w:tcW w:w="26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85.8%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 Secured debt</w:t>
            </w:r>
          </w:p>
        </w:tc>
        <w:tc>
          <w:tcPr>
            <w:tcW w:w="2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Our 2016 term loan facility and 2018 term loan facility are swapped to be fixed and as such are included as fixed rate debt in the table above.</w:t>
      </w:r>
    </w:p>
    <w:p>
      <w:pPr>
        <w:spacing w:after="0" w:line="200" w:lineRule="exact"/>
        <w:rPr>
          <w:sz w:val="20"/>
          <w:szCs w:val="20"/>
          <w:color w:val="auto"/>
        </w:rPr>
      </w:pPr>
    </w:p>
    <w:p>
      <w:pPr>
        <w:spacing w:after="0" w:line="34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Material Cash Commitments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As of both March 31, 2026 and the date of this filing, the outstanding balance of the Construction Loan receivable was $35.6 million and our remaining obligation to fund was $0.4 million. We expect to fund the remaining commitment through the anticipated maturity of the Construction Loan on August 31, 2027, dependent on the borrower’s election to use the commitments. For a more complete description of the Construction Loan, see Note 5 to the Consolidated Financial Statements.</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Other than as described above, during the three months ended March 31, 2026, there were no material changes to the cash commitment information presented in Item 7 of Part II of our Annual Report on Form 10-K for the year ended December 31, 2025.</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8" w:name="page39"/>
    <w:bookmarkEnd w:id="38"/>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Unconsolidated Real Estate Venture</w:t>
      </w:r>
    </w:p>
    <w:p>
      <w:pPr>
        <w:spacing w:after="0" w:line="12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consolidate entities in which we have a controlling interest or are the primary beneficiary in a variable interest entity. From time to time, we may have off-balance sheet unconsolidated real estate ventures and other unconsolidated arrangements with varying structures.</w:t>
      </w:r>
    </w:p>
    <w:p>
      <w:pPr>
        <w:spacing w:after="0" w:line="162"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we had invested $304.1 million in the JV. As of March 31, 2026, we had committed capital, net of return of over committed capital, to the JV totaling $332.9 million and had a remaining commitment of $8.5 million available. None of the properties owned by the JV are encumbered by mortgage indebtedness.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 more complete description of the JV, see Note 4 to the Consolidated Financial Statements.</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Dividend Policy</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In order to qualify as a REIT, we are required to distribute to our stockholders, on an annual basis, at least 90% of our REIT taxable income, determined without regard to the deduction for dividends paid and excluding net capital gains. We anticipate distributing all of our taxable income. We expect to make quarterly distributions to our stockholders in a manner intended to satisfy this requirement. Prior to making any distributions for U.S. federal tax purposes or otherwise, we must first satisfy our operating and debt service obligations. It is possible that it would be necessary to utilize cash reserves, liquidate assets at unfavorable prices or incur additional indebtedness in order to make required distributions. It is also possible that our Board of Directors could decide to make required distributions in part by using shares of our common stock.</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summary of dividends declared by the Board of Directors per share of common stock and per common unit at the date of record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w:t>
            </w:r>
          </w:p>
        </w:tc>
        <w:tc>
          <w:tcPr>
            <w:tcW w:w="220" w:type="dxa"/>
            <w:vAlign w:val="bottom"/>
          </w:tcPr>
          <w:p>
            <w:pPr>
              <w:spacing w:after="0"/>
              <w:rPr>
                <w:sz w:val="18"/>
                <w:szCs w:val="18"/>
                <w:color w:val="auto"/>
              </w:rPr>
            </w:pPr>
          </w:p>
        </w:tc>
        <w:tc>
          <w:tcPr>
            <w:tcW w:w="232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Declaration Date</w:t>
            </w:r>
          </w:p>
        </w:tc>
        <w:tc>
          <w:tcPr>
            <w:tcW w:w="220" w:type="dxa"/>
            <w:vAlign w:val="bottom"/>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Record Date</w:t>
            </w:r>
          </w:p>
        </w:tc>
        <w:tc>
          <w:tcPr>
            <w:tcW w:w="220" w:type="dxa"/>
            <w:vAlign w:val="bottom"/>
          </w:tcPr>
          <w:p>
            <w:pPr>
              <w:spacing w:after="0"/>
              <w:rPr>
                <w:sz w:val="18"/>
                <w:szCs w:val="18"/>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Payment Date</w:t>
            </w:r>
          </w:p>
        </w:tc>
        <w:tc>
          <w:tcPr>
            <w:tcW w:w="2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xml:space="preserve">Dividend </w:t>
            </w:r>
            <w:r>
              <w:rPr>
                <w:rFonts w:ascii="Times New Roman" w:cs="Times New Roman" w:eastAsia="Times New Roman" w:hAnsi="Times New Roman"/>
                <w:sz w:val="19"/>
                <w:szCs w:val="19"/>
                <w:b w:val="1"/>
                <w:bCs w:val="1"/>
                <w:color w:val="auto"/>
                <w:vertAlign w:val="superscript"/>
              </w:rPr>
              <w:t>(1)</w:t>
            </w:r>
          </w:p>
        </w:tc>
        <w:tc>
          <w:tcPr>
            <w:tcW w:w="100" w:type="dxa"/>
            <w:vAlign w:val="bottom"/>
          </w:tcPr>
          <w:p>
            <w:pPr>
              <w:spacing w:after="0"/>
              <w:rPr>
                <w:sz w:val="18"/>
                <w:szCs w:val="18"/>
                <w:color w:val="auto"/>
              </w:rPr>
            </w:pPr>
          </w:p>
        </w:tc>
      </w:tr>
      <w:tr>
        <w:trPr>
          <w:trHeight w:val="196"/>
        </w:trPr>
        <w:tc>
          <w:tcPr>
            <w:tcW w:w="13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Q1 2026</w:t>
            </w:r>
          </w:p>
        </w:tc>
        <w:tc>
          <w:tcPr>
            <w:tcW w:w="220" w:type="dxa"/>
            <w:vAlign w:val="bottom"/>
            <w:shd w:val="clear" w:color="auto" w:fill="CFF0FC"/>
          </w:tcPr>
          <w:p>
            <w:pPr>
              <w:spacing w:after="0"/>
              <w:rPr>
                <w:sz w:val="17"/>
                <w:szCs w:val="17"/>
                <w:color w:val="auto"/>
              </w:rPr>
            </w:pPr>
          </w:p>
        </w:tc>
        <w:tc>
          <w:tcPr>
            <w:tcW w:w="2320" w:type="dxa"/>
            <w:vAlign w:val="bottom"/>
            <w:shd w:val="clear" w:color="auto" w:fill="CFF0FC"/>
          </w:tcPr>
          <w:p>
            <w:pPr>
              <w:ind w:left="660"/>
              <w:spacing w:after="0"/>
              <w:rPr>
                <w:sz w:val="20"/>
                <w:szCs w:val="20"/>
                <w:color w:val="auto"/>
              </w:rPr>
            </w:pPr>
            <w:r>
              <w:rPr>
                <w:rFonts w:ascii="Times New Roman" w:cs="Times New Roman" w:eastAsia="Times New Roman" w:hAnsi="Times New Roman"/>
                <w:sz w:val="17"/>
                <w:szCs w:val="17"/>
                <w:color w:val="auto"/>
              </w:rPr>
              <w:t>April 22,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w w:val="99"/>
              </w:rPr>
              <w:t>May 7, 2026</w:t>
            </w:r>
          </w:p>
        </w:tc>
        <w:tc>
          <w:tcPr>
            <w:tcW w:w="220" w:type="dxa"/>
            <w:vAlign w:val="bottom"/>
            <w:shd w:val="clear" w:color="auto" w:fill="CFF0FC"/>
          </w:tcPr>
          <w:p>
            <w:pPr>
              <w:spacing w:after="0"/>
              <w:rPr>
                <w:sz w:val="17"/>
                <w:szCs w:val="17"/>
                <w:color w:val="auto"/>
              </w:rPr>
            </w:pPr>
          </w:p>
        </w:tc>
        <w:tc>
          <w:tcPr>
            <w:tcW w:w="24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May 21, 2026</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0.45</w:t>
            </w:r>
          </w:p>
        </w:tc>
        <w:tc>
          <w:tcPr>
            <w:tcW w:w="100" w:type="dxa"/>
            <w:vAlign w:val="bottom"/>
            <w:shd w:val="clear" w:color="auto" w:fill="CFF0FC"/>
          </w:tcPr>
          <w:p>
            <w:pPr>
              <w:spacing w:after="0"/>
              <w:rPr>
                <w:sz w:val="17"/>
                <w:szCs w:val="17"/>
                <w:color w:val="auto"/>
              </w:rPr>
            </w:pPr>
          </w:p>
        </w:tc>
      </w:tr>
    </w:tbl>
    <w:p>
      <w:pPr>
        <w:spacing w:after="0" w:line="90" w:lineRule="exact"/>
        <w:rPr>
          <w:sz w:val="20"/>
          <w:szCs w:val="20"/>
          <w:color w:val="auto"/>
        </w:rPr>
      </w:pPr>
    </w:p>
    <w:p>
      <w:pPr>
        <w:ind w:left="760" w:right="60" w:hanging="378"/>
        <w:spacing w:after="0" w:line="256" w:lineRule="auto"/>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end of the performance period as set forth in the applicable LTIP unit award, holders of performance-based LTIP units are entitled to receive dividends per LTIP unit equal to 10% of the dividend paid per common unit. After the end of the performance period, the number of LTIP units, both vested and unvested, that LTIP award recipients have earned, if any, are entitled to receive dividends in an amount per LTIP unit equal to dividends, both regular and special, payable per common unit. Holders of LTIP units that are not subject to the attainment of performance goals are entitled to receive dividends per LTIP unit equal to 100% of the dividend paid per common unit beginning on the grant date.</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121" w:lineRule="exact"/>
        <w:rPr>
          <w:sz w:val="20"/>
          <w:szCs w:val="20"/>
          <w:color w:val="auto"/>
        </w:rPr>
      </w:pPr>
    </w:p>
    <w:p>
      <w:pPr>
        <w:jc w:val="both"/>
        <w:ind w:right="360" w:firstLine="509"/>
        <w:spacing w:after="0" w:line="266" w:lineRule="auto"/>
        <w:rPr>
          <w:sz w:val="20"/>
          <w:szCs w:val="20"/>
          <w:color w:val="auto"/>
        </w:rPr>
      </w:pPr>
      <w:r>
        <w:rPr>
          <w:rFonts w:ascii="Times New Roman" w:cs="Times New Roman" w:eastAsia="Times New Roman" w:hAnsi="Times New Roman"/>
          <w:sz w:val="18"/>
          <w:szCs w:val="18"/>
          <w:color w:val="auto"/>
        </w:rPr>
        <w:t>Substantially all of our leases provide for operating expense escalations. We believe inflationary increases in expenses may be at least partially offset by the operating expenses that are passed through to our tenants and by contractual rent increases. We do not believe inflation has had a material impact on our historical financial position or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sets forth a summary of cash flows for the three months ended March 31, 2026 and 2025 (amounts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10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60" w:type="dxa"/>
            <w:vAlign w:val="bottom"/>
            <w:gridSpan w:val="6"/>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142"/>
        </w:trPr>
        <w:tc>
          <w:tcPr>
            <w:tcW w:w="4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77"/>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r>
      <w:tr>
        <w:trPr>
          <w:trHeight w:val="210"/>
        </w:trPr>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activities</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27,335</w:t>
            </w:r>
          </w:p>
        </w:tc>
        <w:tc>
          <w:tcPr>
            <w:tcW w:w="120" w:type="dxa"/>
            <w:vAlign w:val="bottom"/>
          </w:tcPr>
          <w:p>
            <w:pPr>
              <w:spacing w:after="0"/>
              <w:rPr>
                <w:sz w:val="18"/>
                <w:szCs w:val="18"/>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24,187</w:t>
            </w:r>
          </w:p>
        </w:tc>
        <w:tc>
          <w:tcPr>
            <w:tcW w:w="80" w:type="dxa"/>
            <w:vAlign w:val="bottom"/>
          </w:tcPr>
          <w:p>
            <w:pPr>
              <w:spacing w:after="0"/>
              <w:rPr>
                <w:sz w:val="18"/>
                <w:szCs w:val="18"/>
                <w:color w:val="auto"/>
              </w:rPr>
            </w:pPr>
          </w:p>
        </w:tc>
      </w:tr>
      <w:tr>
        <w:trPr>
          <w:trHeight w:val="216"/>
        </w:trPr>
        <w:tc>
          <w:tcPr>
            <w:tcW w:w="41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Investing activities</w:t>
            </w:r>
          </w:p>
        </w:tc>
        <w:tc>
          <w:tcPr>
            <w:tcW w:w="1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(73,433)</w:t>
            </w:r>
          </w:p>
        </w:tc>
        <w:tc>
          <w:tcPr>
            <w:tcW w:w="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(45,239)</w:t>
            </w:r>
          </w:p>
        </w:tc>
      </w:tr>
      <w:tr>
        <w:trPr>
          <w:trHeight w:val="234"/>
        </w:trPr>
        <w:tc>
          <w:tcPr>
            <w:tcW w:w="4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Financing activities</w:t>
            </w:r>
          </w:p>
        </w:tc>
        <w:tc>
          <w:tcPr>
            <w:tcW w:w="1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25,145</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10,737</w:t>
            </w:r>
          </w:p>
        </w:tc>
        <w:tc>
          <w:tcPr>
            <w:tcW w:w="80" w:type="dxa"/>
            <w:vAlign w:val="bottom"/>
          </w:tcPr>
          <w:p>
            <w:pPr>
              <w:spacing w:after="0"/>
              <w:rPr>
                <w:sz w:val="20"/>
                <w:szCs w:val="20"/>
                <w:color w:val="auto"/>
              </w:rPr>
            </w:pPr>
          </w:p>
        </w:tc>
      </w:tr>
    </w:tbl>
    <w:p>
      <w:pPr>
        <w:spacing w:after="0" w:line="2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generated $27.3 million and $24.2 million of cash from operating activities during the three months ended March 31, 2026 and 2025, respectively. Net cash provided by operating activities for the three months ended March 31, 2026 includes $30.5 million in net cash from rental activities net of expenses and $2.3 million related to distributions from investment in unconsolidated real estate venture offset by $5.5 million related to the change in tenant accounts receivable, prepaid expenses and other assets, real estate loan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9" w:name="page40"/>
    <w:bookmarkEnd w:id="39"/>
    <w:p>
      <w:pPr>
        <w:ind w:right="100"/>
        <w:spacing w:after="0" w:line="256" w:lineRule="auto"/>
        <w:rPr>
          <w:sz w:val="20"/>
          <w:szCs w:val="20"/>
          <w:color w:val="auto"/>
        </w:rPr>
      </w:pPr>
      <w:r>
        <w:rPr>
          <w:rFonts w:ascii="Times New Roman" w:cs="Times New Roman" w:eastAsia="Times New Roman" w:hAnsi="Times New Roman"/>
          <w:sz w:val="18"/>
          <w:szCs w:val="18"/>
          <w:color w:val="auto"/>
        </w:rPr>
        <w:t>interest receivable, deferred revenue associated with operating leases, principal payments on operating lease obligations, principal repayment of sales-type lease, and accounts payable, accrued expenses and other liabilities. Net cash provided by operating activities for the three months ended March 31, 2025 includes $28.5 million in net cash from rental activities net of expenses and $3.8 million related to distributions from investment in unconsolidated real estate venture, offset by $8.1 million related to the change in tenant accounts receivable, prepaid expenses and other assets, real estate loan interest receivable, deferred revenue associated with operating leases, principal payments on operating lease obligations, and accounts payable, accrued expenses and other liabilities.</w:t>
      </w:r>
    </w:p>
    <w:p>
      <w:pPr>
        <w:spacing w:after="0" w:line="29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ind w:right="60" w:firstLine="509"/>
        <w:spacing w:after="0" w:line="257" w:lineRule="auto"/>
        <w:rPr>
          <w:sz w:val="20"/>
          <w:szCs w:val="20"/>
          <w:color w:val="auto"/>
        </w:rPr>
      </w:pPr>
      <w:r>
        <w:rPr>
          <w:rFonts w:ascii="Times New Roman" w:cs="Times New Roman" w:eastAsia="Times New Roman" w:hAnsi="Times New Roman"/>
          <w:sz w:val="18"/>
          <w:szCs w:val="18"/>
          <w:color w:val="auto"/>
        </w:rPr>
        <w:t>We used $73.4 million and $45.2 million in cash for investing activities during the three months ended March 31, 2026 and 2025, respectively. Net cash used in investing activities for the three months ended March 31, 2026 includes $43.2 million in real estate acquisitions and deposits, $17.8 million in additions to development properties, $6.9 million in investments in real estate loans receivable, net and $5.5 million in additions to operating properties.</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2025 includes $20.8 million in additions to development properties, $8.6 million in additions to operating properties, $8.5 million in investment in real estate loan receivable, net and $7.3 million in real estate acquisitions and deposits.</w:t>
      </w:r>
    </w:p>
    <w:p>
      <w:pPr>
        <w:spacing w:after="0" w:line="2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generated $25.1 million and $10.7 million in cash from financing activities during the three months ended March 31, 2026 and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respectively. Net cash generated in financing activities for the three months ended March 31, 2026 includes $46.0 million in net draws under our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and $2.2 million in gross proceeds from issuance of shares of our common stock offset by $21.8 million in dividend payments,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 million in mortgage notes payable repayment and less than $0.1 million in the payment of offering costs. Net cash generated by financing activities for</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months ended March 31, 2025 includes $125.0 million in note payable issuances and $41.3 million in gross proceeds from issuance of shares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common stock, offset by $119.5 million in net paydowns under our 2024 revolving credit facility, $30.2 million in dividend payments, $2.3 million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financing costs, $1.9 million in treasury lock settlement, $1.1 million in mortgage notes payable repayment and $0.4 million in the payment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offering costs.</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use and present Funds From Operations (“FFO”) and Core FFO as supplemental measures of our performance. The summary below describes our use of FFO and Core FFO and provides information regarding why we believe these measures are meaningful supplemental measures of our performance and reconciles these measures from net income, presented in accordance with GAAP.</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Funds From Operations and Core Funds From Operations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FFO is a supplemental measure of our performance. We present FFO calculated in accordance with the current National Association of Real Estate Investment Trusts (“Nareit”) definition set forth in the Nareit FFO White Paper – Restatement 2018. FFO includes the REIT’s share of FFO generated by unconsolidated affiliates. In addition, we present Core FFO for certain other adjustments that we believe enhance the comparability of our FFO across periods and to the FFO reported by other publicly traded REITs. FFO is a supplemental performance measure that is commonly used in the real estate industry to assist investors and analysts in comparing results of REITs.</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FFO is defined by Nareit as net income (calculated in accordance with GAAP), excluding:</w:t>
      </w:r>
    </w:p>
    <w:p>
      <w:pPr>
        <w:spacing w:after="0" w:line="225"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related to real estate.</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from the sale of certain real estate assets.</w:t>
      </w:r>
    </w:p>
    <w:p>
      <w:pPr>
        <w:spacing w:after="0" w:line="225"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from change in control.</w:t>
      </w:r>
    </w:p>
    <w:p>
      <w:pPr>
        <w:spacing w:after="0" w:line="225" w:lineRule="exact"/>
        <w:rPr>
          <w:rFonts w:ascii="Times New Roman" w:cs="Times New Roman" w:eastAsia="Times New Roman" w:hAnsi="Times New Roman"/>
          <w:sz w:val="18"/>
          <w:szCs w:val="18"/>
          <w:color w:val="auto"/>
        </w:rPr>
      </w:pPr>
    </w:p>
    <w:p>
      <w:pPr>
        <w:ind w:left="1020" w:right="180" w:hanging="503"/>
        <w:spacing w:after="0" w:line="282"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write-downs of certain real estate assets and investments in entities when the impairment is directly attributable to decreases in the value of depreciable real estate held by the entity.</w:t>
      </w:r>
    </w:p>
    <w:p>
      <w:pPr>
        <w:spacing w:after="0" w:line="162"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We present FFO because we consider it an important supplemental measure of our operating performance, and we believe it is frequently used by securities analysts, investors and other interested parties in the evaluation of REITs, many of which present FFO when reporting results.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adjust FFO to present Core FFO as an alternative measure of our operating performance, which, when applicable, excludes items which we believe are not representative of ongoing operating results, such as liability management related costs (including losses on extinguishment of debt and modification costs), catastrophic event charges, depreciation of non-real estate assets, recovery of credit losses and the unconsolidated real estate venture’s allocated share of these adjustments. In future periods, we may also exclude other items from Core FFO that we believe may help investors compare our results. We believe Core FFO more accurately reflects the ongoing operational and financial performance of our core business.</w:t>
      </w:r>
    </w:p>
    <w:p>
      <w:pPr>
        <w:spacing w:after="0" w:line="183"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FFO and Core FFO are presented as supplemental financial measures and do not fully represent our operating performance. Other REITs may use different methodologies for calculating FFO and Core FFO or use other definitions of FFO and Core FFO and, accordingly, our presentation of these measures may not be comparable to other REITs. Neither FFO nor Core FFO is intended to be a measure of cash flow or liquidity. Please refer to our financial statements, prepared in accordance with GAAP, for purposes of evaluating our financial condition, results of operations and cash flows.</w:t>
      </w:r>
    </w:p>
    <w:p>
      <w:pPr>
        <w:spacing w:after="0" w:line="18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reconciliation of our net income to FFO and Core FFO for the three months ended March 31, 2026 and 2025 (amounts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3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7560" w:type="dxa"/>
            <w:vAlign w:val="bottom"/>
          </w:tcPr>
          <w:p>
            <w:pPr>
              <w:spacing w:after="0"/>
              <w:rPr>
                <w:sz w:val="12"/>
                <w:szCs w:val="12"/>
                <w:color w:val="auto"/>
              </w:rPr>
            </w:pPr>
          </w:p>
        </w:tc>
        <w:tc>
          <w:tcPr>
            <w:tcW w:w="1120" w:type="dxa"/>
            <w:vAlign w:val="bottom"/>
            <w:tcBorders>
              <w:bottom w:val="single" w:sz="8" w:color="auto"/>
            </w:tcBorders>
          </w:tcPr>
          <w:p>
            <w:pPr>
              <w:jc w:val="right"/>
              <w:ind w:right="4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shd w:val="clear" w:color="auto" w:fill="CFF0FC"/>
          </w:tcPr>
          <w:p>
            <w:pPr>
              <w:jc w:val="right"/>
              <w:ind w:right="94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1280" w:type="dxa"/>
            <w:vAlign w:val="bottom"/>
            <w:gridSpan w:val="2"/>
            <w:shd w:val="clear" w:color="auto" w:fill="CFF0FC"/>
          </w:tcPr>
          <w:p>
            <w:pPr>
              <w:jc w:val="right"/>
              <w:ind w:right="88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3,283</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of real estate assets</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32,955</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26,546</w:t>
            </w:r>
          </w:p>
        </w:tc>
        <w:tc>
          <w:tcPr>
            <w:tcW w:w="10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Unconsolidated real estate venture allocated share of above adjustments</w:t>
            </w:r>
          </w:p>
        </w:tc>
        <w:tc>
          <w:tcPr>
            <w:tcW w:w="112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2,281</w:t>
            </w:r>
          </w:p>
        </w:tc>
        <w:tc>
          <w:tcPr>
            <w:tcW w:w="24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FFO</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36,650</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32,108</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FFO:</w:t>
            </w: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on extinguishment of debt and modification costs</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Provision for (recovery of) credit losses</w:t>
            </w: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(238)</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Natural disaster event expense, net of recovery</w:t>
            </w:r>
          </w:p>
        </w:tc>
        <w:tc>
          <w:tcPr>
            <w:tcW w:w="1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Depreciation of non-real estate assets</w:t>
            </w: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Unconsolidated real estate venture allocated share of above adjustments</w:t>
            </w:r>
          </w:p>
        </w:tc>
        <w:tc>
          <w:tcPr>
            <w:tcW w:w="1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1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Core FFO</w:t>
            </w:r>
          </w:p>
        </w:tc>
        <w:tc>
          <w:tcPr>
            <w:tcW w:w="112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37,145</w:t>
            </w:r>
          </w:p>
        </w:tc>
        <w:tc>
          <w:tcPr>
            <w:tcW w:w="2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33,061</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-1113790</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-1113790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jc w:val="both"/>
        <w:ind w:right="200"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use judgment in the application of accounting policies, including making estimates and assumptions. We base these estimates, judgments, and assumptions on historical experience, current trends, and various other factors that we believe to be reasonable under the circumstances. If our judgment or interpretation of the facts and circumstances relating to various transactions had been different, or different assumptions were made, it is possible that different accounting policies would have been applied, resulting in different financial results or a different presentation of our financial statements.</w:t>
      </w:r>
    </w:p>
    <w:p>
      <w:pPr>
        <w:spacing w:after="0" w:line="18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Our Annual Report on Form 10-K for the year ended December 31, 2025 contains a discussion of our significant accounting policies, which utilize relevant critical accounting estimates. During the three months ended March 31, 2026, there were no material changes to the discussion of our significant accounting policies included in our Annual Report on Form 10-K for the year ended December 31, 2025.</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 interest rates. Our future earnings, cash flows and fair values relevant to financial instruments are dependent upon prevailing market interest rates. Our primary market risk results from our indebtedness, which bears interest at both fixed and variable rates. We manage and may continue to manage our market risk on variable rate debt by entering into swap arrangements to, in effect, fix the rate on all or a portion of the debt for varying periods up to maturity. This in turn, reduces the risks of variability of cash flows created by variable rate debt and mitigates the risk of increases in interest rates. Our objective when undertaking such arrangements is to reduce our floating rate exposure and we do not intend to enter into hedging arrangements for speculative purposes. For more information on our interest rate swaps, see Note 7 to the Consolidated Financial Statements.</w:t>
      </w:r>
    </w:p>
    <w:p>
      <w:pPr>
        <w:spacing w:after="0" w:line="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As of March 31, 2026, $1.5 billion, or 85.8% of our debt, excluding unamortized premiums and discounts, had fixed interest rates and $245.1 million, or 14.2%, had variable interest rates based on SOFR. If market interest rates on our variable rate debt fluctuate by 25 basis points, our interest expense would increase or decrease, depending on rate movement, by $0.6 million annually.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carried out an evaluation required by the Exchange Act, under the supervision and with the participation of our principal executive officer and principal financial officer, of the effectiveness of the design and operation of our disclosure controls and procedures, as defined in Rule 13a -15(e) and Rule 15d-15 of the Exchange Act, as of March 31, 2026. Based on this evaluation, our principal executive officer and principal financial officer concluded that, as of March 31, 2026, our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principal executive officer and principal financial officer, as appropriate, to allow timely decisions regarding required disclosures.</w:t>
      </w:r>
    </w:p>
    <w:p>
      <w:pPr>
        <w:spacing w:after="0" w:line="2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March 31, 2026 that have materially affected, or are reasonably likely to materially affect, our internal control over financial reporting.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not currently involved in any material litigation nor, to our knowledge, is any material litigation currently threatened against 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Except to the extent additional factual information disclosed elsewhere in this Quarterly Report on Form 10-Q relates to such risk factors (including, without limitation, the matters discussed in Part I, “Item 2—Management</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s Discussion and Analysis of Financial Condition and Results of Operations”), there were no material changes to the risk factors disclosed in Part I, “Item 1A. Risk Factors” of our Annual Report on Form 10-K for the year ended December 31, 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right="60" w:firstLine="517"/>
        <w:spacing w:after="0" w:line="254" w:lineRule="auto"/>
        <w:tabs>
          <w:tab w:leader="none" w:pos="754"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22, 2026, the Compensation Committee of the Board of Directors of the Company (the “Compensation Committee”) approved the adoption of an Amended and Restated Executive Cash Severance Plan (the “Amended and Restated Executive Severance Plan”) under which Darrell W. Crate, our Chief Executive Officer and President and other named executive officers, namely Michael P. Ibe, our Executive Vice President, Development and Acquisitions and Vice Chairman of the Board of Directors, Allison E. Marino, our Executive Vice President, Chief Financial Officer, and Franklin V. Logan, our Executive Vice President, General Counsel and Secretary, are eligible to receive severance cash payments in the event of a qualifying termination of employment with the Company. The Amended and Restated Executive Severance Plan was adopted to update the definition of “Cause” and to make other clarifying changes. The terms of the Amended and Restated Executive Severance Plan are otherwise identical to the Executive Cash Severance Plan approved by the Compensation Committee on February 18, 2026, as summarized in Part II, “Item 9B. Other Information” of our Annual Report on Form 10-K for the year ended December 31, 2025, and incorporated herein by reference.</w:t>
      </w:r>
    </w:p>
    <w:p>
      <w:pPr>
        <w:spacing w:after="0" w:line="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Amended and Restated Executive Severance Plan does not purport to be complete and is subject to, and qualified in its entirety by, the full text of such plan, a copy of which is attached hereto as Exhibit 10.2 and incorporated herein by reference.</w:t>
      </w:r>
    </w:p>
    <w:p>
      <w:pPr>
        <w:spacing w:after="0" w:line="54" w:lineRule="exact"/>
        <w:rPr>
          <w:sz w:val="20"/>
          <w:szCs w:val="20"/>
          <w:color w:val="auto"/>
        </w:rPr>
      </w:pPr>
    </w:p>
    <w:p>
      <w:pPr>
        <w:ind w:firstLine="517"/>
        <w:spacing w:after="0" w:line="266" w:lineRule="auto"/>
        <w:tabs>
          <w:tab w:leader="none" w:pos="764"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none of our directors or officers (as defined in Rule 16a-1(f) of the Exchange Act) adopted, terminated or modified a Rule 10b5-1 trading arrangement or non-Rule 10b5-1 trading arrangement (as such terms are defined in Item 408 of Regulation S-K).</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exhibits are included, or incorporated by reference, in this Quarterly Report on Form 10-Q:</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20" w:type="dxa"/>
            <w:vAlign w:val="bottom"/>
          </w:tcPr>
          <w:p>
            <w:pPr>
              <w:spacing w:after="0"/>
              <w:rPr>
                <w:sz w:val="13"/>
                <w:szCs w:val="13"/>
                <w:color w:val="auto"/>
              </w:rPr>
            </w:pPr>
          </w:p>
        </w:tc>
        <w:tc>
          <w:tcPr>
            <w:tcW w:w="5740" w:type="dxa"/>
            <w:vAlign w:val="bottom"/>
            <w:gridSpan w:val="21"/>
          </w:tcPr>
          <w:p>
            <w:pPr>
              <w:spacing w:after="0"/>
              <w:rPr>
                <w:sz w:val="20"/>
                <w:szCs w:val="20"/>
                <w:color w:val="auto"/>
              </w:rPr>
            </w:pPr>
            <w:r>
              <w:rPr>
                <w:rFonts w:ascii="Times New Roman" w:cs="Times New Roman" w:eastAsia="Times New Roman" w:hAnsi="Times New Roman"/>
                <w:sz w:val="14"/>
                <w:szCs w:val="14"/>
                <w:b w:val="1"/>
                <w:bCs w:val="1"/>
                <w:color w:val="auto"/>
              </w:rPr>
              <w:t>Exhibit 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3.1</w:t>
            </w:r>
          </w:p>
        </w:tc>
        <w:tc>
          <w:tcPr>
            <w:tcW w:w="540" w:type="dxa"/>
            <w:vAlign w:val="bottom"/>
          </w:tcPr>
          <w:p>
            <w:pPr>
              <w:spacing w:after="0"/>
              <w:rPr>
                <w:sz w:val="24"/>
                <w:szCs w:val="24"/>
                <w:color w:val="auto"/>
              </w:rPr>
            </w:pPr>
          </w:p>
        </w:tc>
        <w:tc>
          <w:tcPr>
            <w:tcW w:w="100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Amended and Restated Articles of Amendment and Restatement of Easterly Government Properties, Inc. (previously filed as Exhibit 3.1 to</w:t>
              </w:r>
            </w:hyperlink>
          </w:p>
        </w:tc>
        <w:tc>
          <w:tcPr>
            <w:tcW w:w="160" w:type="dxa"/>
            <w:vAlign w:val="bottom"/>
            <w:gridSpan w:val="2"/>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FF"/>
              </w:rPr>
            </w:pPr>
            <w:hyperlink r:id="rId215">
              <w:r>
                <w:rPr>
                  <w:rFonts w:ascii="Times New Roman" w:cs="Times New Roman" w:eastAsia="Times New Roman" w:hAnsi="Times New Roman"/>
                  <w:sz w:val="18"/>
                  <w:szCs w:val="18"/>
                  <w:color w:val="0000FF"/>
                </w:rPr>
                <w:t>Amendment No. 2 to the Company’s Registration Statement on Form S-11 on January 30, 2015 and incorporated herein by reference)</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shd w:val="clear" w:color="auto" w:fill="0000FF"/>
          </w:tcPr>
          <w:p>
            <w:pPr>
              <w:spacing w:after="0" w:line="20" w:lineRule="exact"/>
              <w:rPr>
                <w:sz w:val="1"/>
                <w:szCs w:val="1"/>
                <w:color w:val="auto"/>
              </w:rPr>
            </w:pPr>
          </w:p>
        </w:tc>
        <w:tc>
          <w:tcPr>
            <w:tcW w:w="88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3.2</w:t>
            </w:r>
          </w:p>
        </w:tc>
        <w:tc>
          <w:tcPr>
            <w:tcW w:w="540" w:type="dxa"/>
            <w:vAlign w:val="bottom"/>
          </w:tcPr>
          <w:p>
            <w:pPr>
              <w:spacing w:after="0"/>
              <w:rPr>
                <w:sz w:val="24"/>
                <w:szCs w:val="24"/>
                <w:color w:val="auto"/>
              </w:rPr>
            </w:pP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16">
              <w:r>
                <w:rPr>
                  <w:rFonts w:ascii="Times New Roman" w:cs="Times New Roman" w:eastAsia="Times New Roman" w:hAnsi="Times New Roman"/>
                  <w:sz w:val="18"/>
                  <w:szCs w:val="18"/>
                  <w:color w:val="0000FF"/>
                </w:rPr>
                <w:t>Articles of Amendment to the Amended and Restated Articles of Amendment and Restatement of Easterly Government Properties, Inc.</w:t>
              </w:r>
            </w:hyperlink>
          </w:p>
        </w:tc>
        <w:tc>
          <w:tcPr>
            <w:tcW w:w="420" w:type="dxa"/>
            <w:vAlign w:val="bottom"/>
            <w:gridSpan w:val="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16">
              <w:r>
                <w:rPr>
                  <w:rFonts w:ascii="Times New Roman" w:cs="Times New Roman" w:eastAsia="Times New Roman" w:hAnsi="Times New Roman"/>
                  <w:sz w:val="18"/>
                  <w:szCs w:val="18"/>
                  <w:color w:val="0000FF"/>
                  <w:w w:val="99"/>
                </w:rPr>
                <w:t>(previously filed as Exhibit 3.1 to the Company’s Current Report on Form 8-K on April 28, 2025 and incorporated herein by reference)</w:t>
              </w:r>
            </w:hyperlink>
          </w:p>
        </w:tc>
        <w:tc>
          <w:tcPr>
            <w:tcW w:w="20" w:type="dxa"/>
            <w:vAlign w:val="bottom"/>
            <w:tcBorders>
              <w:bottom w:val="single" w:sz="8" w:color="0000EE"/>
            </w:tcBorders>
          </w:tcPr>
          <w:p>
            <w:pPr>
              <w:spacing w:after="0"/>
              <w:rPr>
                <w:sz w:val="17"/>
                <w:szCs w:val="17"/>
                <w:color w:val="auto"/>
              </w:rPr>
            </w:pPr>
          </w:p>
        </w:tc>
        <w:tc>
          <w:tcPr>
            <w:tcW w:w="460" w:type="dxa"/>
            <w:vAlign w:val="bottom"/>
            <w:gridSpan w:val="4"/>
          </w:tcPr>
          <w:p>
            <w:pPr>
              <w:spacing w:after="0"/>
              <w:rPr>
                <w:sz w:val="17"/>
                <w:szCs w:val="17"/>
                <w:color w:val="auto"/>
              </w:rPr>
            </w:pPr>
          </w:p>
        </w:tc>
      </w:tr>
      <w:tr>
        <w:trPr>
          <w:trHeight w:val="412"/>
        </w:trPr>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3.3</w:t>
            </w:r>
          </w:p>
        </w:tc>
        <w:tc>
          <w:tcPr>
            <w:tcW w:w="540" w:type="dxa"/>
            <w:vAlign w:val="bottom"/>
          </w:tcPr>
          <w:p>
            <w:pPr>
              <w:spacing w:after="0"/>
              <w:rPr>
                <w:sz w:val="24"/>
                <w:szCs w:val="24"/>
                <w:color w:val="auto"/>
              </w:rPr>
            </w:pP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Articles of Amendment to the Amended and Restated Articles of Amendment and Restatement of Easterly Government Properties, Inc.</w:t>
              </w:r>
            </w:hyperlink>
          </w:p>
        </w:tc>
        <w:tc>
          <w:tcPr>
            <w:tcW w:w="420" w:type="dxa"/>
            <w:vAlign w:val="bottom"/>
            <w:gridSpan w:val="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760" w:type="dxa"/>
            <w:vAlign w:val="bottom"/>
            <w:tcBorders>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217">
              <w:r>
                <w:rPr>
                  <w:rFonts w:ascii="Times New Roman" w:cs="Times New Roman" w:eastAsia="Times New Roman" w:hAnsi="Times New Roman"/>
                  <w:sz w:val="18"/>
                  <w:szCs w:val="18"/>
                  <w:color w:val="0000FF"/>
                  <w:w w:val="99"/>
                </w:rPr>
                <w:t>(previously filed as Exhibit 3.2 to the Company’s Current Report on Form 8-K on April 28, 2025 and incorporated herein by reference)</w:t>
              </w:r>
            </w:hyperlink>
          </w:p>
        </w:tc>
        <w:tc>
          <w:tcPr>
            <w:tcW w:w="20" w:type="dxa"/>
            <w:vAlign w:val="bottom"/>
            <w:tcBorders>
              <w:bottom w:val="single" w:sz="8" w:color="0000EE"/>
            </w:tcBorders>
          </w:tcPr>
          <w:p>
            <w:pPr>
              <w:spacing w:after="0"/>
              <w:rPr>
                <w:sz w:val="17"/>
                <w:szCs w:val="17"/>
                <w:color w:val="auto"/>
              </w:rPr>
            </w:pPr>
          </w:p>
        </w:tc>
        <w:tc>
          <w:tcPr>
            <w:tcW w:w="460" w:type="dxa"/>
            <w:vAlign w:val="bottom"/>
            <w:gridSpan w:val="4"/>
          </w:tcPr>
          <w:p>
            <w:pPr>
              <w:spacing w:after="0"/>
              <w:rPr>
                <w:sz w:val="17"/>
                <w:szCs w:val="17"/>
                <w:color w:val="auto"/>
              </w:rPr>
            </w:pPr>
          </w:p>
        </w:tc>
      </w:tr>
      <w:tr>
        <w:trPr>
          <w:trHeight w:val="412"/>
        </w:trPr>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3.4</w:t>
            </w:r>
          </w:p>
        </w:tc>
        <w:tc>
          <w:tcPr>
            <w:tcW w:w="540" w:type="dxa"/>
            <w:vAlign w:val="bottom"/>
          </w:tcPr>
          <w:p>
            <w:pPr>
              <w:spacing w:after="0"/>
              <w:rPr>
                <w:sz w:val="24"/>
                <w:szCs w:val="24"/>
                <w:color w:val="auto"/>
              </w:rPr>
            </w:pPr>
          </w:p>
        </w:tc>
        <w:tc>
          <w:tcPr>
            <w:tcW w:w="982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Articles of Amendment to the Amended and Restated Articles of Amendment and Restatement of Easterly Government Properties, Inc.</w:t>
              </w:r>
            </w:hyperlink>
          </w:p>
        </w:tc>
        <w:tc>
          <w:tcPr>
            <w:tcW w:w="420" w:type="dxa"/>
            <w:vAlign w:val="bottom"/>
            <w:gridSpan w:val="3"/>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6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(previously filed as Exhibit 3.1 to the Company’s Current Report on Form 8-K on May 8, 2025 and incorporated herein by reference)</w:t>
              </w:r>
            </w:hyperlink>
          </w:p>
        </w:tc>
        <w:tc>
          <w:tcPr>
            <w:tcW w:w="580" w:type="dxa"/>
            <w:vAlign w:val="bottom"/>
            <w:gridSpan w:val="6"/>
          </w:tcPr>
          <w:p>
            <w:pPr>
              <w:spacing w:after="0"/>
              <w:rPr>
                <w:sz w:val="17"/>
                <w:szCs w:val="17"/>
                <w:color w:val="auto"/>
              </w:rPr>
            </w:pPr>
          </w:p>
        </w:tc>
      </w:tr>
      <w:tr>
        <w:trPr>
          <w:trHeight w:val="412"/>
        </w:trPr>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3.5</w:t>
            </w:r>
          </w:p>
        </w:tc>
        <w:tc>
          <w:tcPr>
            <w:tcW w:w="540" w:type="dxa"/>
            <w:vAlign w:val="bottom"/>
          </w:tcPr>
          <w:p>
            <w:pPr>
              <w:spacing w:after="0"/>
              <w:rPr>
                <w:sz w:val="24"/>
                <w:szCs w:val="24"/>
                <w:color w:val="auto"/>
              </w:rPr>
            </w:pPr>
          </w:p>
        </w:tc>
        <w:tc>
          <w:tcPr>
            <w:tcW w:w="952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Amended and Restated Bylaws of Easterly Government Properties, Inc. (previously filed as Exhibit 3.2 to Amendment No. 2 to the</w:t>
              </w:r>
            </w:hyperlink>
          </w:p>
        </w:tc>
        <w:tc>
          <w:tcPr>
            <w:tcW w:w="720" w:type="dxa"/>
            <w:vAlign w:val="bottom"/>
            <w:gridSpan w:val="7"/>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Company’s Registration Statement on Form S-11 on January 30, 2015 and incorporated herein by reference)</w:t>
              </w:r>
            </w:hyperlink>
          </w:p>
        </w:tc>
      </w:tr>
      <w:tr>
        <w:trPr>
          <w:trHeight w:val="20"/>
        </w:trPr>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3.6</w:t>
            </w:r>
          </w:p>
        </w:tc>
        <w:tc>
          <w:tcPr>
            <w:tcW w:w="540" w:type="dxa"/>
            <w:vAlign w:val="bottom"/>
          </w:tcPr>
          <w:p>
            <w:pPr>
              <w:spacing w:after="0"/>
              <w:rPr>
                <w:sz w:val="24"/>
                <w:szCs w:val="24"/>
                <w:color w:val="auto"/>
              </w:rPr>
            </w:pPr>
          </w:p>
        </w:tc>
        <w:tc>
          <w:tcPr>
            <w:tcW w:w="94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First Amendment to Amended and Restated Bylaws of Easterly Government Properties, Inc. (previously filed as Exhibit 3.1 to the</w:t>
              </w:r>
            </w:hyperlink>
          </w:p>
        </w:tc>
        <w:tc>
          <w:tcPr>
            <w:tcW w:w="800" w:type="dxa"/>
            <w:vAlign w:val="bottom"/>
            <w:gridSpan w:val="8"/>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30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220">
              <w:r>
                <w:rPr>
                  <w:rFonts w:ascii="Times New Roman" w:cs="Times New Roman" w:eastAsia="Times New Roman" w:hAnsi="Times New Roman"/>
                  <w:sz w:val="18"/>
                  <w:szCs w:val="18"/>
                  <w:color w:val="0000FF"/>
                  <w:w w:val="99"/>
                </w:rPr>
                <w:t>Company’s Current Report on Form 8-K on February 27, 2019 and incorporated herein by reference)</w:t>
              </w:r>
            </w:hyperlink>
          </w:p>
        </w:tc>
        <w:tc>
          <w:tcPr>
            <w:tcW w:w="20" w:type="dxa"/>
            <w:vAlign w:val="bottom"/>
            <w:tcBorders>
              <w:bottom w:val="single" w:sz="8" w:color="0000EE"/>
            </w:tcBorders>
          </w:tcPr>
          <w:p>
            <w:pPr>
              <w:spacing w:after="0"/>
              <w:rPr>
                <w:sz w:val="17"/>
                <w:szCs w:val="17"/>
                <w:color w:val="auto"/>
              </w:rPr>
            </w:pPr>
          </w:p>
        </w:tc>
        <w:tc>
          <w:tcPr>
            <w:tcW w:w="2920" w:type="dxa"/>
            <w:vAlign w:val="bottom"/>
            <w:gridSpan w:val="12"/>
          </w:tcPr>
          <w:p>
            <w:pPr>
              <w:spacing w:after="0"/>
              <w:rPr>
                <w:sz w:val="17"/>
                <w:szCs w:val="17"/>
                <w:color w:val="auto"/>
              </w:rPr>
            </w:pPr>
          </w:p>
        </w:tc>
      </w:tr>
      <w:tr>
        <w:trPr>
          <w:trHeight w:val="412"/>
        </w:trPr>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3.7</w:t>
            </w:r>
          </w:p>
        </w:tc>
        <w:tc>
          <w:tcPr>
            <w:tcW w:w="540" w:type="dxa"/>
            <w:vAlign w:val="bottom"/>
          </w:tcPr>
          <w:p>
            <w:pPr>
              <w:spacing w:after="0"/>
              <w:rPr>
                <w:sz w:val="24"/>
                <w:szCs w:val="24"/>
                <w:color w:val="auto"/>
              </w:rPr>
            </w:pPr>
          </w:p>
        </w:tc>
        <w:tc>
          <w:tcPr>
            <w:tcW w:w="96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rPr>
            </w:pPr>
            <w:hyperlink r:id="rId221">
              <w:r>
                <w:rPr>
                  <w:rFonts w:ascii="Times New Roman" w:cs="Times New Roman" w:eastAsia="Times New Roman" w:hAnsi="Times New Roman"/>
                  <w:sz w:val="18"/>
                  <w:szCs w:val="18"/>
                  <w:color w:val="0000FF"/>
                </w:rPr>
                <w:t>Second Amendment to Amended and Restated Bylaws of Easterly Government Properties, Inc. (previously filed as Exhibit 3.1 to the</w:t>
              </w:r>
            </w:hyperlink>
          </w:p>
        </w:tc>
        <w:tc>
          <w:tcPr>
            <w:tcW w:w="580" w:type="dxa"/>
            <w:vAlign w:val="bottom"/>
            <w:gridSpan w:val="6"/>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8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221">
              <w:r>
                <w:rPr>
                  <w:rFonts w:ascii="Times New Roman" w:cs="Times New Roman" w:eastAsia="Times New Roman" w:hAnsi="Times New Roman"/>
                  <w:sz w:val="18"/>
                  <w:szCs w:val="18"/>
                  <w:color w:val="0000FF"/>
                  <w:w w:val="99"/>
                </w:rPr>
                <w:t>Company’s Current Report on Form 8-K on May 20, 2021 and incorporated herein by reference)</w:t>
              </w:r>
            </w:hyperlink>
          </w:p>
        </w:tc>
        <w:tc>
          <w:tcPr>
            <w:tcW w:w="20" w:type="dxa"/>
            <w:vAlign w:val="bottom"/>
            <w:tcBorders>
              <w:bottom w:val="single" w:sz="8" w:color="0000EE"/>
            </w:tcBorders>
          </w:tcPr>
          <w:p>
            <w:pPr>
              <w:spacing w:after="0"/>
              <w:rPr>
                <w:sz w:val="17"/>
                <w:szCs w:val="17"/>
                <w:color w:val="auto"/>
              </w:rPr>
            </w:pPr>
          </w:p>
        </w:tc>
        <w:tc>
          <w:tcPr>
            <w:tcW w:w="3240" w:type="dxa"/>
            <w:vAlign w:val="bottom"/>
            <w:gridSpan w:val="14"/>
          </w:tcPr>
          <w:p>
            <w:pPr>
              <w:spacing w:after="0"/>
              <w:rPr>
                <w:sz w:val="17"/>
                <w:szCs w:val="17"/>
                <w:color w:val="auto"/>
              </w:rPr>
            </w:pPr>
          </w:p>
        </w:tc>
      </w:tr>
      <w:tr>
        <w:trPr>
          <w:trHeight w:val="412"/>
        </w:trPr>
        <w:tc>
          <w:tcPr>
            <w:tcW w:w="46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88"/>
              </w:rPr>
              <w:t>4.1</w:t>
            </w:r>
          </w:p>
        </w:tc>
        <w:tc>
          <w:tcPr>
            <w:tcW w:w="540" w:type="dxa"/>
            <w:vAlign w:val="bottom"/>
          </w:tcPr>
          <w:p>
            <w:pPr>
              <w:spacing w:after="0"/>
              <w:rPr>
                <w:sz w:val="24"/>
                <w:szCs w:val="24"/>
                <w:color w:val="auto"/>
              </w:rPr>
            </w:pPr>
          </w:p>
        </w:tc>
        <w:tc>
          <w:tcPr>
            <w:tcW w:w="1014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Specimen Certificate of Common Stock of Easterly Government Properties, Inc. (previously filed as Exhibit 4.1 to Amendment No. 2 to the</w:t>
              </w:r>
            </w:hyperlink>
          </w:p>
        </w:tc>
        <w:tc>
          <w:tcPr>
            <w:tcW w:w="1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40" w:type="dxa"/>
            <w:vAlign w:val="bottom"/>
            <w:gridSpan w:val="24"/>
          </w:tcPr>
          <w:p>
            <w:pPr>
              <w:spacing w:after="0" w:line="196" w:lineRule="exact"/>
              <w:rPr>
                <w:rFonts w:ascii="Times New Roman" w:cs="Times New Roman" w:eastAsia="Times New Roman" w:hAnsi="Times New Roman"/>
                <w:sz w:val="18"/>
                <w:szCs w:val="18"/>
                <w:color w:val="0000FF"/>
              </w:rPr>
            </w:pPr>
            <w:hyperlink r:id="rId222">
              <w:r>
                <w:rPr>
                  <w:rFonts w:ascii="Times New Roman" w:cs="Times New Roman" w:eastAsia="Times New Roman" w:hAnsi="Times New Roman"/>
                  <w:sz w:val="18"/>
                  <w:szCs w:val="18"/>
                  <w:color w:val="0000FF"/>
                </w:rPr>
                <w:t>Company’s Registration Statement on Form S-11 on January 30, 2015 and incorporated herein by reference)</w:t>
              </w:r>
            </w:hyperlink>
          </w:p>
        </w:tc>
      </w:tr>
      <w:tr>
        <w:trPr>
          <w:trHeight w:val="20"/>
        </w:trPr>
        <w:tc>
          <w:tcPr>
            <w:tcW w:w="100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100" w:type="dxa"/>
            <w:vAlign w:val="bottom"/>
            <w:tcBorders>
              <w:right w:val="single" w:sz="8" w:color="0000EE"/>
            </w:tcBorders>
            <w:gridSpan w:val="5"/>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20"/>
        </w:trPr>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10.1†</w:t>
            </w:r>
          </w:p>
        </w:tc>
        <w:tc>
          <w:tcPr>
            <w:tcW w:w="1024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223">
              <w:r>
                <w:rPr>
                  <w:rFonts w:ascii="Times New Roman" w:cs="Times New Roman" w:eastAsia="Times New Roman" w:hAnsi="Times New Roman"/>
                  <w:sz w:val="18"/>
                  <w:szCs w:val="18"/>
                  <w:color w:val="0000FF"/>
                </w:rPr>
                <w:t>Amendment No. 1 to the Easterly Government Properties, Inc. 2024 Equity Incentive Plan (previously filed as Exhibit 10.1 to the Company’s</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16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223">
              <w:r>
                <w:rPr>
                  <w:rFonts w:ascii="Times New Roman" w:cs="Times New Roman" w:eastAsia="Times New Roman" w:hAnsi="Times New Roman"/>
                  <w:sz w:val="18"/>
                  <w:szCs w:val="18"/>
                  <w:color w:val="0000FF"/>
                  <w:w w:val="99"/>
                </w:rPr>
                <w:t>Current Report on Form 8-K on April 24, 2026 and incorporated herein by reference)</w:t>
              </w:r>
            </w:hyperlink>
          </w:p>
        </w:tc>
        <w:tc>
          <w:tcPr>
            <w:tcW w:w="20" w:type="dxa"/>
            <w:vAlign w:val="bottom"/>
            <w:tcBorders>
              <w:bottom w:val="single" w:sz="8" w:color="0000EE"/>
            </w:tcBorders>
          </w:tcPr>
          <w:p>
            <w:pPr>
              <w:spacing w:after="0"/>
              <w:rPr>
                <w:sz w:val="17"/>
                <w:szCs w:val="17"/>
                <w:color w:val="auto"/>
              </w:rPr>
            </w:pPr>
          </w:p>
        </w:tc>
        <w:tc>
          <w:tcPr>
            <w:tcW w:w="4060" w:type="dxa"/>
            <w:vAlign w:val="bottom"/>
            <w:gridSpan w:val="18"/>
          </w:tcPr>
          <w:p>
            <w:pPr>
              <w:spacing w:after="0"/>
              <w:rPr>
                <w:sz w:val="17"/>
                <w:szCs w:val="17"/>
                <w:color w:val="auto"/>
              </w:rPr>
            </w:pPr>
          </w:p>
        </w:tc>
      </w:tr>
      <w:tr>
        <w:trPr>
          <w:trHeight w:val="520"/>
        </w:trPr>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10.2*†</w:t>
            </w:r>
          </w:p>
        </w:tc>
        <w:tc>
          <w:tcPr>
            <w:tcW w:w="6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Easterly Government Properties, Inc. Amended and Restated Executive Cash Severance Plan</w:t>
            </w:r>
          </w:p>
        </w:tc>
        <w:tc>
          <w:tcPr>
            <w:tcW w:w="20" w:type="dxa"/>
            <w:vAlign w:val="bottom"/>
            <w:tcBorders>
              <w:bottom w:val="single" w:sz="8" w:color="0000EE"/>
            </w:tcBorders>
          </w:tcPr>
          <w:p>
            <w:pPr>
              <w:spacing w:after="0"/>
              <w:rPr>
                <w:sz w:val="24"/>
                <w:szCs w:val="24"/>
                <w:color w:val="auto"/>
              </w:rPr>
            </w:pPr>
          </w:p>
        </w:tc>
        <w:tc>
          <w:tcPr>
            <w:tcW w:w="3500" w:type="dxa"/>
            <w:vAlign w:val="bottom"/>
            <w:gridSpan w:val="16"/>
          </w:tcPr>
          <w:p>
            <w:pPr>
              <w:spacing w:after="0"/>
              <w:rPr>
                <w:sz w:val="24"/>
                <w:szCs w:val="24"/>
                <w:color w:val="auto"/>
              </w:rPr>
            </w:pPr>
          </w:p>
        </w:tc>
      </w:tr>
      <w:tr>
        <w:trPr>
          <w:trHeight w:val="520"/>
        </w:trPr>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31.1*</w:t>
            </w:r>
          </w:p>
        </w:tc>
        <w:tc>
          <w:tcPr>
            <w:tcW w:w="87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Required by Rule 13a-14(a) of the Securities Exchange Act of 1934, as amended</w:t>
            </w:r>
          </w:p>
        </w:tc>
        <w:tc>
          <w:tcPr>
            <w:tcW w:w="1480" w:type="dxa"/>
            <w:vAlign w:val="bottom"/>
            <w:gridSpan w:val="9"/>
          </w:tcPr>
          <w:p>
            <w:pPr>
              <w:spacing w:after="0"/>
              <w:rPr>
                <w:sz w:val="24"/>
                <w:szCs w:val="24"/>
                <w:color w:val="auto"/>
              </w:rPr>
            </w:pPr>
          </w:p>
        </w:tc>
      </w:tr>
      <w:tr>
        <w:trPr>
          <w:trHeight w:val="318"/>
        </w:trPr>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31.2*</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Required by Rule 13a-14(a) of the Securities Exchange Act of 1934, as amended</w:t>
            </w:r>
          </w:p>
        </w:tc>
      </w:tr>
      <w:tr>
        <w:trPr>
          <w:trHeight w:val="20"/>
        </w:trPr>
        <w:tc>
          <w:tcPr>
            <w:tcW w:w="1000" w:type="dxa"/>
            <w:vAlign w:val="bottom"/>
            <w:gridSpan w:val="2"/>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40" w:type="dxa"/>
            <w:vAlign w:val="bottom"/>
            <w:tcBorders>
              <w:right w:val="single" w:sz="8" w:color="0000EE"/>
            </w:tcBorders>
            <w:gridSpan w:val="12"/>
            <w:shd w:val="clear" w:color="auto" w:fill="0000FF"/>
          </w:tcPr>
          <w:p>
            <w:pPr>
              <w:spacing w:after="0" w:line="20" w:lineRule="exact"/>
              <w:rPr>
                <w:sz w:val="1"/>
                <w:szCs w:val="1"/>
                <w:color w:val="auto"/>
              </w:rPr>
            </w:pPr>
          </w:p>
        </w:tc>
        <w:tc>
          <w:tcPr>
            <w:tcW w:w="1420" w:type="dxa"/>
            <w:vAlign w:val="bottom"/>
            <w:gridSpan w:val="9"/>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8"/>
        </w:trPr>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32.1**</w:t>
            </w:r>
          </w:p>
        </w:tc>
        <w:tc>
          <w:tcPr>
            <w:tcW w:w="1014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Required by Rule 13a-14(b) of the Securities Exchange Act of 1934, as</w:t>
            </w:r>
          </w:p>
        </w:tc>
        <w:tc>
          <w:tcPr>
            <w:tcW w:w="1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amended</w:t>
            </w:r>
          </w:p>
        </w:tc>
        <w:tc>
          <w:tcPr>
            <w:tcW w:w="20" w:type="dxa"/>
            <w:vAlign w:val="bottom"/>
            <w:tcBorders>
              <w:bottom w:val="single" w:sz="8" w:color="0000EE"/>
            </w:tcBorders>
          </w:tcPr>
          <w:p>
            <w:pPr>
              <w:spacing w:after="0"/>
              <w:rPr>
                <w:sz w:val="17"/>
                <w:szCs w:val="17"/>
                <w:color w:val="auto"/>
              </w:rPr>
            </w:pPr>
          </w:p>
        </w:tc>
        <w:tc>
          <w:tcPr>
            <w:tcW w:w="9560" w:type="dxa"/>
            <w:vAlign w:val="bottom"/>
            <w:gridSpan w:val="22"/>
          </w:tcPr>
          <w:p>
            <w:pPr>
              <w:spacing w:after="0"/>
              <w:rPr>
                <w:sz w:val="17"/>
                <w:szCs w:val="17"/>
                <w:color w:val="auto"/>
              </w:rPr>
            </w:pPr>
          </w:p>
        </w:tc>
      </w:tr>
      <w:tr>
        <w:trPr>
          <w:trHeight w:val="434"/>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 within</w:t>
            </w:r>
          </w:p>
        </w:tc>
      </w:tr>
      <w:tr>
        <w:trPr>
          <w:trHeight w:val="234"/>
        </w:trPr>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432"/>
        </w:trPr>
        <w:tc>
          <w:tcPr>
            <w:tcW w:w="1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Documents</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540" w:type="dxa"/>
            <w:vAlign w:val="bottom"/>
          </w:tcPr>
          <w:p>
            <w:pPr>
              <w:spacing w:after="0"/>
              <w:rPr>
                <w:sz w:val="24"/>
                <w:szCs w:val="24"/>
                <w:color w:val="auto"/>
              </w:rPr>
            </w:pPr>
          </w:p>
        </w:tc>
        <w:tc>
          <w:tcPr>
            <w:tcW w:w="1024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198" w:lineRule="exact"/>
        <w:rPr>
          <w:sz w:val="20"/>
          <w:szCs w:val="20"/>
          <w:color w:val="auto"/>
        </w:rPr>
      </w:pPr>
    </w:p>
    <w:p>
      <w:pPr>
        <w:ind w:right="5900" w:firstLine="8"/>
        <w:spacing w:after="0" w:line="261" w:lineRule="auto"/>
        <w:tabs>
          <w:tab w:leader="none" w:pos="13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is a management contract or compensatory plan or arrangement.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621665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44" w:name="page45"/>
    <w:bookmarkEnd w:id="44"/>
    <w:p>
      <w:pPr>
        <w:jc w:val="center"/>
        <w:ind w:left="500"/>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11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Easterly Government Properties, Inc.</w:t>
            </w:r>
          </w:p>
        </w:tc>
      </w:tr>
      <w:tr>
        <w:trPr>
          <w:trHeight w:val="418"/>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Darrell W. Crate</w:t>
            </w:r>
          </w:p>
        </w:tc>
      </w:tr>
      <w:tr>
        <w:trPr>
          <w:trHeight w:val="21"/>
        </w:trPr>
        <w:tc>
          <w:tcPr>
            <w:tcW w:w="4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5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Darrell W. Crate</w:t>
            </w:r>
          </w:p>
        </w:tc>
      </w:tr>
      <w:tr>
        <w:trPr>
          <w:trHeight w:val="216"/>
        </w:trPr>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55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Date: April 27, 2026</w:t>
            </w: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Allison E. Marino</w:t>
            </w:r>
          </w:p>
        </w:tc>
      </w:tr>
      <w:tr>
        <w:trPr>
          <w:trHeight w:val="21"/>
        </w:trPr>
        <w:tc>
          <w:tcPr>
            <w:tcW w:w="440" w:type="dxa"/>
            <w:vAlign w:val="bottom"/>
          </w:tcPr>
          <w:p>
            <w:pPr>
              <w:spacing w:after="0" w:line="20" w:lineRule="exact"/>
              <w:rPr>
                <w:sz w:val="1"/>
                <w:szCs w:val="1"/>
                <w:color w:val="auto"/>
              </w:rPr>
            </w:pPr>
          </w:p>
        </w:tc>
        <w:tc>
          <w:tcPr>
            <w:tcW w:w="106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56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Allison E. Marino</w:t>
            </w:r>
          </w:p>
        </w:tc>
      </w:tr>
      <w:tr>
        <w:trPr>
          <w:trHeight w:val="216"/>
        </w:trPr>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06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34"/>
        </w:trPr>
        <w:tc>
          <w:tcPr>
            <w:tcW w:w="4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208"/>
        </w:trPr>
        <w:tc>
          <w:tcPr>
            <w:tcW w:w="4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25"/>
          <w:szCs w:val="25"/>
          <w:b w:val="1"/>
          <w:bCs w:val="1"/>
          <w:color w:val="auto"/>
        </w:rPr>
        <w:t>E</w:t>
      </w:r>
      <w:r>
        <w:rPr>
          <w:rFonts w:ascii="Times New Roman" w:cs="Times New Roman" w:eastAsia="Times New Roman" w:hAnsi="Times New Roman"/>
          <w:sz w:val="17"/>
          <w:szCs w:val="17"/>
          <w:b w:val="1"/>
          <w:bCs w:val="1"/>
          <w:color w:val="auto"/>
        </w:rPr>
        <w:t>asterly</w:t>
      </w:r>
      <w:r>
        <w:rPr>
          <w:rFonts w:ascii="Times New Roman" w:cs="Times New Roman" w:eastAsia="Times New Roman" w:hAnsi="Times New Roman"/>
          <w:sz w:val="25"/>
          <w:szCs w:val="25"/>
          <w:b w:val="1"/>
          <w:bCs w:val="1"/>
          <w:color w:val="auto"/>
        </w:rPr>
        <w:t xml:space="preserve"> G</w:t>
      </w:r>
      <w:r>
        <w:rPr>
          <w:rFonts w:ascii="Times New Roman" w:cs="Times New Roman" w:eastAsia="Times New Roman" w:hAnsi="Times New Roman"/>
          <w:sz w:val="17"/>
          <w:szCs w:val="17"/>
          <w:b w:val="1"/>
          <w:bCs w:val="1"/>
          <w:color w:val="auto"/>
        </w:rPr>
        <w:t>overnment</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roperties</w:t>
      </w:r>
      <w:r>
        <w:rPr>
          <w:rFonts w:ascii="Times New Roman" w:cs="Times New Roman" w:eastAsia="Times New Roman" w:hAnsi="Times New Roman"/>
          <w:sz w:val="25"/>
          <w:szCs w:val="25"/>
          <w:b w:val="1"/>
          <w:bCs w:val="1"/>
          <w:color w:val="auto"/>
        </w:rPr>
        <w:t>, I</w:t>
      </w:r>
      <w:r>
        <w:rPr>
          <w:rFonts w:ascii="Times New Roman" w:cs="Times New Roman" w:eastAsia="Times New Roman" w:hAnsi="Times New Roman"/>
          <w:sz w:val="17"/>
          <w:szCs w:val="17"/>
          <w:b w:val="1"/>
          <w:bCs w:val="1"/>
          <w:color w:val="auto"/>
        </w:rPr>
        <w:t>nc</w:t>
      </w:r>
      <w:r>
        <w:rPr>
          <w:rFonts w:ascii="Times New Roman" w:cs="Times New Roman" w:eastAsia="Times New Roman" w:hAnsi="Times New Roman"/>
          <w:sz w:val="25"/>
          <w:szCs w:val="25"/>
          <w:b w:val="1"/>
          <w:bCs w:val="1"/>
          <w:color w:val="auto"/>
        </w:rPr>
        <w:t>.</w:t>
      </w:r>
    </w:p>
    <w:p>
      <w:pPr>
        <w:spacing w:after="0" w:line="64"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25"/>
          <w:szCs w:val="25"/>
          <w:b w:val="1"/>
          <w:bCs w:val="1"/>
          <w:color w:val="auto"/>
        </w:rPr>
        <w:t>A</w:t>
      </w:r>
      <w:r>
        <w:rPr>
          <w:rFonts w:ascii="Times New Roman" w:cs="Times New Roman" w:eastAsia="Times New Roman" w:hAnsi="Times New Roman"/>
          <w:sz w:val="17"/>
          <w:szCs w:val="17"/>
          <w:b w:val="1"/>
          <w:bCs w:val="1"/>
          <w:color w:val="auto"/>
        </w:rPr>
        <w:t>mended and</w:t>
      </w:r>
      <w:r>
        <w:rPr>
          <w:rFonts w:ascii="Times New Roman" w:cs="Times New Roman" w:eastAsia="Times New Roman" w:hAnsi="Times New Roman"/>
          <w:sz w:val="25"/>
          <w:szCs w:val="25"/>
          <w:b w:val="1"/>
          <w:bCs w:val="1"/>
          <w:color w:val="auto"/>
        </w:rPr>
        <w:t xml:space="preserve"> R</w:t>
      </w:r>
      <w:r>
        <w:rPr>
          <w:rFonts w:ascii="Times New Roman" w:cs="Times New Roman" w:eastAsia="Times New Roman" w:hAnsi="Times New Roman"/>
          <w:sz w:val="17"/>
          <w:szCs w:val="17"/>
          <w:b w:val="1"/>
          <w:bCs w:val="1"/>
          <w:color w:val="auto"/>
        </w:rPr>
        <w:t>estated</w:t>
      </w:r>
      <w:r>
        <w:rPr>
          <w:rFonts w:ascii="Times New Roman" w:cs="Times New Roman" w:eastAsia="Times New Roman" w:hAnsi="Times New Roman"/>
          <w:sz w:val="25"/>
          <w:szCs w:val="25"/>
          <w:b w:val="1"/>
          <w:bCs w:val="1"/>
          <w:color w:val="auto"/>
        </w:rPr>
        <w:t xml:space="preserve"> E</w:t>
      </w:r>
      <w:r>
        <w:rPr>
          <w:rFonts w:ascii="Times New Roman" w:cs="Times New Roman" w:eastAsia="Times New Roman" w:hAnsi="Times New Roman"/>
          <w:sz w:val="17"/>
          <w:szCs w:val="17"/>
          <w:b w:val="1"/>
          <w:bCs w:val="1"/>
          <w:color w:val="auto"/>
        </w:rPr>
        <w:t>xecutive</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ash</w:t>
      </w:r>
      <w:r>
        <w:rPr>
          <w:rFonts w:ascii="Times New Roman" w:cs="Times New Roman" w:eastAsia="Times New Roman" w:hAnsi="Times New Roman"/>
          <w:sz w:val="25"/>
          <w:szCs w:val="25"/>
          <w:b w:val="1"/>
          <w:bCs w:val="1"/>
          <w:color w:val="auto"/>
        </w:rPr>
        <w:t xml:space="preserve"> S</w:t>
      </w:r>
      <w:r>
        <w:rPr>
          <w:rFonts w:ascii="Times New Roman" w:cs="Times New Roman" w:eastAsia="Times New Roman" w:hAnsi="Times New Roman"/>
          <w:sz w:val="17"/>
          <w:szCs w:val="17"/>
          <w:b w:val="1"/>
          <w:bCs w:val="1"/>
          <w:color w:val="auto"/>
        </w:rPr>
        <w:t>everance</w:t>
      </w:r>
      <w:r>
        <w:rPr>
          <w:rFonts w:ascii="Times New Roman" w:cs="Times New Roman" w:eastAsia="Times New Roman" w:hAnsi="Times New Roman"/>
          <w:sz w:val="25"/>
          <w:szCs w:val="25"/>
          <w:b w:val="1"/>
          <w:bCs w:val="1"/>
          <w:color w:val="auto"/>
        </w:rPr>
        <w:t xml:space="preserve"> P</w:t>
      </w:r>
      <w:r>
        <w:rPr>
          <w:rFonts w:ascii="Times New Roman" w:cs="Times New Roman" w:eastAsia="Times New Roman" w:hAnsi="Times New Roman"/>
          <w:sz w:val="17"/>
          <w:szCs w:val="17"/>
          <w:b w:val="1"/>
          <w:bCs w:val="1"/>
          <w:color w:val="auto"/>
        </w:rPr>
        <w:t>lan</w:t>
      </w:r>
    </w:p>
    <w:p>
      <w:pPr>
        <w:spacing w:after="0" w:line="221" w:lineRule="exact"/>
        <w:rPr>
          <w:sz w:val="20"/>
          <w:szCs w:val="20"/>
          <w:color w:val="auto"/>
        </w:rPr>
      </w:pPr>
    </w:p>
    <w:p>
      <w:pPr>
        <w:ind w:right="200" w:firstLine="757"/>
        <w:spacing w:after="0" w:line="234" w:lineRule="auto"/>
        <w:tabs>
          <w:tab w:leader="none" w:pos="101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Purpose</w:t>
      </w:r>
      <w:r>
        <w:rPr>
          <w:rFonts w:ascii="Times New Roman" w:cs="Times New Roman" w:eastAsia="Times New Roman" w:hAnsi="Times New Roman"/>
          <w:sz w:val="22"/>
          <w:szCs w:val="22"/>
          <w:color w:val="auto"/>
        </w:rPr>
        <w:t>. Easterly Government Properties, Inc., a Maryland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considers it essential to foster the continuous employment of key management personnel. The Company acknowledges the possibility of an involuntary termination of employment exists and that such possibility, and the uncertainty and questions that it may raise among management, may result in the departure or distraction of management personnel to the detriment of the Company. Therefore, the Compensation Committee (the “</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has determined that the Easterly Government Properties, Inc. Amended and Restated Executive Cash Severance Plan (the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should be adopted to reinforce and encourage the continued attention and dedication of the Company’s Covered Executives (as defined in Section 2 hereof) to their assigned duties without distraction. Nothing in this Plan shall be construed as creating an express or implied contract of employment and nothing shall alter the “at will” nature of the Covered Executives’ employment with the Company.</w:t>
      </w:r>
    </w:p>
    <w:p>
      <w:pPr>
        <w:spacing w:after="0" w:line="185" w:lineRule="exact"/>
        <w:rPr>
          <w:rFonts w:ascii="Times New Roman" w:cs="Times New Roman" w:eastAsia="Times New Roman" w:hAnsi="Times New Roman"/>
          <w:sz w:val="22"/>
          <w:szCs w:val="22"/>
          <w:color w:val="auto"/>
        </w:rPr>
      </w:pPr>
    </w:p>
    <w:p>
      <w:pPr>
        <w:ind w:left="1020" w:hanging="263"/>
        <w:spacing w:after="0"/>
        <w:tabs>
          <w:tab w:leader="none" w:pos="10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The following terms shall be defined as set forth below:</w:t>
      </w:r>
    </w:p>
    <w:p>
      <w:pPr>
        <w:spacing w:after="0" w:line="214" w:lineRule="exact"/>
        <w:rPr>
          <w:sz w:val="20"/>
          <w:szCs w:val="20"/>
          <w:color w:val="auto"/>
        </w:rPr>
      </w:pPr>
    </w:p>
    <w:p>
      <w:pPr>
        <w:ind w:right="780" w:firstLine="1498"/>
        <w:spacing w:after="0" w:line="264" w:lineRule="auto"/>
        <w:rPr>
          <w:sz w:val="20"/>
          <w:szCs w:val="20"/>
          <w:color w:val="auto"/>
        </w:rPr>
      </w:pPr>
      <w:r>
        <w:rPr>
          <w:sz w:val="1"/>
          <w:szCs w:val="1"/>
          <w:color w:val="auto"/>
        </w:rPr>
        <w:drawing>
          <wp:inline distT="0" distB="0" distL="0" distR="0">
            <wp:extent cx="145415" cy="128905"/>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7">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Accounting Firm</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 nationally recognized accounting firm selected by the Company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to a Change in Control.</w:t>
      </w:r>
    </w:p>
    <w:p>
      <w:pPr>
        <w:spacing w:after="0" w:line="159" w:lineRule="exact"/>
        <w:rPr>
          <w:sz w:val="20"/>
          <w:szCs w:val="20"/>
          <w:color w:val="auto"/>
        </w:rPr>
      </w:pPr>
    </w:p>
    <w:p>
      <w:pPr>
        <w:ind w:right="340" w:firstLine="1498"/>
        <w:spacing w:after="0" w:line="241" w:lineRule="auto"/>
        <w:rPr>
          <w:sz w:val="20"/>
          <w:szCs w:val="20"/>
          <w:color w:val="auto"/>
        </w:rPr>
      </w:pPr>
      <w:r>
        <w:rPr>
          <w:sz w:val="1"/>
          <w:szCs w:val="1"/>
          <w:color w:val="auto"/>
        </w:rPr>
        <w:drawing>
          <wp:inline distT="0" distB="0" distL="0" distR="0">
            <wp:extent cx="154305" cy="12827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8">
                      <a:extLst>
                        <a:ext uri="{28A0092B-C50C-407E-A947-70E740481C1C}"/>
                      </a:extLst>
                    </a:blip>
                    <a:srcRect/>
                    <a:stretch>
                      <a:fillRect/>
                    </a:stretch>
                  </pic:blipFill>
                  <pic:spPr bwMode="auto">
                    <a:xfrm>
                      <a:off x="0" y="0"/>
                      <a:ext cx="154305" cy="128270"/>
                    </a:xfrm>
                    <a:prstGeom prst="rect">
                      <a:avLst/>
                    </a:prstGeom>
                    <a:noFill/>
                    <a:ln>
                      <a:noFill/>
                    </a:ln>
                  </pic:spPr>
                </pic:pic>
              </a:graphicData>
            </a:graphic>
          </wp:inline>
        </w:drawing>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Accrued Benefits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any earned but unpaid salary, unpaid expense reimbursements in accordance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Company policy, if any, accrued but unused vacation or leave entitlement, if any, and any vested benefits a Covered Executive may have under any employee benefit plan of the Company in accordance with the terms and conditions of such employee benefit plan.</w:t>
      </w:r>
    </w:p>
    <w:p>
      <w:pPr>
        <w:spacing w:after="0" w:line="19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Administrator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Board or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956310</wp:posOffset>
            </wp:positionH>
            <wp:positionV relativeFrom="paragraph">
              <wp:posOffset>-147320</wp:posOffset>
            </wp:positionV>
            <wp:extent cx="145415" cy="1289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9">
                      <a:extLst>
                        <a:ext uri="{28A0092B-C50C-407E-A947-70E740481C1C}"/>
                      </a:extLst>
                    </a:blip>
                    <a:srcRect/>
                    <a:stretch>
                      <a:fillRect/>
                    </a:stretch>
                  </pic:blipFill>
                  <pic:spPr bwMode="auto">
                    <a:xfrm>
                      <a:off x="0" y="0"/>
                      <a:ext cx="145415" cy="128905"/>
                    </a:xfrm>
                    <a:prstGeom prst="rect">
                      <a:avLst/>
                    </a:prstGeom>
                    <a:noFill/>
                  </pic:spPr>
                </pic:pic>
              </a:graphicData>
            </a:graphic>
          </wp:anchor>
        </w:drawing>
      </w:r>
    </w:p>
    <w:p>
      <w:pPr>
        <w:spacing w:after="0" w:line="200" w:lineRule="exact"/>
        <w:rPr>
          <w:sz w:val="20"/>
          <w:szCs w:val="20"/>
          <w:color w:val="auto"/>
        </w:rPr>
      </w:pPr>
    </w:p>
    <w:p>
      <w:pPr>
        <w:ind w:right="300" w:firstLine="1498"/>
        <w:spacing w:after="0" w:line="264" w:lineRule="auto"/>
        <w:rPr>
          <w:sz w:val="20"/>
          <w:szCs w:val="20"/>
          <w:color w:val="auto"/>
        </w:rPr>
      </w:pPr>
      <w:r>
        <w:rPr>
          <w:sz w:val="1"/>
          <w:szCs w:val="1"/>
          <w:color w:val="auto"/>
        </w:rPr>
        <w:drawing>
          <wp:inline distT="0" distB="0" distL="0" distR="0">
            <wp:extent cx="154305" cy="128270"/>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0">
                      <a:extLst>
                        <a:ext uri="{28A0092B-C50C-407E-A947-70E740481C1C}"/>
                      </a:extLst>
                    </a:blip>
                    <a:srcRect/>
                    <a:stretch>
                      <a:fillRect/>
                    </a:stretch>
                  </pic:blipFill>
                  <pic:spPr bwMode="auto">
                    <a:xfrm>
                      <a:off x="0" y="0"/>
                      <a:ext cx="154305" cy="128270"/>
                    </a:xfrm>
                    <a:prstGeom prst="rect">
                      <a:avLst/>
                    </a:prstGeom>
                    <a:noFill/>
                    <a:ln>
                      <a:noFill/>
                    </a:ln>
                  </pic:spPr>
                </pic:pic>
              </a:graphicData>
            </a:graphic>
          </wp:inline>
        </w:drawing>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Affiliate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any “parent” or “subsidiary” of the Company as such terms are defined in Rule 405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Securities Act of 1933, as amended.</w:t>
      </w:r>
    </w:p>
    <w:p>
      <w:pPr>
        <w:spacing w:after="0" w:line="159" w:lineRule="exact"/>
        <w:rPr>
          <w:sz w:val="20"/>
          <w:szCs w:val="20"/>
          <w:color w:val="auto"/>
        </w:rPr>
      </w:pPr>
    </w:p>
    <w:p>
      <w:pPr>
        <w:ind w:right="640" w:firstLine="1498"/>
        <w:spacing w:after="0" w:line="264" w:lineRule="auto"/>
        <w:rPr>
          <w:sz w:val="20"/>
          <w:szCs w:val="20"/>
          <w:color w:val="auto"/>
        </w:rPr>
      </w:pPr>
      <w:r>
        <w:rPr>
          <w:sz w:val="1"/>
          <w:szCs w:val="1"/>
          <w:color w:val="auto"/>
        </w:rPr>
        <w:drawing>
          <wp:inline distT="0" distB="0" distL="0" distR="0">
            <wp:extent cx="145415" cy="128905"/>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1">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means the higher of the Covered Executive’s annual base salary in effect immediately prior to (i) the Date of Termination or (ii) the Change in Control.</w:t>
      </w:r>
    </w:p>
    <w:p>
      <w:pPr>
        <w:spacing w:after="0" w:line="159" w:lineRule="exact"/>
        <w:rPr>
          <w:sz w:val="20"/>
          <w:szCs w:val="20"/>
          <w:color w:val="auto"/>
        </w:rPr>
      </w:pPr>
    </w:p>
    <w:p>
      <w:pPr>
        <w:ind w:right="60" w:firstLine="1498"/>
        <w:spacing w:after="0" w:line="235" w:lineRule="auto"/>
        <w:rPr>
          <w:sz w:val="20"/>
          <w:szCs w:val="20"/>
          <w:color w:val="auto"/>
        </w:rPr>
      </w:pPr>
      <w:r>
        <w:rPr>
          <w:sz w:val="1"/>
          <w:szCs w:val="1"/>
          <w:color w:val="auto"/>
        </w:rPr>
        <w:drawing>
          <wp:inline distT="0" distB="0" distL="0" distR="0">
            <wp:extent cx="128905" cy="128905"/>
            <wp:effectExtent l="0" t="0" r="0" b="0"/>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(i) the continued refusal by the Covered Executive to substantially perform the Covered Executive’s duties with the Company or any Affiliate (other than any such refusal resulting from incapacity due to physical or mental illness), it being expressly understood that the Company’s dissatisfaction with the Covered Executive’s performance shall not constitute Cause; (ii) conduct by the Covered Executive constituting a willful and gross act of misconduct in the performance of the Covered Executive’s duties; (iii) the willful and material violation by the Covered Executive of the Company’s Code of Business Conduct and Ethics, as in effect from time to time; or (iv) the Covered Executive’s conviction or plea of guilty to any felony (other than a traffic-related felony); provided that, for purposes of clauses (i), (ii) and (iii) of this definition, the Covered Executive has not materially cured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798830</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46" w:name="page47"/>
    <w:bookmarkEnd w:id="46"/>
    <w:p>
      <w:pPr>
        <w:spacing w:after="0" w:line="104" w:lineRule="exact"/>
        <w:rPr>
          <w:sz w:val="20"/>
          <w:szCs w:val="20"/>
          <w:color w:val="auto"/>
        </w:rPr>
      </w:pPr>
    </w:p>
    <w:p>
      <w:pPr>
        <w:ind w:right="80"/>
        <w:spacing w:after="0" w:line="247" w:lineRule="auto"/>
        <w:rPr>
          <w:sz w:val="20"/>
          <w:szCs w:val="20"/>
          <w:color w:val="auto"/>
        </w:rPr>
      </w:pPr>
      <w:r>
        <w:rPr>
          <w:rFonts w:ascii="Times New Roman" w:cs="Times New Roman" w:eastAsia="Times New Roman" w:hAnsi="Times New Roman"/>
          <w:sz w:val="21"/>
          <w:szCs w:val="21"/>
          <w:color w:val="auto"/>
        </w:rPr>
        <w:t>or omission to the reasonable satisfaction of the Administrator within thirty business days of the Covered Executive’s receipt of written notice specifying the particulars of such act or omission and the effective date of termination (which shall be no less than thirty business days of the receipt of such notice). For purposes of the foregoing, no act or failure to act on the Covered Executive's part shall be considered "willful" unless done, or omitted to be done, not in good faith and without reasonable belief that the Covered Executive's action or omission was in the best interest of the Company or any Affiliate; and any act or omission by the Covered Executive pursuant to the written authorization of the Administrator or pursuant to a resolution duly adopted by the Board of Directors of the Company or any Affiliate or other governing body or officer of the Company or any Affiliate empowered to authorize such act or omission shall be deemed made in good faith and in the best interest of the Company.</w:t>
      </w:r>
    </w:p>
    <w:p>
      <w:pPr>
        <w:spacing w:after="0" w:line="193"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a Sale Event, as defined in the Easterly Government Properties, Inc.</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2024 Equity Incentive Plan, as amended from time to time.</w:t>
      </w:r>
    </w:p>
    <w:p>
      <w:pPr>
        <w:spacing w:after="0" w:line="203" w:lineRule="exact"/>
        <w:rPr>
          <w:sz w:val="20"/>
          <w:szCs w:val="20"/>
          <w:color w:val="auto"/>
        </w:rPr>
      </w:pPr>
    </w:p>
    <w:p>
      <w:pPr>
        <w:ind w:firstLine="1498"/>
        <w:spacing w:after="0" w:line="244" w:lineRule="auto"/>
        <w:rPr>
          <w:sz w:val="20"/>
          <w:szCs w:val="20"/>
          <w:color w:val="auto"/>
        </w:rPr>
      </w:pPr>
      <w:r>
        <w:rPr>
          <w:sz w:val="1"/>
          <w:szCs w:val="1"/>
          <w:color w:val="auto"/>
        </w:rPr>
        <w:drawing>
          <wp:inline distT="0" distB="0" distL="0" distR="0">
            <wp:extent cx="162560" cy="13716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4">
                      <a:extLst>
                        <a:ext uri="{28A0092B-C50C-407E-A947-70E740481C1C}"/>
                      </a:extLst>
                    </a:blip>
                    <a:srcRect/>
                    <a:stretch>
                      <a:fillRect/>
                    </a:stretch>
                  </pic:blipFill>
                  <pic:spPr bwMode="auto">
                    <a:xfrm>
                      <a:off x="0" y="0"/>
                      <a:ext cx="1625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Change in Control Period</w:t>
      </w:r>
      <w:r>
        <w:rPr>
          <w:rFonts w:ascii="Times New Roman" w:cs="Times New Roman" w:eastAsia="Times New Roman" w:hAnsi="Times New Roman"/>
          <w:sz w:val="21"/>
          <w:szCs w:val="21"/>
          <w:color w:val="auto"/>
        </w:rPr>
        <w:t>” means the period beginning six months prior to the consummation of a Change in Control and ending (i) for the Tier One Covered Executives, 24 months after the date that the Change in Control is consummated, (ii) for the Tier Two Covered Executives, 18 months after the date that the Change in Control is consummated and</w:t>
      </w:r>
    </w:p>
    <w:p>
      <w:pPr>
        <w:spacing w:after="0" w:line="3" w:lineRule="exact"/>
        <w:rPr>
          <w:sz w:val="20"/>
          <w:szCs w:val="20"/>
          <w:color w:val="auto"/>
        </w:rPr>
      </w:pPr>
    </w:p>
    <w:p>
      <w:pPr>
        <w:ind w:left="380" w:hanging="372"/>
        <w:spacing w:after="0"/>
        <w:tabs>
          <w:tab w:leader="none" w:pos="38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Tier Three Executives, 12 months after the date that the Change in Control is consummated.</w:t>
      </w:r>
    </w:p>
    <w:p>
      <w:pPr>
        <w:spacing w:after="0" w:line="176" w:lineRule="exact"/>
        <w:rPr>
          <w:rFonts w:ascii="Times New Roman" w:cs="Times New Roman" w:eastAsia="Times New Roman" w:hAnsi="Times New Roman"/>
          <w:sz w:val="22"/>
          <w:szCs w:val="22"/>
          <w:color w:val="auto"/>
        </w:rPr>
      </w:pPr>
    </w:p>
    <w:p>
      <w:pPr>
        <w:ind w:left="1760" w:hanging="255"/>
        <w:spacing w:after="0"/>
        <w:tabs>
          <w:tab w:leader="none" w:pos="1760"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Internal Revenue Code of 1986, as amended.</w:t>
      </w:r>
    </w:p>
    <w:p>
      <w:pPr>
        <w:spacing w:after="0" w:line="206" w:lineRule="exact"/>
        <w:rPr>
          <w:rFonts w:ascii="Times New Roman" w:cs="Times New Roman" w:eastAsia="Times New Roman" w:hAnsi="Times New Roman"/>
          <w:sz w:val="22"/>
          <w:szCs w:val="22"/>
          <w:b w:val="1"/>
          <w:bCs w:val="1"/>
          <w:color w:val="auto"/>
        </w:rPr>
      </w:pPr>
    </w:p>
    <w:p>
      <w:pPr>
        <w:ind w:left="1500" w:right="220" w:firstLine="5"/>
        <w:spacing w:after="0" w:line="247" w:lineRule="auto"/>
        <w:tabs>
          <w:tab w:leader="none" w:pos="1824" w:val="left"/>
        </w:tabs>
        <w:numPr>
          <w:ilvl w:val="1"/>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Continuing Obligations</w:t>
      </w:r>
      <w:r>
        <w:rPr>
          <w:rFonts w:ascii="Times New Roman" w:cs="Times New Roman" w:eastAsia="Times New Roman" w:hAnsi="Times New Roman"/>
          <w:sz w:val="22"/>
          <w:szCs w:val="22"/>
          <w:color w:val="auto"/>
        </w:rPr>
        <w:t>” means the Covered Executive’s obligations to the Company pursuant to any agreement relating to confidentiality, non-solicitation of customers or employees, assignment of inventions or other restrictive covenants.</w:t>
      </w:r>
    </w:p>
    <w:p>
      <w:pPr>
        <w:spacing w:after="0" w:line="177" w:lineRule="exact"/>
        <w:rPr>
          <w:sz w:val="20"/>
          <w:szCs w:val="20"/>
          <w:color w:val="auto"/>
        </w:rPr>
      </w:pPr>
    </w:p>
    <w:p>
      <w:pPr>
        <w:ind w:right="140" w:firstLine="1498"/>
        <w:spacing w:after="0" w:line="247" w:lineRule="auto"/>
        <w:rPr>
          <w:sz w:val="20"/>
          <w:szCs w:val="20"/>
          <w:color w:val="auto"/>
        </w:rPr>
      </w:pPr>
      <w:r>
        <w:rPr>
          <w:sz w:val="1"/>
          <w:szCs w:val="1"/>
          <w:color w:val="auto"/>
        </w:rPr>
        <w:drawing>
          <wp:inline distT="0" distB="0" distL="0" distR="0">
            <wp:extent cx="154305" cy="128905"/>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5">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Covered Executives</w:t>
      </w:r>
      <w:r>
        <w:rPr>
          <w:rFonts w:ascii="Times New Roman" w:cs="Times New Roman" w:eastAsia="Times New Roman" w:hAnsi="Times New Roman"/>
          <w:sz w:val="22"/>
          <w:szCs w:val="22"/>
          <w:color w:val="auto"/>
        </w:rPr>
        <w:t xml:space="preserve">” means, initially, each employee of the Company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any such other employee who, after the date set forth in Section 23 hereof, meets the eligibility requirements set forth in Section 4 of the Plan and is designated by the Administrator as a Covered Executive in its sole discretion.</w:t>
      </w:r>
    </w:p>
    <w:p>
      <w:pPr>
        <w:spacing w:after="0" w:line="164" w:lineRule="exact"/>
        <w:rPr>
          <w:sz w:val="20"/>
          <w:szCs w:val="20"/>
          <w:color w:val="auto"/>
        </w:rPr>
      </w:pPr>
    </w:p>
    <w:p>
      <w:pPr>
        <w:ind w:left="760" w:right="200" w:firstLine="745"/>
        <w:spacing w:after="0" w:line="239" w:lineRule="auto"/>
        <w:tabs>
          <w:tab w:leader="none" w:pos="1820" w:val="left"/>
        </w:tabs>
        <w:numPr>
          <w:ilvl w:val="0"/>
          <w:numId w:val="3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Date of Termination</w:t>
      </w:r>
      <w:r>
        <w:rPr>
          <w:rFonts w:ascii="Times New Roman" w:cs="Times New Roman" w:eastAsia="Times New Roman" w:hAnsi="Times New Roman"/>
          <w:sz w:val="22"/>
          <w:szCs w:val="22"/>
          <w:color w:val="auto"/>
        </w:rPr>
        <w:t>” means the date that a Covered Executive’s employment with the Company (or any successor) and its Affiliates ends, which date shall be specified in the Notice of Termination. Notwithstanding the foregoing, a Covered Executive’s employment will not be deemed to have been terminated solely as a result of the Covered Executive becoming an employee of any direct or indirect successor to the business or assets of the Company or any Affiliate.</w:t>
      </w:r>
    </w:p>
    <w:p>
      <w:pPr>
        <w:spacing w:after="0" w:line="185" w:lineRule="exact"/>
        <w:rPr>
          <w:sz w:val="20"/>
          <w:szCs w:val="20"/>
          <w:color w:val="auto"/>
        </w:rPr>
      </w:pPr>
    </w:p>
    <w:p>
      <w:pPr>
        <w:ind w:right="200" w:firstLine="1498"/>
        <w:spacing w:after="0" w:line="241" w:lineRule="auto"/>
        <w:rPr>
          <w:sz w:val="20"/>
          <w:szCs w:val="20"/>
          <w:color w:val="auto"/>
        </w:rPr>
      </w:pPr>
      <w:r>
        <w:rPr>
          <w:sz w:val="1"/>
          <w:szCs w:val="1"/>
          <w:color w:val="auto"/>
        </w:rPr>
        <w:drawing>
          <wp:inline distT="0" distB="0" distL="0" distR="0">
            <wp:extent cx="197485" cy="128905"/>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6">
                      <a:extLst>
                        <a:ext uri="{28A0092B-C50C-407E-A947-70E740481C1C}"/>
                      </a:extLst>
                    </a:blip>
                    <a:srcRect/>
                    <a:stretch>
                      <a:fillRect/>
                    </a:stretch>
                  </pic:blipFill>
                  <pic:spPr bwMode="auto">
                    <a:xfrm>
                      <a:off x="0" y="0"/>
                      <a:ext cx="19748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Disability</w:t>
      </w:r>
      <w:r>
        <w:rPr>
          <w:rFonts w:ascii="Times New Roman" w:cs="Times New Roman" w:eastAsia="Times New Roman" w:hAnsi="Times New Roman"/>
          <w:sz w:val="22"/>
          <w:szCs w:val="22"/>
          <w:color w:val="auto"/>
        </w:rPr>
        <w:t>” means the Covered Executive is disabled and unable to perform or expected to be unable to perform the essential functions of the Covered Executive’s then existing position or positions with or without reasonable accommodation for a period of 180 days (which need not be consecutive) in any 12-month period. If any question shall arise as to whether during any period the Covered Executive is disabled so as to be unable to perform the</w:t>
      </w:r>
    </w:p>
    <w:p>
      <w:pPr>
        <w:spacing w:after="0" w:line="1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7" w:name="page48"/>
    <w:bookmarkEnd w:id="47"/>
    <w:p>
      <w:pPr>
        <w:spacing w:after="0" w:line="10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1"/>
          <w:szCs w:val="21"/>
          <w:color w:val="auto"/>
        </w:rPr>
        <w:t>essential functions of the Covered Executive’s then existing position or positions with or without reasonable accommodation, the Covered Executive may, and at the request of the Company shall, submit to the Company a certification in reasonable detail by a physician selected by the Company to whom the Covered Executive or the Covered Executive’s guardian has no reasonable objection as to whether the Covered Executive is so disabled or how long such disability is expected to continue, and such certification shall for the purposes of this Plan be conclusive of the issue. The Covered Executive shall cooperate with any reasonable request of the physician in connection with such certification. If such question arises and the Covered Executive fails to submit such certification, the Company’s determination of such issue shall be binding on the Covered Executive. Nothing in this definition shall be construed to waive the Covered Executive’s rights, if any, under existing law including, without limitation, the Family and Medical Leave Act of 1993, 29 U.S.C. §2601 et seq. and the Americans with Disabilities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Act, 42 U.S.C. §12101 et seq.</w:t>
      </w:r>
    </w:p>
    <w:p>
      <w:pPr>
        <w:spacing w:after="0" w:line="214" w:lineRule="exact"/>
        <w:rPr>
          <w:sz w:val="20"/>
          <w:szCs w:val="20"/>
          <w:color w:val="auto"/>
        </w:rPr>
      </w:pPr>
    </w:p>
    <w:p>
      <w:pPr>
        <w:ind w:right="160" w:firstLine="1498"/>
        <w:spacing w:after="0" w:line="237" w:lineRule="auto"/>
        <w:rPr>
          <w:sz w:val="20"/>
          <w:szCs w:val="20"/>
          <w:color w:val="auto"/>
        </w:rPr>
      </w:pPr>
      <w:r>
        <w:rPr>
          <w:sz w:val="1"/>
          <w:szCs w:val="1"/>
          <w:color w:val="auto"/>
        </w:rPr>
        <w:drawing>
          <wp:inline distT="0" distB="0" distL="0" distR="0">
            <wp:extent cx="154305" cy="128905"/>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8">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means the Covered Executive has completed all steps of the Good Reason Process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(defined below) following the occurrence of any of the following events without the Covered Executive’s consent (each, a “</w:t>
      </w:r>
      <w:r>
        <w:rPr>
          <w:rFonts w:ascii="Times New Roman" w:cs="Times New Roman" w:eastAsia="Times New Roman" w:hAnsi="Times New Roman"/>
          <w:sz w:val="22"/>
          <w:szCs w:val="22"/>
          <w:b w:val="1"/>
          <w:bCs w:val="1"/>
          <w:i w:val="1"/>
          <w:iCs w:val="1"/>
          <w:color w:val="auto"/>
        </w:rPr>
        <w:t>Good Reason Condition</w:t>
      </w:r>
      <w:r>
        <w:rPr>
          <w:rFonts w:ascii="Times New Roman" w:cs="Times New Roman" w:eastAsia="Times New Roman" w:hAnsi="Times New Roman"/>
          <w:sz w:val="22"/>
          <w:szCs w:val="22"/>
          <w:color w:val="auto"/>
        </w:rPr>
        <w:t>”): (i) a material diminution in the Covered Executive’s responsibilities, authority or duties; (ii) a material diminution in the Covered Executive’s base salary and cash bonus opportunity; (iii) a change in the geographic location at which the Covered Executive provides services to the Company by at least 30 miles; or (iv) a material breach by the Company of any agreement between the Covered Executive and the Company.</w:t>
      </w:r>
    </w:p>
    <w:p>
      <w:pPr>
        <w:spacing w:after="0" w:line="189" w:lineRule="exact"/>
        <w:rPr>
          <w:sz w:val="20"/>
          <w:szCs w:val="20"/>
          <w:color w:val="auto"/>
        </w:rPr>
      </w:pPr>
    </w:p>
    <w:p>
      <w:pPr>
        <w:ind w:right="140" w:firstLine="1498"/>
        <w:spacing w:after="0" w:line="236" w:lineRule="auto"/>
        <w:rPr>
          <w:sz w:val="20"/>
          <w:szCs w:val="20"/>
          <w:color w:val="auto"/>
        </w:rPr>
      </w:pPr>
      <w:r>
        <w:rPr>
          <w:sz w:val="1"/>
          <w:szCs w:val="1"/>
          <w:color w:val="auto"/>
        </w:rPr>
        <w:drawing>
          <wp:inline distT="0" distB="0" distL="0" distR="0">
            <wp:extent cx="154305" cy="128905"/>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9">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Good Reason Process</w:t>
      </w:r>
      <w:r>
        <w:rPr>
          <w:rFonts w:ascii="Times New Roman" w:cs="Times New Roman" w:eastAsia="Times New Roman" w:hAnsi="Times New Roman"/>
          <w:sz w:val="22"/>
          <w:szCs w:val="22"/>
          <w:color w:val="auto"/>
        </w:rPr>
        <w:t>” means that (i) the Covered Executive reasonably determines in good faith that a Good Reason Condition has occurred; (ii) the Covered Executive notifies the Company in writing within 30 days of the first occurrence of the Good Reason Condition; (iii) the Covered Executive cooperates in good faith with the Company’s efforts, if any, for a period not less than 30 days following such notice (the “</w:t>
      </w:r>
      <w:r>
        <w:rPr>
          <w:rFonts w:ascii="Times New Roman" w:cs="Times New Roman" w:eastAsia="Times New Roman" w:hAnsi="Times New Roman"/>
          <w:sz w:val="22"/>
          <w:szCs w:val="22"/>
          <w:b w:val="1"/>
          <w:bCs w:val="1"/>
          <w:i w:val="1"/>
          <w:iCs w:val="1"/>
          <w:color w:val="auto"/>
        </w:rPr>
        <w:t>Cure Period</w:t>
      </w:r>
      <w:r>
        <w:rPr>
          <w:rFonts w:ascii="Times New Roman" w:cs="Times New Roman" w:eastAsia="Times New Roman" w:hAnsi="Times New Roman"/>
          <w:sz w:val="22"/>
          <w:szCs w:val="22"/>
          <w:color w:val="auto"/>
        </w:rPr>
        <w:t>”), to remedy the condition; (iv) notwithstanding such efforts, the Good Reason Condition continues to exist; and</w:t>
      </w:r>
    </w:p>
    <w:p>
      <w:pPr>
        <w:spacing w:after="0" w:line="1" w:lineRule="exact"/>
        <w:rPr>
          <w:sz w:val="20"/>
          <w:szCs w:val="20"/>
          <w:color w:val="auto"/>
        </w:rPr>
      </w:pPr>
    </w:p>
    <w:p>
      <w:pPr>
        <w:ind w:right="420" w:firstLine="8"/>
        <w:spacing w:after="0" w:line="237" w:lineRule="auto"/>
        <w:tabs>
          <w:tab w:leader="none" w:pos="306"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Covered Executive terminates employment within 60 days after the end of the Cure Period. If the Company cures the Good Reason Condition during the Cure Period, Good Reason shall be deemed not to have occurred.</w:t>
      </w:r>
    </w:p>
    <w:p>
      <w:pPr>
        <w:spacing w:after="0" w:line="186" w:lineRule="exact"/>
        <w:rPr>
          <w:sz w:val="20"/>
          <w:szCs w:val="20"/>
          <w:color w:val="auto"/>
        </w:rPr>
      </w:pPr>
    </w:p>
    <w:p>
      <w:pPr>
        <w:ind w:right="380" w:firstLine="1498"/>
        <w:spacing w:after="0" w:line="264" w:lineRule="auto"/>
        <w:rPr>
          <w:sz w:val="20"/>
          <w:szCs w:val="20"/>
          <w:color w:val="auto"/>
        </w:rPr>
      </w:pPr>
      <w:r>
        <w:rPr>
          <w:sz w:val="1"/>
          <w:szCs w:val="1"/>
          <w:color w:val="auto"/>
        </w:rPr>
        <w:drawing>
          <wp:inline distT="0" distB="0" distL="0" distR="0">
            <wp:extent cx="154305" cy="128905"/>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0">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Notice of Termination</w:t>
      </w:r>
      <w:r>
        <w:rPr>
          <w:rFonts w:ascii="Times New Roman" w:cs="Times New Roman" w:eastAsia="Times New Roman" w:hAnsi="Times New Roman"/>
          <w:sz w:val="22"/>
          <w:szCs w:val="22"/>
          <w:color w:val="auto"/>
        </w:rPr>
        <w:t>” means a written notice that indicates the specific termination provision in this Plan relied upon for the termination of a Covered Executive’s employment and the Date of Termination.</w:t>
      </w:r>
    </w:p>
    <w:p>
      <w:pPr>
        <w:spacing w:after="0" w:line="159" w:lineRule="exact"/>
        <w:rPr>
          <w:sz w:val="20"/>
          <w:szCs w:val="20"/>
          <w:color w:val="auto"/>
        </w:rPr>
      </w:pPr>
    </w:p>
    <w:p>
      <w:pPr>
        <w:ind w:right="40" w:firstLine="1498"/>
        <w:spacing w:after="0" w:line="235" w:lineRule="auto"/>
        <w:rPr>
          <w:sz w:val="20"/>
          <w:szCs w:val="20"/>
          <w:color w:val="auto"/>
        </w:rPr>
      </w:pPr>
      <w:r>
        <w:rPr>
          <w:sz w:val="1"/>
          <w:szCs w:val="1"/>
          <w:color w:val="auto"/>
        </w:rPr>
        <w:drawing>
          <wp:inline distT="0" distB="0" distL="0" distR="0">
            <wp:extent cx="154305" cy="128905"/>
            <wp:effectExtent l="0" t="0" r="0" b="0"/>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1">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Separation Obligations</w:t>
      </w:r>
      <w:r>
        <w:rPr>
          <w:rFonts w:ascii="Times New Roman" w:cs="Times New Roman" w:eastAsia="Times New Roman" w:hAnsi="Times New Roman"/>
          <w:sz w:val="22"/>
          <w:szCs w:val="22"/>
          <w:color w:val="auto"/>
        </w:rPr>
        <w:t>” means: (i) execution of a separation agreement and release in a form and manner satisfactory to and provided by the Company that contains, among other provisions, a general release of claims in favor of the Company and related persons and entities, confidentiality, return of property and non-disparagement provisions, a reaffirmation of the Covered Executive’s Continuing Obligations and, in the Company’s sole discretion, a post-employment noncompetition agreement, and provides that if the Covered Executive breaches any of the Continuing Obligations, all severance payments and benefits shall immediately cease (the “</w:t>
      </w:r>
      <w:r>
        <w:rPr>
          <w:rFonts w:ascii="Times New Roman" w:cs="Times New Roman" w:eastAsia="Times New Roman" w:hAnsi="Times New Roman"/>
          <w:sz w:val="22"/>
          <w:szCs w:val="22"/>
          <w:b w:val="1"/>
          <w:bCs w:val="1"/>
          <w:i w:val="1"/>
          <w:iCs w:val="1"/>
          <w:color w:val="auto"/>
        </w:rPr>
        <w:t>Separation Agreement and Release</w:t>
      </w:r>
      <w:r>
        <w:rPr>
          <w:rFonts w:ascii="Times New Roman" w:cs="Times New Roman" w:eastAsia="Times New Roman" w:hAnsi="Times New Roman"/>
          <w:sz w:val="22"/>
          <w:szCs w:val="22"/>
          <w:color w:val="auto"/>
        </w:rPr>
        <w:t>”) and (ii) the Separation Agreement and Release becoming irrevocable, all within 60 days after the Date of Termination (or such shorter period set forth in the Separation Agreement and Release).</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48" w:name="page49"/>
    <w:bookmarkEnd w:id="48"/>
    <w:p>
      <w:pPr>
        <w:spacing w:after="0" w:line="111" w:lineRule="exact"/>
        <w:rPr>
          <w:sz w:val="20"/>
          <w:szCs w:val="20"/>
          <w:color w:val="auto"/>
        </w:rPr>
      </w:pPr>
    </w:p>
    <w:p>
      <w:pPr>
        <w:ind w:right="500" w:firstLine="1498"/>
        <w:spacing w:after="0" w:line="282" w:lineRule="auto"/>
        <w:rPr>
          <w:sz w:val="20"/>
          <w:szCs w:val="20"/>
          <w:color w:val="auto"/>
        </w:rPr>
      </w:pPr>
      <w:r>
        <w:rPr>
          <w:sz w:val="1"/>
          <w:szCs w:val="1"/>
          <w:color w:val="auto"/>
        </w:rPr>
        <w:drawing>
          <wp:inline distT="0" distB="0" distL="0" distR="0">
            <wp:extent cx="128905" cy="128905"/>
            <wp:effectExtent l="0" t="0" r="0" b="0"/>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Target Bonus</w:t>
      </w:r>
      <w:r>
        <w:rPr>
          <w:rFonts w:ascii="Times New Roman" w:cs="Times New Roman" w:eastAsia="Times New Roman" w:hAnsi="Times New Roman"/>
          <w:sz w:val="21"/>
          <w:szCs w:val="21"/>
          <w:color w:val="auto"/>
        </w:rPr>
        <w:t>” means the higher of the Covered Executive’s target annual cash incentive compensation in effect immediately prior to (i) the Covered Executive’s Date of Termination or (ii) the Change in Control.</w:t>
      </w:r>
    </w:p>
    <w:p>
      <w:pPr>
        <w:spacing w:after="0" w:line="142" w:lineRule="exact"/>
        <w:rPr>
          <w:sz w:val="20"/>
          <w:szCs w:val="20"/>
          <w:color w:val="auto"/>
        </w:rPr>
      </w:pPr>
    </w:p>
    <w:p>
      <w:pPr>
        <w:ind w:right="140" w:firstLine="1498"/>
        <w:spacing w:after="0" w:line="241" w:lineRule="auto"/>
        <w:rPr>
          <w:sz w:val="20"/>
          <w:szCs w:val="20"/>
          <w:color w:val="auto"/>
        </w:rPr>
      </w:pPr>
      <w:r>
        <w:rPr>
          <w:sz w:val="1"/>
          <w:szCs w:val="1"/>
          <w:color w:val="auto"/>
        </w:rPr>
        <w:drawing>
          <wp:inline distT="0" distB="0" distL="0" distR="0">
            <wp:extent cx="137160" cy="128905"/>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4">
                      <a:extLst>
                        <a:ext uri="{28A0092B-C50C-407E-A947-70E740481C1C}"/>
                      </a:extLst>
                    </a:blip>
                    <a:srcRect/>
                    <a:stretch>
                      <a:fillRect/>
                    </a:stretch>
                  </pic:blipFill>
                  <pic:spPr bwMode="auto">
                    <a:xfrm>
                      <a:off x="0" y="0"/>
                      <a:ext cx="13716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Tier One Covered Executive</w:t>
      </w:r>
      <w:r>
        <w:rPr>
          <w:rFonts w:ascii="Times New Roman" w:cs="Times New Roman" w:eastAsia="Times New Roman" w:hAnsi="Times New Roman"/>
          <w:sz w:val="22"/>
          <w:szCs w:val="22"/>
          <w:color w:val="auto"/>
        </w:rPr>
        <w:t xml:space="preserve">” means, initially, the employee of the Company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designated therein as the Tier One Covered Executive, and any other employee who, after the date set forth in Section 23 hereof, meets the eligibility requirements set forth in Section 4 of the Plan and is designated by the Administrator in its sole discretion as a Tier One Covered Executive.</w:t>
      </w:r>
    </w:p>
    <w:p>
      <w:pPr>
        <w:spacing w:after="0" w:line="185" w:lineRule="exact"/>
        <w:rPr>
          <w:sz w:val="20"/>
          <w:szCs w:val="20"/>
          <w:color w:val="auto"/>
        </w:rPr>
      </w:pPr>
    </w:p>
    <w:p>
      <w:pPr>
        <w:ind w:left="1780" w:hanging="275"/>
        <w:spacing w:after="0"/>
        <w:tabs>
          <w:tab w:leader="none" w:pos="178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Tier Two Covered Executive</w:t>
      </w:r>
      <w:r>
        <w:rPr>
          <w:rFonts w:ascii="Times New Roman" w:cs="Times New Roman" w:eastAsia="Times New Roman" w:hAnsi="Times New Roman"/>
          <w:sz w:val="22"/>
          <w:szCs w:val="22"/>
          <w:color w:val="auto"/>
        </w:rPr>
        <w:t>” means, initially, each employee of the</w:t>
      </w:r>
    </w:p>
    <w:p>
      <w:pPr>
        <w:spacing w:after="0" w:line="64" w:lineRule="exact"/>
        <w:rPr>
          <w:sz w:val="20"/>
          <w:szCs w:val="20"/>
          <w:color w:val="auto"/>
        </w:rPr>
      </w:pPr>
    </w:p>
    <w:p>
      <w:pPr>
        <w:jc w:val="both"/>
        <w:ind w:right="40"/>
        <w:spacing w:after="0" w:line="244" w:lineRule="auto"/>
        <w:rPr>
          <w:sz w:val="20"/>
          <w:szCs w:val="20"/>
          <w:color w:val="auto"/>
        </w:rPr>
      </w:pPr>
      <w:r>
        <w:rPr>
          <w:rFonts w:ascii="Times New Roman" w:cs="Times New Roman" w:eastAsia="Times New Roman" w:hAnsi="Times New Roman"/>
          <w:sz w:val="22"/>
          <w:szCs w:val="22"/>
          <w:color w:val="auto"/>
        </w:rPr>
        <w:t xml:space="preserve">Company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designated therein as a Tier Two Covered Executive, and any other employee who, after the date set forth in Section 23 hereof, meets the eligibility requirements set forth in Section 4 of the Plan and is designated by the Administrator in its sole discretion as a Tier Two Covered Executive.</w:t>
      </w:r>
    </w:p>
    <w:p>
      <w:pPr>
        <w:spacing w:after="0" w:line="181" w:lineRule="exact"/>
        <w:rPr>
          <w:sz w:val="20"/>
          <w:szCs w:val="20"/>
          <w:color w:val="auto"/>
        </w:rPr>
      </w:pPr>
    </w:p>
    <w:p>
      <w:pPr>
        <w:ind w:right="140" w:firstLine="1498"/>
        <w:spacing w:after="0" w:line="241" w:lineRule="auto"/>
        <w:rPr>
          <w:sz w:val="20"/>
          <w:szCs w:val="20"/>
          <w:color w:val="auto"/>
        </w:rPr>
      </w:pPr>
      <w:r>
        <w:rPr>
          <w:sz w:val="1"/>
          <w:szCs w:val="1"/>
          <w:color w:val="auto"/>
        </w:rPr>
        <w:drawing>
          <wp:inline distT="0" distB="0" distL="0" distR="0">
            <wp:extent cx="154305" cy="128905"/>
            <wp:effectExtent l="0" t="0" r="0" b="0"/>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5">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Tier Three Covered Executive</w:t>
      </w:r>
      <w:r>
        <w:rPr>
          <w:rFonts w:ascii="Times New Roman" w:cs="Times New Roman" w:eastAsia="Times New Roman" w:hAnsi="Times New Roman"/>
          <w:sz w:val="22"/>
          <w:szCs w:val="22"/>
          <w:color w:val="auto"/>
        </w:rPr>
        <w:t xml:space="preserve">” means, initially, the employee of the Company set forth on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hereto and designated therein as the Tier Three Covered Executive, and any other employee who, after the date set forth in Section 23 hereof, meets the eligibility requirements set forth in Section 4 of the Plan and is designated by the Administrator in its sole discretion as a Tier Three Covered Executive.</w:t>
      </w:r>
    </w:p>
    <w:p>
      <w:pPr>
        <w:spacing w:after="0" w:line="178" w:lineRule="exact"/>
        <w:rPr>
          <w:sz w:val="20"/>
          <w:szCs w:val="20"/>
          <w:color w:val="auto"/>
        </w:rPr>
      </w:pPr>
    </w:p>
    <w:p>
      <w:pPr>
        <w:ind w:left="1020" w:hanging="263"/>
        <w:spacing w:after="0"/>
        <w:tabs>
          <w:tab w:leader="none" w:pos="102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Administration of the Plan.</w:t>
      </w:r>
    </w:p>
    <w:p>
      <w:pPr>
        <w:spacing w:after="0" w:line="220" w:lineRule="exact"/>
        <w:rPr>
          <w:sz w:val="20"/>
          <w:szCs w:val="20"/>
          <w:color w:val="auto"/>
        </w:rPr>
      </w:pPr>
    </w:p>
    <w:p>
      <w:pPr>
        <w:ind w:right="560" w:firstLine="1498"/>
        <w:spacing w:after="0" w:line="244" w:lineRule="auto"/>
        <w:rPr>
          <w:sz w:val="20"/>
          <w:szCs w:val="20"/>
          <w:color w:val="auto"/>
        </w:rPr>
      </w:pPr>
      <w:r>
        <w:rPr>
          <w:sz w:val="1"/>
          <w:szCs w:val="1"/>
          <w:color w:val="auto"/>
        </w:rPr>
        <w:drawing>
          <wp:inline distT="0" distB="0" distL="0" distR="0">
            <wp:extent cx="145415" cy="128905"/>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6">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auto"/>
        </w:rPr>
        <w:t xml:space="preserve"> Powers of Administrator</w:t>
      </w:r>
      <w:r>
        <w:rPr>
          <w:rFonts w:ascii="Times New Roman" w:cs="Times New Roman" w:eastAsia="Times New Roman" w:hAnsi="Times New Roman"/>
          <w:sz w:val="22"/>
          <w:szCs w:val="22"/>
          <w:color w:val="auto"/>
        </w:rPr>
        <w:t>. The Plan shall be administered by the Administrator and the Administrator</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shall have all powers necessary to enable it properly to carry out its duties with respect to the administration of the Plan, including in its discretion to:</w:t>
      </w:r>
    </w:p>
    <w:p>
      <w:pPr>
        <w:spacing w:after="0" w:line="17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(i) construe the Plan to determine all questions that arise regarding the interpretation of the Plan’s</w:t>
      </w:r>
    </w:p>
    <w:p>
      <w:pPr>
        <w:spacing w:after="0" w:line="1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provisions;</w:t>
      </w:r>
    </w:p>
    <w:p>
      <w:pPr>
        <w:spacing w:after="0" w:line="182" w:lineRule="exact"/>
        <w:rPr>
          <w:sz w:val="20"/>
          <w:szCs w:val="20"/>
          <w:color w:val="auto"/>
        </w:rPr>
      </w:pPr>
    </w:p>
    <w:p>
      <w:pPr>
        <w:jc w:val="both"/>
        <w:ind w:left="760" w:right="380" w:firstLine="1494"/>
        <w:spacing w:after="0" w:line="244" w:lineRule="auto"/>
        <w:tabs>
          <w:tab w:leader="none" w:pos="2556"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determine which individuals are and are not Covered Executives and determine the benefits to which any Covered Executive may be entitled, the eligibility requirements for participation in the Plan and all other matters pertaining to the Plan;</w:t>
      </w:r>
    </w:p>
    <w:p>
      <w:pPr>
        <w:spacing w:after="0" w:line="173" w:lineRule="exact"/>
        <w:rPr>
          <w:sz w:val="20"/>
          <w:szCs w:val="20"/>
          <w:color w:val="auto"/>
        </w:rPr>
      </w:pPr>
    </w:p>
    <w:p>
      <w:pPr>
        <w:ind w:left="760" w:firstLine="1497"/>
        <w:spacing w:after="0" w:line="258" w:lineRule="auto"/>
        <w:rPr>
          <w:sz w:val="20"/>
          <w:szCs w:val="20"/>
          <w:color w:val="auto"/>
        </w:rPr>
      </w:pPr>
      <w:r>
        <w:rPr>
          <w:rFonts w:ascii="Times New Roman" w:cs="Times New Roman" w:eastAsia="Times New Roman" w:hAnsi="Times New Roman"/>
          <w:sz w:val="22"/>
          <w:szCs w:val="22"/>
          <w:color w:val="auto"/>
        </w:rPr>
        <w:t>(iii)adopt amendments to the Plan as necessary or desirable to comply with all applicable laws and regulations, including but not limited to Section 409A of the Code and the guidance thereunder;</w:t>
      </w:r>
    </w:p>
    <w:p>
      <w:pPr>
        <w:spacing w:after="0" w:line="158" w:lineRule="exact"/>
        <w:rPr>
          <w:sz w:val="20"/>
          <w:szCs w:val="20"/>
          <w:color w:val="auto"/>
        </w:rPr>
      </w:pPr>
    </w:p>
    <w:p>
      <w:pPr>
        <w:ind w:left="760" w:right="700" w:firstLine="1497"/>
        <w:spacing w:after="0" w:line="258" w:lineRule="auto"/>
        <w:rPr>
          <w:sz w:val="20"/>
          <w:szCs w:val="20"/>
          <w:color w:val="auto"/>
        </w:rPr>
      </w:pPr>
      <w:r>
        <w:rPr>
          <w:rFonts w:ascii="Times New Roman" w:cs="Times New Roman" w:eastAsia="Times New Roman" w:hAnsi="Times New Roman"/>
          <w:sz w:val="22"/>
          <w:szCs w:val="22"/>
          <w:color w:val="auto"/>
        </w:rPr>
        <w:t>(iv)make all determinations it deems advisable for the administration of the Plan, including the authority and ability to delegate administrative functions to a third party;</w:t>
      </w:r>
    </w:p>
    <w:p>
      <w:pPr>
        <w:spacing w:after="0" w:line="158"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 decide all disputes arising in connection with the Plan; and</w:t>
      </w:r>
    </w:p>
    <w:p>
      <w:pPr>
        <w:spacing w:after="0" w:line="20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2"/>
          <w:szCs w:val="22"/>
          <w:color w:val="auto"/>
        </w:rPr>
        <w:t>(vi)otherwise supervise the administration of the Plan.</w:t>
      </w:r>
    </w:p>
    <w:p>
      <w:pPr>
        <w:spacing w:after="0" w:line="1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40" w:right="439" w:bottom="1440" w:gutter="0" w:footer="0" w:header="0"/>
        </w:sectPr>
      </w:pPr>
    </w:p>
    <w:bookmarkStart w:id="49" w:name="page50"/>
    <w:bookmarkEnd w:id="49"/>
    <w:p>
      <w:pPr>
        <w:spacing w:after="0" w:line="131" w:lineRule="exact"/>
        <w:rPr>
          <w:sz w:val="20"/>
          <w:szCs w:val="20"/>
          <w:color w:val="auto"/>
        </w:rPr>
      </w:pPr>
    </w:p>
    <w:p>
      <w:pPr>
        <w:ind w:right="780" w:firstLine="1498"/>
        <w:spacing w:after="0" w:line="258" w:lineRule="auto"/>
        <w:rPr>
          <w:sz w:val="20"/>
          <w:szCs w:val="20"/>
          <w:color w:val="auto"/>
        </w:rPr>
      </w:pPr>
      <w:r>
        <w:rPr>
          <w:sz w:val="1"/>
          <w:szCs w:val="1"/>
          <w:color w:val="auto"/>
        </w:rPr>
        <w:drawing>
          <wp:inline distT="0" distB="0" distL="0" distR="0">
            <wp:extent cx="154305" cy="128905"/>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8">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All decisions and interpretations of the Administrator shall be binding on all persons, including the Company and Covered Executives.</w:t>
      </w:r>
    </w:p>
    <w:p>
      <w:pPr>
        <w:spacing w:after="0" w:line="158" w:lineRule="exact"/>
        <w:rPr>
          <w:sz w:val="20"/>
          <w:szCs w:val="20"/>
          <w:color w:val="auto"/>
        </w:rPr>
      </w:pPr>
    </w:p>
    <w:p>
      <w:pPr>
        <w:jc w:val="both"/>
        <w:ind w:firstLine="757"/>
        <w:spacing w:after="0" w:line="239" w:lineRule="auto"/>
        <w:tabs>
          <w:tab w:leader="none" w:pos="1018"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Eligibility</w:t>
      </w:r>
      <w:r>
        <w:rPr>
          <w:rFonts w:ascii="Times New Roman" w:cs="Times New Roman" w:eastAsia="Times New Roman" w:hAnsi="Times New Roman"/>
          <w:sz w:val="22"/>
          <w:szCs w:val="22"/>
          <w:color w:val="auto"/>
        </w:rPr>
        <w:t>. All Covered Executives who have satisfied such requirements as may be determined by the Administrator are eligible to participate in the Plan. The Administrator may determine at any time that a Covered Executive should no longer be designated as such as a result of a material change in such Covered Executive’s role, and such individual shall cease to be eligible to participate in the Plan upon the Administrator’s determination.</w:t>
      </w:r>
    </w:p>
    <w:p>
      <w:pPr>
        <w:spacing w:after="0" w:line="180" w:lineRule="exact"/>
        <w:rPr>
          <w:rFonts w:ascii="Times New Roman" w:cs="Times New Roman" w:eastAsia="Times New Roman" w:hAnsi="Times New Roman"/>
          <w:sz w:val="22"/>
          <w:szCs w:val="22"/>
          <w:color w:val="auto"/>
        </w:rPr>
      </w:pPr>
    </w:p>
    <w:p>
      <w:pPr>
        <w:ind w:right="880" w:firstLine="757"/>
        <w:spacing w:after="0" w:line="258" w:lineRule="auto"/>
        <w:tabs>
          <w:tab w:leader="none" w:pos="101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Benefits Generally</w:t>
      </w:r>
      <w:r>
        <w:rPr>
          <w:rFonts w:ascii="Times New Roman" w:cs="Times New Roman" w:eastAsia="Times New Roman" w:hAnsi="Times New Roman"/>
          <w:sz w:val="22"/>
          <w:szCs w:val="22"/>
          <w:color w:val="auto"/>
        </w:rPr>
        <w:t>. In the event a Covered Executive’s employment with the Company and its Affiliates terminates for any reason, the Company shall pay or provide</w:t>
      </w:r>
    </w:p>
    <w:p>
      <w:pPr>
        <w:spacing w:after="0" w:line="10" w:lineRule="exact"/>
        <w:rPr>
          <w:sz w:val="20"/>
          <w:szCs w:val="20"/>
          <w:color w:val="auto"/>
        </w:rPr>
      </w:pPr>
    </w:p>
    <w:p>
      <w:pPr>
        <w:ind w:right="500"/>
        <w:spacing w:after="0" w:line="258" w:lineRule="auto"/>
        <w:rPr>
          <w:sz w:val="20"/>
          <w:szCs w:val="20"/>
          <w:color w:val="auto"/>
        </w:rPr>
      </w:pPr>
      <w:r>
        <w:rPr>
          <w:rFonts w:ascii="Times New Roman" w:cs="Times New Roman" w:eastAsia="Times New Roman" w:hAnsi="Times New Roman"/>
          <w:sz w:val="22"/>
          <w:szCs w:val="22"/>
          <w:color w:val="auto"/>
        </w:rPr>
        <w:t>to the Covered Executive any Accrued Benefits within the time required by law, but in no event more than 60 days after the Date of Termination.</w:t>
      </w:r>
    </w:p>
    <w:p>
      <w:pPr>
        <w:spacing w:after="0" w:line="158" w:lineRule="exact"/>
        <w:rPr>
          <w:sz w:val="20"/>
          <w:szCs w:val="20"/>
          <w:color w:val="auto"/>
        </w:rPr>
      </w:pPr>
    </w:p>
    <w:p>
      <w:pPr>
        <w:ind w:right="40" w:firstLine="757"/>
        <w:spacing w:after="0" w:line="238" w:lineRule="auto"/>
        <w:tabs>
          <w:tab w:leader="none" w:pos="1017"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not in Connection with a Change in Control</w:t>
      </w:r>
      <w:r>
        <w:rPr>
          <w:rFonts w:ascii="Times New Roman" w:cs="Times New Roman" w:eastAsia="Times New Roman" w:hAnsi="Times New Roman"/>
          <w:sz w:val="22"/>
          <w:szCs w:val="22"/>
          <w:color w:val="auto"/>
        </w:rPr>
        <w:t>. If the employment of a Covered Executive is terminated by the Company or an Affiliate without Cause and for a reason other than due to the Covered Executive’s death or Disability or a Covered Executive resigns from employment with the Company and its Affiliates for Good Reason, and such termination or resignation occurs outside the Change in Control Period, then, in addition to the Accrued Benefits, and subject to the Covered Executive’s fulfillment of the Separation Obligations:</w:t>
      </w:r>
    </w:p>
    <w:p>
      <w:pPr>
        <w:spacing w:after="0" w:line="176" w:lineRule="exact"/>
        <w:rPr>
          <w:rFonts w:ascii="Times New Roman" w:cs="Times New Roman" w:eastAsia="Times New Roman" w:hAnsi="Times New Roman"/>
          <w:sz w:val="22"/>
          <w:szCs w:val="22"/>
          <w:color w:val="auto"/>
        </w:rPr>
      </w:pPr>
    </w:p>
    <w:p>
      <w:pPr>
        <w:ind w:right="280" w:firstLine="1505"/>
        <w:spacing w:after="0" w:line="236" w:lineRule="auto"/>
        <w:tabs>
          <w:tab w:leader="none" w:pos="2027"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to the Covered Executive, (i) if such Covered Executive is a Tier One Covered Executive, an amount equal to three times the sum of (A) the Covered Executive’s Base Salary and (B) the Covered Executive’s Target Bonus; (ii) if such Covered Executive is a Tier Two Covered Executive, an amount equal to one and a half times the sum of (A) the Covered Executive’s Base Salary and (B) the Covered Executive’s Target Bonus; and (iii) if such Covered Executive is a Tier Three Covered Executive, an amount equal to one times the sum of (A) the Covered Executive’s Base Salary and (B) the Covered Executive’s Target Bonus;</w:t>
      </w:r>
    </w:p>
    <w:p>
      <w:pPr>
        <w:spacing w:after="0" w:line="181" w:lineRule="exact"/>
        <w:rPr>
          <w:rFonts w:ascii="Times New Roman" w:cs="Times New Roman" w:eastAsia="Times New Roman" w:hAnsi="Times New Roman"/>
          <w:sz w:val="22"/>
          <w:szCs w:val="22"/>
          <w:b w:val="1"/>
          <w:bCs w:val="1"/>
          <w:color w:val="auto"/>
        </w:rPr>
      </w:pPr>
    </w:p>
    <w:p>
      <w:pPr>
        <w:ind w:right="120" w:firstLine="1505"/>
        <w:spacing w:after="0" w:line="239" w:lineRule="auto"/>
        <w:tabs>
          <w:tab w:leader="none" w:pos="2035"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to the Covered Executive a pro-rated portion of the Covered Executive’s Target Bonus (with such pro-ration determined based on the actual number of days the Covered Executive was employed by the Company or any Affiliate in the calendar year in which the Date of Termination occurs in relation to the total number of days in such calendar year) (the “</w:t>
      </w:r>
      <w:r>
        <w:rPr>
          <w:rFonts w:ascii="Times New Roman" w:cs="Times New Roman" w:eastAsia="Times New Roman" w:hAnsi="Times New Roman"/>
          <w:sz w:val="22"/>
          <w:szCs w:val="22"/>
          <w:b w:val="1"/>
          <w:bCs w:val="1"/>
          <w:i w:val="1"/>
          <w:iCs w:val="1"/>
          <w:color w:val="auto"/>
        </w:rPr>
        <w:t>Pro-Rated Bonus</w:t>
      </w:r>
      <w:r>
        <w:rPr>
          <w:rFonts w:ascii="Times New Roman" w:cs="Times New Roman" w:eastAsia="Times New Roman" w:hAnsi="Times New Roman"/>
          <w:sz w:val="22"/>
          <w:szCs w:val="22"/>
          <w:color w:val="auto"/>
        </w:rPr>
        <w:t>”); and</w:t>
      </w:r>
    </w:p>
    <w:p>
      <w:pPr>
        <w:spacing w:after="0" w:line="180" w:lineRule="exact"/>
        <w:rPr>
          <w:rFonts w:ascii="Times New Roman" w:cs="Times New Roman" w:eastAsia="Times New Roman" w:hAnsi="Times New Roman"/>
          <w:sz w:val="22"/>
          <w:szCs w:val="22"/>
          <w:b w:val="1"/>
          <w:bCs w:val="1"/>
          <w:color w:val="auto"/>
        </w:rPr>
      </w:pPr>
    </w:p>
    <w:p>
      <w:pPr>
        <w:ind w:right="200" w:firstLine="1505"/>
        <w:spacing w:after="0" w:line="258" w:lineRule="auto"/>
        <w:tabs>
          <w:tab w:leader="none" w:pos="2029" w:val="left"/>
        </w:tabs>
        <w:numPr>
          <w:ilvl w:val="1"/>
          <w:numId w:val="4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to the Covered Executive an amount equal to the monthly COBRA premium for the Covered Executive on the Date of Termination multiplied by 24.</w:t>
      </w:r>
    </w:p>
    <w:p>
      <w:pPr>
        <w:spacing w:after="0" w:line="158"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The amounts payable under this Section 6 shall be paid in a lump sum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in the second calendar year by the last day of such 60-day period.</w:t>
      </w:r>
    </w:p>
    <w:p>
      <w:pPr>
        <w:spacing w:after="0" w:line="1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0" w:name="page51"/>
    <w:bookmarkEnd w:id="50"/>
    <w:p>
      <w:pPr>
        <w:spacing w:after="0" w:line="104" w:lineRule="exact"/>
        <w:rPr>
          <w:sz w:val="20"/>
          <w:szCs w:val="20"/>
          <w:color w:val="auto"/>
        </w:rPr>
      </w:pPr>
    </w:p>
    <w:p>
      <w:pPr>
        <w:ind w:firstLine="757"/>
        <w:spacing w:after="0" w:line="235" w:lineRule="auto"/>
        <w:tabs>
          <w:tab w:leader="none" w:pos="1017"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in Connection with a Change in Control</w:t>
      </w:r>
      <w:r>
        <w:rPr>
          <w:rFonts w:ascii="Times New Roman" w:cs="Times New Roman" w:eastAsia="Times New Roman" w:hAnsi="Times New Roman"/>
          <w:sz w:val="22"/>
          <w:szCs w:val="22"/>
          <w:color w:val="auto"/>
        </w:rPr>
        <w:t>. If the employment of a Covered Executive is terminated by the Company or an Affiliate without Cause and for a reason other than due to the Covered Executive’s death or Disability or a Covered Executive resigns from employment with the Company and its Affiliates for Good Reason, and such termination or resignation occurs during the Change in Control Period, then, in addition to the Accrued Benefits, and subject to the (i) the Covered Executive signing a general release of claims against the Company and all related persons and entities that shall not release the Covered Executive’s rights under this Plan (the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and (ii) the Release becoming irrevocable, all within 60 days after the Date of Termination (or such shorter period set forth in the Release):</w:t>
      </w:r>
    </w:p>
    <w:p>
      <w:pPr>
        <w:spacing w:after="0" w:line="183" w:lineRule="exact"/>
        <w:rPr>
          <w:rFonts w:ascii="Times New Roman" w:cs="Times New Roman" w:eastAsia="Times New Roman" w:hAnsi="Times New Roman"/>
          <w:sz w:val="22"/>
          <w:szCs w:val="22"/>
          <w:color w:val="auto"/>
        </w:rPr>
      </w:pPr>
    </w:p>
    <w:p>
      <w:pPr>
        <w:ind w:right="280" w:firstLine="1505"/>
        <w:spacing w:after="0" w:line="258" w:lineRule="auto"/>
        <w:tabs>
          <w:tab w:leader="none" w:pos="2021" w:val="left"/>
        </w:tabs>
        <w:numPr>
          <w:ilvl w:val="1"/>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to the Covered Executive, (i) if such Covered Executive is a Tier One Covered Executive, an amount equal to three times the sum of (A) the</w:t>
      </w:r>
    </w:p>
    <w:p>
      <w:pPr>
        <w:spacing w:after="0" w:line="23"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Covered Executive’s Base Salary and (B) the Covered Executive’s Target Bonus; (ii) if such Covered Executive is a Tier Two Covered Executive, an amount equal to two times the sum of</w:t>
      </w:r>
    </w:p>
    <w:p>
      <w:pPr>
        <w:spacing w:after="0" w:line="2" w:lineRule="exact"/>
        <w:rPr>
          <w:sz w:val="20"/>
          <w:szCs w:val="20"/>
          <w:color w:val="auto"/>
        </w:rPr>
      </w:pPr>
    </w:p>
    <w:p>
      <w:pPr>
        <w:ind w:right="40" w:firstLine="8"/>
        <w:spacing w:after="0" w:line="241" w:lineRule="auto"/>
        <w:tabs>
          <w:tab w:leader="none" w:pos="354" w:val="left"/>
        </w:tabs>
        <w:numPr>
          <w:ilvl w:val="0"/>
          <w:numId w:val="4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Covered Executive’s Base Salary and (B) the Covered Executive’s Target Bonus; or (iii) if such Covered Executive is a Tier Three Covered Executive, an amount equal to one and a half times the sum of (A) the Covered Executive’s Base Salary and</w:t>
      </w:r>
    </w:p>
    <w:p>
      <w:pPr>
        <w:spacing w:after="0" w:line="1" w:lineRule="exact"/>
        <w:rPr>
          <w:rFonts w:ascii="Times New Roman" w:cs="Times New Roman" w:eastAsia="Times New Roman" w:hAnsi="Times New Roman"/>
          <w:sz w:val="21"/>
          <w:szCs w:val="21"/>
          <w:color w:val="auto"/>
        </w:rPr>
      </w:pPr>
    </w:p>
    <w:p>
      <w:pPr>
        <w:ind w:left="360" w:hanging="352"/>
        <w:spacing w:after="0"/>
        <w:tabs>
          <w:tab w:leader="none" w:pos="3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Covered Executive’s Target Bonus;</w:t>
      </w:r>
    </w:p>
    <w:p>
      <w:pPr>
        <w:spacing w:after="0" w:line="209" w:lineRule="exact"/>
        <w:rPr>
          <w:rFonts w:ascii="Times New Roman" w:cs="Times New Roman" w:eastAsia="Times New Roman" w:hAnsi="Times New Roman"/>
          <w:sz w:val="22"/>
          <w:szCs w:val="22"/>
          <w:color w:val="auto"/>
        </w:rPr>
      </w:pPr>
    </w:p>
    <w:p>
      <w:pPr>
        <w:ind w:left="1940" w:hanging="435"/>
        <w:spacing w:after="0"/>
        <w:tabs>
          <w:tab w:leader="none" w:pos="1940"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to the Covered Executive the Pro-Rated Bonus; and</w:t>
      </w:r>
    </w:p>
    <w:p>
      <w:pPr>
        <w:spacing w:after="0" w:line="233" w:lineRule="exact"/>
        <w:rPr>
          <w:rFonts w:ascii="Times New Roman" w:cs="Times New Roman" w:eastAsia="Times New Roman" w:hAnsi="Times New Roman"/>
          <w:sz w:val="22"/>
          <w:szCs w:val="22"/>
          <w:b w:val="1"/>
          <w:bCs w:val="1"/>
          <w:color w:val="auto"/>
        </w:rPr>
      </w:pPr>
    </w:p>
    <w:p>
      <w:pPr>
        <w:ind w:left="760" w:right="260" w:firstLine="745"/>
        <w:spacing w:after="0" w:line="258" w:lineRule="auto"/>
        <w:tabs>
          <w:tab w:leader="none" w:pos="1941" w:val="left"/>
        </w:tabs>
        <w:numPr>
          <w:ilvl w:val="1"/>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to the Covered Executive an amount equal to the monthly COBRA premium for the Covered Executive on the Date of Termination multiplied by 24.</w:t>
      </w:r>
    </w:p>
    <w:p>
      <w:pPr>
        <w:spacing w:after="0" w:line="293" w:lineRule="exact"/>
        <w:rPr>
          <w:sz w:val="20"/>
          <w:szCs w:val="20"/>
          <w:color w:val="auto"/>
        </w:rPr>
      </w:pPr>
    </w:p>
    <w:p>
      <w:pPr>
        <w:ind w:right="80" w:firstLine="749"/>
        <w:spacing w:after="0" w:line="239" w:lineRule="auto"/>
        <w:rPr>
          <w:sz w:val="20"/>
          <w:szCs w:val="20"/>
          <w:color w:val="auto"/>
        </w:rPr>
      </w:pPr>
      <w:r>
        <w:rPr>
          <w:rFonts w:ascii="Times New Roman" w:cs="Times New Roman" w:eastAsia="Times New Roman" w:hAnsi="Times New Roman"/>
          <w:sz w:val="22"/>
          <w:szCs w:val="22"/>
          <w:color w:val="auto"/>
        </w:rPr>
        <w:t>The amounts payable under this Section 7 shall be paid in a lump sum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in the second calendar year by the last day of such 60-day period.</w:t>
      </w:r>
    </w:p>
    <w:p>
      <w:pPr>
        <w:spacing w:after="0" w:line="180" w:lineRule="exact"/>
        <w:rPr>
          <w:sz w:val="20"/>
          <w:szCs w:val="20"/>
          <w:color w:val="auto"/>
        </w:rPr>
      </w:pPr>
    </w:p>
    <w:p>
      <w:pPr>
        <w:jc w:val="both"/>
        <w:ind w:right="20" w:firstLine="757"/>
        <w:spacing w:after="0" w:line="239" w:lineRule="auto"/>
        <w:tabs>
          <w:tab w:leader="none" w:pos="101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Termination Due to Death or Disability</w:t>
      </w:r>
      <w:r>
        <w:rPr>
          <w:rFonts w:ascii="Times New Roman" w:cs="Times New Roman" w:eastAsia="Times New Roman" w:hAnsi="Times New Roman"/>
          <w:sz w:val="22"/>
          <w:szCs w:val="22"/>
          <w:color w:val="auto"/>
        </w:rPr>
        <w:t>. If the employment of a Covered Executive is terminated due to the Covered Executive’s death or Disability, and subject to the (i) the Covered Executive (or the Covered Executive’s designated beneficiary, surviving spouse, estate or legal representative) signing a Release and (ii) the Release becoming irrevocable, all within 60 days after the Date of Termination (or such shorter period set forth in the Release):</w:t>
      </w:r>
    </w:p>
    <w:p>
      <w:pPr>
        <w:spacing w:after="0" w:line="180" w:lineRule="exact"/>
        <w:rPr>
          <w:sz w:val="20"/>
          <w:szCs w:val="20"/>
          <w:color w:val="auto"/>
        </w:rPr>
      </w:pPr>
    </w:p>
    <w:p>
      <w:pPr>
        <w:ind w:right="1440" w:firstLine="1505"/>
        <w:spacing w:after="0" w:line="241" w:lineRule="auto"/>
        <w:tabs>
          <w:tab w:leader="none" w:pos="2012"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to the Covered Executive (or the Covered Executive’s designated beneficiary, surviving spouse, estate or legal representative) the Pro-</w:t>
      </w:r>
    </w:p>
    <w:p>
      <w:pPr>
        <w:spacing w:after="0" w:line="1" w:lineRule="exact"/>
        <w:rPr>
          <w:rFonts w:ascii="Times New Roman" w:cs="Times New Roman" w:eastAsia="Times New Roman" w:hAnsi="Times New Roman"/>
          <w:sz w:val="22"/>
          <w:szCs w:val="22"/>
          <w:b w:val="1"/>
          <w:bCs w:val="1"/>
          <w:color w:val="auto"/>
        </w:rPr>
      </w:pPr>
    </w:p>
    <w:p>
      <w:pPr>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Rated Bonus; and</w:t>
      </w:r>
    </w:p>
    <w:p>
      <w:pPr>
        <w:spacing w:after="0" w:line="182" w:lineRule="exact"/>
        <w:rPr>
          <w:rFonts w:ascii="Times New Roman" w:cs="Times New Roman" w:eastAsia="Times New Roman" w:hAnsi="Times New Roman"/>
          <w:sz w:val="22"/>
          <w:szCs w:val="22"/>
          <w:b w:val="1"/>
          <w:bCs w:val="1"/>
          <w:color w:val="auto"/>
        </w:rPr>
      </w:pPr>
    </w:p>
    <w:p>
      <w:pPr>
        <w:jc w:val="both"/>
        <w:ind w:right="300" w:firstLine="1505"/>
        <w:spacing w:after="0" w:line="244" w:lineRule="auto"/>
        <w:tabs>
          <w:tab w:leader="none" w:pos="2024"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the Company shall pay to the Covered Executive (or the Covered Executive’s designated beneficiary, surviving spouse, estate or legal representative) an amount equal to the monthly COBRA premium for the Covered Executive on the Date of Termination multiplied by 18.</w:t>
      </w:r>
    </w:p>
    <w:p>
      <w:pPr>
        <w:spacing w:after="0" w:line="1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1" w:name="page52"/>
    <w:bookmarkEnd w:id="51"/>
    <w:p>
      <w:pPr>
        <w:spacing w:after="0" w:line="131" w:lineRule="exact"/>
        <w:rPr>
          <w:sz w:val="20"/>
          <w:szCs w:val="20"/>
          <w:color w:val="auto"/>
        </w:rPr>
      </w:pPr>
    </w:p>
    <w:p>
      <w:pPr>
        <w:ind w:right="120" w:firstLine="749"/>
        <w:spacing w:after="0" w:line="239" w:lineRule="auto"/>
        <w:rPr>
          <w:sz w:val="20"/>
          <w:szCs w:val="20"/>
          <w:color w:val="auto"/>
        </w:rPr>
      </w:pPr>
      <w:r>
        <w:rPr>
          <w:rFonts w:ascii="Times New Roman" w:cs="Times New Roman" w:eastAsia="Times New Roman" w:hAnsi="Times New Roman"/>
          <w:sz w:val="22"/>
          <w:szCs w:val="22"/>
          <w:color w:val="auto"/>
        </w:rPr>
        <w:t>The amounts payable under this Section 8 shall be paid in a lump sum within 60 days after the Date of Termination; provided, however, that if the 60-day period begins in one calendar year and ends in a second calendar year, such payments, to the extent they qualify as “non-qualified deferred compensation” within the meaning of Section 409A of the Code, shall be paid in the second calendar year by the last day of such 60-day period.</w:t>
      </w:r>
    </w:p>
    <w:p>
      <w:pPr>
        <w:spacing w:after="0" w:line="180" w:lineRule="exact"/>
        <w:rPr>
          <w:sz w:val="20"/>
          <w:szCs w:val="20"/>
          <w:color w:val="auto"/>
        </w:rPr>
      </w:pPr>
    </w:p>
    <w:p>
      <w:pPr>
        <w:ind w:left="1020" w:hanging="263"/>
        <w:spacing w:after="0"/>
        <w:tabs>
          <w:tab w:leader="none" w:pos="102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Limitation.</w:t>
      </w:r>
    </w:p>
    <w:p>
      <w:pPr>
        <w:spacing w:after="0" w:line="206"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6" w:val="left"/>
        </w:tabs>
        <w:numPr>
          <w:ilvl w:val="1"/>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Anything in this Plan to the contrary notwithstanding, in the event that the amount of any compensation, payment or distribution by the Company to or for the benefit of the Covered Executive, whether paid or payable or distributed or distributable pursuant to the terms of this Plan or otherwise, calculated in a manner consistent with Section 280G of the Code and the applicable regulations thereunder (the “</w:t>
      </w:r>
      <w:r>
        <w:rPr>
          <w:rFonts w:ascii="Times New Roman" w:cs="Times New Roman" w:eastAsia="Times New Roman" w:hAnsi="Times New Roman"/>
          <w:sz w:val="22"/>
          <w:szCs w:val="22"/>
          <w:b w:val="1"/>
          <w:bCs w:val="1"/>
          <w:i w:val="1"/>
          <w:iCs w:val="1"/>
          <w:color w:val="auto"/>
        </w:rPr>
        <w:t>Aggregate Payments</w:t>
      </w:r>
      <w:r>
        <w:rPr>
          <w:rFonts w:ascii="Times New Roman" w:cs="Times New Roman" w:eastAsia="Times New Roman" w:hAnsi="Times New Roman"/>
          <w:sz w:val="22"/>
          <w:szCs w:val="22"/>
          <w:color w:val="auto"/>
        </w:rPr>
        <w:t>”), would be subject to the</w:t>
      </w:r>
    </w:p>
    <w:p>
      <w:pPr>
        <w:spacing w:after="0" w:line="32" w:lineRule="exact"/>
        <w:rPr>
          <w:sz w:val="20"/>
          <w:szCs w:val="20"/>
          <w:color w:val="auto"/>
        </w:rPr>
      </w:pPr>
    </w:p>
    <w:p>
      <w:pPr>
        <w:ind w:right="20"/>
        <w:spacing w:after="0" w:line="233" w:lineRule="auto"/>
        <w:rPr>
          <w:sz w:val="20"/>
          <w:szCs w:val="20"/>
          <w:color w:val="auto"/>
        </w:rPr>
      </w:pPr>
      <w:r>
        <w:rPr>
          <w:rFonts w:ascii="Times New Roman" w:cs="Times New Roman" w:eastAsia="Times New Roman" w:hAnsi="Times New Roman"/>
          <w:sz w:val="22"/>
          <w:szCs w:val="22"/>
          <w:color w:val="auto"/>
        </w:rPr>
        <w:t>excise tax imposed by Section 4999 of the Code, then the Aggregate Payments shall be reduced (but not below zero) so that the sum of all of the Aggregate Payments shall be $1.00 less than the amount at which the Covered Executive becomes subject to the excise tax imposed by Section 4999 of the Code; provided that such reduction will only occur if it would result in the Covered Executive receiving a higher After Tax Amount (as defined below) than the Covered Executive would receive if the Aggregate Payments were not subject to such reduction. In the event of a reduction, the Aggregate Payments will be reduced in the following order, in each case, in reverse chronological order beginning with the Aggregate Payments that are to be paid the furthest in time from consummation of the transaction that is subject to Section 280G of the Code: (i) cash payments not subject to Section 409A of the Code; (ii) cash payments subject to Section 409A of the Code; (iii) equity-based payments and acceleration; and (iv)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81" w:lineRule="exact"/>
        <w:rPr>
          <w:sz w:val="20"/>
          <w:szCs w:val="20"/>
          <w:color w:val="auto"/>
        </w:rPr>
      </w:pPr>
    </w:p>
    <w:p>
      <w:pPr>
        <w:ind w:firstLine="1505"/>
        <w:spacing w:after="0" w:line="236" w:lineRule="auto"/>
        <w:tabs>
          <w:tab w:leader="none" w:pos="2036"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For purposes of this Section 9, the “</w:t>
      </w:r>
      <w:r>
        <w:rPr>
          <w:rFonts w:ascii="Times New Roman" w:cs="Times New Roman" w:eastAsia="Times New Roman" w:hAnsi="Times New Roman"/>
          <w:sz w:val="22"/>
          <w:szCs w:val="22"/>
          <w:b w:val="1"/>
          <w:bCs w:val="1"/>
          <w:i w:val="1"/>
          <w:iCs w:val="1"/>
          <w:color w:val="auto"/>
        </w:rPr>
        <w:t>After Tax Amount</w:t>
      </w:r>
      <w:r>
        <w:rPr>
          <w:rFonts w:ascii="Times New Roman" w:cs="Times New Roman" w:eastAsia="Times New Roman" w:hAnsi="Times New Roman"/>
          <w:sz w:val="22"/>
          <w:szCs w:val="22"/>
          <w:color w:val="auto"/>
        </w:rPr>
        <w:t>” means the amount of the Aggregate Payments less all federal, state and local income, excise, employment and social security taxes imposed on the Covered Executive as a result of the Covered Executive’s receipt of the Aggregate Payments. For purposes of determining the After Tax Amount, the Covered Executive shall be deemed to pay federal income taxes at the highest marginal rate of federal income taxation applicable to individuals for the calendar year in which the determination is to be made, and state and local income taxes and social security taxes at the highest marginal rates of individual taxation in each applicable state and locality, net of the maximum reduction in federal income taxes (if any) that could be obtained from deduction of such state and local taxes.</w:t>
      </w:r>
    </w:p>
    <w:p>
      <w:pPr>
        <w:spacing w:after="0" w:line="195" w:lineRule="exact"/>
        <w:rPr>
          <w:sz w:val="20"/>
          <w:szCs w:val="20"/>
          <w:color w:val="auto"/>
        </w:rPr>
      </w:pPr>
    </w:p>
    <w:p>
      <w:pPr>
        <w:ind w:right="160" w:firstLine="1498"/>
        <w:spacing w:after="0" w:line="238" w:lineRule="auto"/>
        <w:rPr>
          <w:sz w:val="20"/>
          <w:szCs w:val="20"/>
          <w:color w:val="auto"/>
        </w:rPr>
      </w:pPr>
      <w:r>
        <w:rPr>
          <w:sz w:val="1"/>
          <w:szCs w:val="1"/>
          <w:color w:val="auto"/>
        </w:rPr>
        <w:drawing>
          <wp:inline distT="0" distB="0" distL="0" distR="0">
            <wp:extent cx="145415" cy="128905"/>
            <wp:effectExtent l="0" t="0" r="0" b="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1">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The determination as to whether a reduction in the Aggregate Payments shall be made pursuant to Section 9(a) shall be made by the Accounting Firm, which shall provide detailed supporting calculations both to the Company and the Covered Executive within 15 business days of the Date of Termination, if applicable, or at such earlier time as is reasonably requested by the Company or the Covered Executive. Any determination by the Accounting Firm shall be binding upon the Company and the Covered Executive.</w:t>
      </w:r>
    </w:p>
    <w:p>
      <w:pPr>
        <w:spacing w:after="0" w:line="1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52" w:name="page53"/>
    <w:bookmarkEnd w:id="52"/>
    <w:p>
      <w:pPr>
        <w:spacing w:after="0" w:line="131" w:lineRule="exact"/>
        <w:rPr>
          <w:sz w:val="20"/>
          <w:szCs w:val="20"/>
          <w:color w:val="auto"/>
        </w:rPr>
      </w:pPr>
    </w:p>
    <w:p>
      <w:pPr>
        <w:ind w:right="240" w:firstLine="749"/>
        <w:spacing w:after="0" w:line="258" w:lineRule="auto"/>
        <w:rPr>
          <w:sz w:val="20"/>
          <w:szCs w:val="20"/>
          <w:color w:val="auto"/>
        </w:rPr>
      </w:pPr>
      <w:r>
        <w:rPr>
          <w:rFonts w:ascii="Times New Roman" w:cs="Times New Roman" w:eastAsia="Times New Roman" w:hAnsi="Times New Roman"/>
          <w:sz w:val="22"/>
          <w:szCs w:val="22"/>
          <w:color w:val="auto"/>
        </w:rPr>
        <w:t>10.</w:t>
      </w:r>
      <w:r>
        <w:rPr>
          <w:rFonts w:ascii="Times New Roman" w:cs="Times New Roman" w:eastAsia="Times New Roman" w:hAnsi="Times New Roman"/>
          <w:sz w:val="22"/>
          <w:szCs w:val="22"/>
          <w:u w:val="single" w:color="auto"/>
          <w:color w:val="auto"/>
        </w:rPr>
        <w:t>Tax Withholding</w:t>
      </w:r>
      <w:r>
        <w:rPr>
          <w:rFonts w:ascii="Times New Roman" w:cs="Times New Roman" w:eastAsia="Times New Roman" w:hAnsi="Times New Roman"/>
          <w:sz w:val="22"/>
          <w:szCs w:val="22"/>
          <w:color w:val="auto"/>
        </w:rPr>
        <w:t>. All payments made by the Company under this Plan shall be subject to any tax or other amounts required to be withheld by the Company under applicable law.</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11.</w:t>
      </w:r>
      <w:r>
        <w:rPr>
          <w:rFonts w:ascii="Times New Roman" w:cs="Times New Roman" w:eastAsia="Times New Roman" w:hAnsi="Times New Roman"/>
          <w:sz w:val="22"/>
          <w:szCs w:val="22"/>
          <w:u w:val="single" w:color="auto"/>
          <w:color w:val="auto"/>
        </w:rPr>
        <w:t>Section 409A.</w:t>
      </w:r>
    </w:p>
    <w:p>
      <w:pPr>
        <w:spacing w:after="0" w:line="220" w:lineRule="exact"/>
        <w:rPr>
          <w:sz w:val="20"/>
          <w:szCs w:val="20"/>
          <w:color w:val="auto"/>
        </w:rPr>
      </w:pPr>
    </w:p>
    <w:p>
      <w:pPr>
        <w:ind w:right="40" w:firstLine="1498"/>
        <w:spacing w:after="0" w:line="236" w:lineRule="auto"/>
        <w:rPr>
          <w:sz w:val="20"/>
          <w:szCs w:val="20"/>
          <w:color w:val="auto"/>
        </w:rPr>
      </w:pPr>
      <w:r>
        <w:rPr>
          <w:sz w:val="1"/>
          <w:szCs w:val="1"/>
          <w:color w:val="auto"/>
        </w:rPr>
        <w:drawing>
          <wp:inline distT="0" distB="0" distL="0" distR="0">
            <wp:extent cx="145415" cy="128905"/>
            <wp:effectExtent l="0" t="0" r="0"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3">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Notwithstanding anything in this Plan to the contrary, if at the time of the Covered Executive’s “separation from service” within the meaning of Section 409A of the Code, the Company determines that the Covered Executive is a “specified employee” within the meaning of Section 409A(a)(2)(B)(i) of the Code, then to the extent any payment or benefit that the Covered Executive becomes entitled to under this Plan would be considered deferred compensation subject to the 20% additional tax imposed pursuant to Section 409A(a) of the Code as a result of the application of Section 409A(a)(2)(B)(i) of the Code, such payment shall</w:t>
      </w:r>
    </w:p>
    <w:p>
      <w:pPr>
        <w:spacing w:after="0" w:line="33" w:lineRule="exact"/>
        <w:rPr>
          <w:sz w:val="20"/>
          <w:szCs w:val="20"/>
          <w:color w:val="auto"/>
        </w:rPr>
      </w:pPr>
    </w:p>
    <w:p>
      <w:pPr>
        <w:ind w:right="540"/>
        <w:spacing w:after="0" w:line="238" w:lineRule="auto"/>
        <w:rPr>
          <w:sz w:val="20"/>
          <w:szCs w:val="20"/>
          <w:color w:val="auto"/>
        </w:rPr>
      </w:pPr>
      <w:r>
        <w:rPr>
          <w:rFonts w:ascii="Times New Roman" w:cs="Times New Roman" w:eastAsia="Times New Roman" w:hAnsi="Times New Roman"/>
          <w:sz w:val="22"/>
          <w:szCs w:val="22"/>
          <w:color w:val="auto"/>
        </w:rPr>
        <w:t>not be payable and such benefit shall not be provided until the date that is the earlier of (i) six months and one day after the Covered Executive’s separation from service or (ii) the Covered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90" w:lineRule="exact"/>
        <w:rPr>
          <w:sz w:val="20"/>
          <w:szCs w:val="20"/>
          <w:color w:val="auto"/>
        </w:rPr>
      </w:pPr>
    </w:p>
    <w:p>
      <w:pPr>
        <w:jc w:val="both"/>
        <w:ind w:right="60" w:firstLine="1498"/>
        <w:spacing w:after="0" w:line="236" w:lineRule="auto"/>
        <w:rPr>
          <w:sz w:val="20"/>
          <w:szCs w:val="20"/>
          <w:color w:val="auto"/>
        </w:rPr>
      </w:pPr>
      <w:r>
        <w:rPr>
          <w:sz w:val="1"/>
          <w:szCs w:val="1"/>
          <w:color w:val="auto"/>
        </w:rPr>
        <w:drawing>
          <wp:inline distT="0" distB="0" distL="0" distR="0">
            <wp:extent cx="154305" cy="128905"/>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4">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This Plan will be administered in accordance with Section 409A of the Code and that all amounts payable hereunder shall be exempt from the requirements of such Section to the greatest extent possible. To the extent that any provision of this Plan is not exempt from Section 409A of the Code and is ambiguous as to its compliance with Section 409A of the Code, the provision shall be read in such a manner to comply with Section 409A of the Code.</w:t>
      </w:r>
    </w:p>
    <w:p>
      <w:pPr>
        <w:spacing w:after="0" w:line="1"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22"/>
          <w:szCs w:val="22"/>
          <w:color w:val="auto"/>
        </w:rPr>
        <w:t>Each payment pursuant to this Plan is intended to constitute a separate payment for purposes of Treasury Regulation Section 1.409A-2(b)(2). This Plan may be amended as may be necessary to fully comply with Section 409A of the Code and all related rules and regulations in order to preserve the payments and benefits provided hereunder without additional cost to the Company or any Covered Executive.</w:t>
      </w:r>
    </w:p>
    <w:p>
      <w:pPr>
        <w:spacing w:after="0" w:line="191" w:lineRule="exact"/>
        <w:rPr>
          <w:sz w:val="20"/>
          <w:szCs w:val="20"/>
          <w:color w:val="auto"/>
        </w:rPr>
      </w:pPr>
    </w:p>
    <w:p>
      <w:pPr>
        <w:ind w:right="460" w:firstLine="1498"/>
        <w:spacing w:after="0" w:line="238" w:lineRule="auto"/>
        <w:rPr>
          <w:sz w:val="20"/>
          <w:szCs w:val="20"/>
          <w:color w:val="auto"/>
        </w:rPr>
      </w:pPr>
      <w:r>
        <w:rPr>
          <w:sz w:val="1"/>
          <w:szCs w:val="1"/>
          <w:color w:val="auto"/>
        </w:rPr>
        <w:drawing>
          <wp:inline distT="0" distB="0" distL="0" distR="0">
            <wp:extent cx="145415" cy="128905"/>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5">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To the extent that any payment or benefit described in this Plan constitutes “non-qualified deferred compensation” under Section 409A of the Code, and to the extent that such payment or benefit is payable upon the Covered Executive’s termination of employment, then such payments or benefits will be payable only upon the Covered Executive’s “separation from service.” The determination of whether and when a separation from service has occurred will be made in accordance with the presumptions set forth in Treasury Regulation Section 1.409A-1(h).</w:t>
      </w:r>
    </w:p>
    <w:p>
      <w:pPr>
        <w:spacing w:after="0" w:line="190" w:lineRule="exact"/>
        <w:rPr>
          <w:sz w:val="20"/>
          <w:szCs w:val="20"/>
          <w:color w:val="auto"/>
        </w:rPr>
      </w:pPr>
    </w:p>
    <w:p>
      <w:pPr>
        <w:ind w:firstLine="1498"/>
        <w:spacing w:after="0" w:line="248" w:lineRule="auto"/>
        <w:rPr>
          <w:sz w:val="20"/>
          <w:szCs w:val="20"/>
          <w:color w:val="auto"/>
        </w:rPr>
      </w:pPr>
      <w:r>
        <w:rPr>
          <w:sz w:val="1"/>
          <w:szCs w:val="1"/>
          <w:color w:val="auto"/>
        </w:rPr>
        <w:drawing>
          <wp:inline distT="0" distB="0" distL="0" distR="0">
            <wp:extent cx="154305" cy="128905"/>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6">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All in-kind benefits provided and expenses eligible for reimbursement under this Plan will be provided by the Company or incurred by the Covered Executive during the time periods set forth in this Plan. All reimbursements shall be paid as soon as administratively practicable, but in no event will any reimbursement be paid after the last day of the taxable year following the taxable year in which the expense was incurred. The amount of in-kind benefits provided or reimbursable expenses incurred in one taxable year will not affect the in-kind benefits to be provided or the expenses eligible for reimbursement in any other taxable year (except for any lifetime or other aggregate limitation applicable to medical expenses). Such</w:t>
      </w:r>
    </w:p>
    <w:p>
      <w:pPr>
        <w:spacing w:after="0" w:line="13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53" w:name="page54"/>
    <w:bookmarkEnd w:id="53"/>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right to reimbursement or in-kind benefits is not subject to liquidation or exchange for another benefit.</w:t>
      </w:r>
    </w:p>
    <w:p>
      <w:pPr>
        <w:spacing w:after="0" w:line="220" w:lineRule="exact"/>
        <w:rPr>
          <w:sz w:val="20"/>
          <w:szCs w:val="20"/>
          <w:color w:val="auto"/>
        </w:rPr>
      </w:pPr>
    </w:p>
    <w:p>
      <w:pPr>
        <w:jc w:val="both"/>
        <w:ind w:right="240" w:firstLine="1498"/>
        <w:spacing w:after="0" w:line="244" w:lineRule="auto"/>
        <w:rPr>
          <w:sz w:val="20"/>
          <w:szCs w:val="20"/>
          <w:color w:val="auto"/>
        </w:rPr>
      </w:pPr>
      <w:r>
        <w:rPr>
          <w:sz w:val="1"/>
          <w:szCs w:val="1"/>
          <w:color w:val="auto"/>
        </w:rPr>
        <w:drawing>
          <wp:inline distT="0" distB="0" distL="0" distR="0">
            <wp:extent cx="145415" cy="128905"/>
            <wp:effectExtent l="0" t="0" r="0"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8">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The Company makes no representation or warranty and will have no liability to any Covered Executive or any other person if any provisions of this Plan are determined to constitute deferred compensation subject to Section 409A of the Code but do not satisfy the conditions of such Section.</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12.</w:t>
      </w:r>
      <w:r>
        <w:rPr>
          <w:rFonts w:ascii="Times New Roman" w:cs="Times New Roman" w:eastAsia="Times New Roman" w:hAnsi="Times New Roman"/>
          <w:sz w:val="22"/>
          <w:szCs w:val="22"/>
          <w:u w:val="single" w:color="auto"/>
          <w:color w:val="auto"/>
        </w:rPr>
        <w:t>Notice and Date of Termination</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right="180" w:firstLine="1498"/>
        <w:spacing w:after="0" w:line="258" w:lineRule="auto"/>
        <w:rPr>
          <w:sz w:val="20"/>
          <w:szCs w:val="20"/>
          <w:color w:val="auto"/>
        </w:rPr>
      </w:pPr>
      <w:r>
        <w:rPr>
          <w:sz w:val="1"/>
          <w:szCs w:val="1"/>
          <w:color w:val="auto"/>
        </w:rPr>
        <w:drawing>
          <wp:inline distT="0" distB="0" distL="0" distR="0">
            <wp:extent cx="145415" cy="128905"/>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9">
                      <a:extLst>
                        <a:ext uri="{28A0092B-C50C-407E-A947-70E740481C1C}"/>
                      </a:extLst>
                    </a:blip>
                    <a:srcRect/>
                    <a:stretch>
                      <a:fillRect/>
                    </a:stretch>
                  </pic:blipFill>
                  <pic:spPr bwMode="auto">
                    <a:xfrm>
                      <a:off x="0" y="0"/>
                      <a:ext cx="145415" cy="1289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auto"/>
        </w:rPr>
        <w:t xml:space="preserve"> Notice of Termination</w:t>
      </w:r>
      <w:r>
        <w:rPr>
          <w:rFonts w:ascii="Times New Roman" w:cs="Times New Roman" w:eastAsia="Times New Roman" w:hAnsi="Times New Roman"/>
          <w:sz w:val="22"/>
          <w:szCs w:val="22"/>
          <w:color w:val="auto"/>
        </w:rPr>
        <w:t>. A termination of the Covered Executive’s employment will be communicated by</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Notice of Termination from the Company to the Covered Executive or vice versa in accordance with this Section 12.</w:t>
      </w:r>
    </w:p>
    <w:p>
      <w:pPr>
        <w:spacing w:after="0" w:line="172" w:lineRule="exact"/>
        <w:rPr>
          <w:sz w:val="20"/>
          <w:szCs w:val="20"/>
          <w:color w:val="auto"/>
        </w:rPr>
      </w:pPr>
    </w:p>
    <w:p>
      <w:pPr>
        <w:ind w:firstLine="1498"/>
        <w:spacing w:after="0" w:line="239" w:lineRule="auto"/>
        <w:rPr>
          <w:sz w:val="20"/>
          <w:szCs w:val="20"/>
          <w:color w:val="auto"/>
        </w:rPr>
      </w:pPr>
      <w:r>
        <w:rPr>
          <w:sz w:val="1"/>
          <w:szCs w:val="1"/>
          <w:color w:val="auto"/>
        </w:rPr>
        <w:drawing>
          <wp:inline distT="0" distB="0" distL="0" distR="0">
            <wp:extent cx="154305" cy="128905"/>
            <wp:effectExtent l="0" t="0" r="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0">
                      <a:extLst>
                        <a:ext uri="{28A0092B-C50C-407E-A947-70E740481C1C}"/>
                      </a:extLst>
                    </a:blip>
                    <a:srcRect/>
                    <a:stretch>
                      <a:fillRect/>
                    </a:stretch>
                  </pic:blipFill>
                  <pic:spPr bwMode="auto">
                    <a:xfrm>
                      <a:off x="0" y="0"/>
                      <a:ext cx="154305" cy="128905"/>
                    </a:xfrm>
                    <a:prstGeom prst="rect">
                      <a:avLst/>
                    </a:prstGeom>
                    <a:noFill/>
                    <a:ln>
                      <a:noFill/>
                    </a:ln>
                  </pic:spPr>
                </pic:pic>
              </a:graphicData>
            </a:graphic>
          </wp:inline>
        </w:drawing>
      </w:r>
      <w:r>
        <w:rPr>
          <w:rFonts w:ascii="Times New Roman" w:cs="Times New Roman" w:eastAsia="Times New Roman" w:hAnsi="Times New Roman"/>
          <w:sz w:val="22"/>
          <w:szCs w:val="22"/>
          <w:u w:val="single" w:color="auto"/>
          <w:color w:val="auto"/>
        </w:rPr>
        <w:t xml:space="preserve"> Notice to the Company</w:t>
      </w:r>
      <w:r>
        <w:rPr>
          <w:rFonts w:ascii="Times New Roman" w:cs="Times New Roman" w:eastAsia="Times New Roman" w:hAnsi="Times New Roman"/>
          <w:sz w:val="22"/>
          <w:szCs w:val="22"/>
          <w:color w:val="auto"/>
        </w:rPr>
        <w:t>. Any notices, requests, demands or other communications provided for by this</w:t>
      </w:r>
      <w:r>
        <w:rPr>
          <w:rFonts w:ascii="Times New Roman" w:cs="Times New Roman" w:eastAsia="Times New Roman" w:hAnsi="Times New Roman"/>
          <w:sz w:val="22"/>
          <w:szCs w:val="22"/>
          <w:u w:val="single" w:color="auto"/>
          <w:color w:val="auto"/>
        </w:rPr>
        <w:t xml:space="preserve"> </w:t>
      </w:r>
      <w:r>
        <w:rPr>
          <w:rFonts w:ascii="Times New Roman" w:cs="Times New Roman" w:eastAsia="Times New Roman" w:hAnsi="Times New Roman"/>
          <w:sz w:val="22"/>
          <w:szCs w:val="22"/>
          <w:color w:val="auto"/>
        </w:rPr>
        <w:t>Plan shall be sufficient if in writing and delivered in person or sent by registered or certified mail, postage prepaid, to a Covered Executive at the last address the Covered Executive has filed in writing with the Company, or to the Company at the following physical or email address:</w:t>
      </w:r>
    </w:p>
    <w:p>
      <w:pPr>
        <w:spacing w:after="0" w:line="180" w:lineRule="exact"/>
        <w:rPr>
          <w:sz w:val="20"/>
          <w:szCs w:val="20"/>
          <w:color w:val="auto"/>
        </w:rPr>
      </w:pPr>
    </w:p>
    <w:p>
      <w:pPr>
        <w:ind w:left="1500" w:right="3940"/>
        <w:spacing w:after="0" w:line="244" w:lineRule="auto"/>
        <w:rPr>
          <w:sz w:val="20"/>
          <w:szCs w:val="20"/>
          <w:color w:val="auto"/>
        </w:rPr>
      </w:pPr>
      <w:r>
        <w:rPr>
          <w:rFonts w:ascii="Times New Roman" w:cs="Times New Roman" w:eastAsia="Times New Roman" w:hAnsi="Times New Roman"/>
          <w:sz w:val="22"/>
          <w:szCs w:val="22"/>
          <w:color w:val="auto"/>
        </w:rPr>
        <w:t>Easterly Government Properties, Inc. Attention: General Counsel 2001 K Street NW, Suite 775 North Washington, District of Columbia 20006 Email: flogan@easterlyreit.com</w:t>
      </w:r>
    </w:p>
    <w:p>
      <w:pPr>
        <w:spacing w:after="0" w:line="200" w:lineRule="exact"/>
        <w:rPr>
          <w:sz w:val="20"/>
          <w:szCs w:val="20"/>
          <w:color w:val="auto"/>
        </w:rPr>
      </w:pPr>
    </w:p>
    <w:p>
      <w:pPr>
        <w:ind w:right="300" w:firstLine="749"/>
        <w:spacing w:after="0" w:line="244" w:lineRule="auto"/>
        <w:rPr>
          <w:sz w:val="20"/>
          <w:szCs w:val="20"/>
          <w:color w:val="auto"/>
        </w:rPr>
      </w:pPr>
      <w:r>
        <w:rPr>
          <w:rFonts w:ascii="Times New Roman" w:cs="Times New Roman" w:eastAsia="Times New Roman" w:hAnsi="Times New Roman"/>
          <w:sz w:val="22"/>
          <w:szCs w:val="22"/>
          <w:color w:val="auto"/>
        </w:rPr>
        <w:t>13.</w:t>
      </w:r>
      <w:r>
        <w:rPr>
          <w:rFonts w:ascii="Times New Roman" w:cs="Times New Roman" w:eastAsia="Times New Roman" w:hAnsi="Times New Roman"/>
          <w:sz w:val="22"/>
          <w:szCs w:val="22"/>
          <w:u w:val="single" w:color="auto"/>
          <w:color w:val="auto"/>
        </w:rPr>
        <w:t>Unfunded Plan</w:t>
      </w:r>
      <w:r>
        <w:rPr>
          <w:rFonts w:ascii="Times New Roman" w:cs="Times New Roman" w:eastAsia="Times New Roman" w:hAnsi="Times New Roman"/>
          <w:sz w:val="22"/>
          <w:szCs w:val="22"/>
          <w:color w:val="auto"/>
        </w:rPr>
        <w:t>. This Plan is unfunded and shall not create (or be construed to create) a trust or separate fund and this Plan does not establish any fiduciary relationship between the Company or any of its Affiliates and any Covered Executive.</w:t>
      </w:r>
    </w:p>
    <w:p>
      <w:pPr>
        <w:spacing w:after="0" w:line="173" w:lineRule="exact"/>
        <w:rPr>
          <w:sz w:val="20"/>
          <w:szCs w:val="20"/>
          <w:color w:val="auto"/>
        </w:rPr>
      </w:pPr>
    </w:p>
    <w:p>
      <w:pPr>
        <w:ind w:right="80" w:firstLine="749"/>
        <w:spacing w:after="0" w:line="258" w:lineRule="auto"/>
        <w:rPr>
          <w:sz w:val="20"/>
          <w:szCs w:val="20"/>
          <w:color w:val="auto"/>
        </w:rPr>
      </w:pPr>
      <w:r>
        <w:rPr>
          <w:rFonts w:ascii="Times New Roman" w:cs="Times New Roman" w:eastAsia="Times New Roman" w:hAnsi="Times New Roman"/>
          <w:sz w:val="22"/>
          <w:szCs w:val="22"/>
          <w:color w:val="auto"/>
        </w:rPr>
        <w:t>14.</w:t>
      </w: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The Covered Executive is not required to seek other employment or to attempt in any way to reduce any amounts payable to the Covered Executive by the Company under this Plan.</w:t>
      </w:r>
    </w:p>
    <w:p>
      <w:pPr>
        <w:spacing w:after="0" w:line="158" w:lineRule="exact"/>
        <w:rPr>
          <w:sz w:val="20"/>
          <w:szCs w:val="20"/>
          <w:color w:val="auto"/>
        </w:rPr>
      </w:pPr>
    </w:p>
    <w:p>
      <w:pPr>
        <w:ind w:right="140" w:firstLine="749"/>
        <w:spacing w:after="0" w:line="236" w:lineRule="auto"/>
        <w:rPr>
          <w:sz w:val="20"/>
          <w:szCs w:val="20"/>
          <w:color w:val="auto"/>
        </w:rPr>
      </w:pPr>
      <w:r>
        <w:rPr>
          <w:rFonts w:ascii="Times New Roman" w:cs="Times New Roman" w:eastAsia="Times New Roman" w:hAnsi="Times New Roman"/>
          <w:sz w:val="22"/>
          <w:szCs w:val="22"/>
          <w:color w:val="auto"/>
        </w:rPr>
        <w:t>15.</w:t>
      </w:r>
      <w:r>
        <w:rPr>
          <w:rFonts w:ascii="Times New Roman" w:cs="Times New Roman" w:eastAsia="Times New Roman" w:hAnsi="Times New Roman"/>
          <w:sz w:val="22"/>
          <w:szCs w:val="22"/>
          <w:u w:val="single" w:color="auto"/>
          <w:color w:val="auto"/>
        </w:rPr>
        <w:t>Benefits and Burdens</w:t>
      </w:r>
      <w:r>
        <w:rPr>
          <w:rFonts w:ascii="Times New Roman" w:cs="Times New Roman" w:eastAsia="Times New Roman" w:hAnsi="Times New Roman"/>
          <w:sz w:val="22"/>
          <w:szCs w:val="22"/>
          <w:color w:val="auto"/>
        </w:rPr>
        <w:t>. This Plan shall inure to the benefit of and be binding upon the Company and the Covered Executives, their respective successors, executors, administrators, heirs and permitted assigns. In the event of a Covered Executive’s death after a termination of employment but prior to the completion by the Company of all payments due to such Covered Executive under this Plan, the Company shall continue such payments to the Covered Executive’s beneficiary designated in writing to the Company prior to Covered Executive’s death (or to the Covered Executive’s estate, if the Covered Executive fails to make such designation).</w:t>
      </w:r>
    </w:p>
    <w:p>
      <w:pPr>
        <w:spacing w:after="0" w:line="18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21"/>
          <w:szCs w:val="21"/>
          <w:color w:val="auto"/>
        </w:rPr>
        <w:t>16.</w:t>
      </w:r>
      <w:r>
        <w:rPr>
          <w:rFonts w:ascii="Times New Roman" w:cs="Times New Roman" w:eastAsia="Times New Roman" w:hAnsi="Times New Roman"/>
          <w:sz w:val="21"/>
          <w:szCs w:val="21"/>
          <w:u w:val="single" w:color="auto"/>
          <w:color w:val="auto"/>
        </w:rPr>
        <w:t>Enforceability</w:t>
      </w:r>
      <w:r>
        <w:rPr>
          <w:rFonts w:ascii="Times New Roman" w:cs="Times New Roman" w:eastAsia="Times New Roman" w:hAnsi="Times New Roman"/>
          <w:sz w:val="21"/>
          <w:szCs w:val="21"/>
          <w:color w:val="auto"/>
        </w:rPr>
        <w:t>. If any portion or provision of this Plan is to any extent be declared illegal or unenforceable by a court of competent jurisdiction, then the remainder of this Plan, or the application of such portion or provision in circumstances other than those as to which it is so declared illegal or unenforceable, will not be affected thereby, and each portion</w:t>
      </w:r>
    </w:p>
    <w:p>
      <w:pPr>
        <w:spacing w:after="0" w:line="11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440" w:right="499" w:bottom="1440" w:gutter="0" w:footer="0" w:header="0"/>
        </w:sectPr>
      </w:pPr>
    </w:p>
    <w:bookmarkStart w:id="54" w:name="page55"/>
    <w:bookmarkEnd w:id="54"/>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and provision of this Plan will be valid and enforceable to the fullest extent permitted by law.</w:t>
      </w:r>
    </w:p>
    <w:p>
      <w:pPr>
        <w:spacing w:after="0" w:line="206" w:lineRule="exact"/>
        <w:rPr>
          <w:sz w:val="20"/>
          <w:szCs w:val="20"/>
          <w:color w:val="auto"/>
        </w:rPr>
      </w:pPr>
    </w:p>
    <w:p>
      <w:pPr>
        <w:ind w:right="60" w:firstLine="749"/>
        <w:spacing w:after="0" w:line="239" w:lineRule="auto"/>
        <w:rPr>
          <w:sz w:val="20"/>
          <w:szCs w:val="20"/>
          <w:color w:val="auto"/>
        </w:rPr>
      </w:pPr>
      <w:r>
        <w:rPr>
          <w:rFonts w:ascii="Times New Roman" w:cs="Times New Roman" w:eastAsia="Times New Roman" w:hAnsi="Times New Roman"/>
          <w:sz w:val="22"/>
          <w:szCs w:val="22"/>
          <w:color w:val="auto"/>
        </w:rPr>
        <w:t>17.</w:t>
      </w:r>
      <w:r>
        <w:rPr>
          <w:rFonts w:ascii="Times New Roman" w:cs="Times New Roman" w:eastAsia="Times New Roman" w:hAnsi="Times New Roman"/>
          <w:sz w:val="22"/>
          <w:szCs w:val="22"/>
          <w:u w:val="single" w:color="auto"/>
          <w:color w:val="auto"/>
        </w:rPr>
        <w:t>Waiver</w:t>
      </w:r>
      <w:r>
        <w:rPr>
          <w:rFonts w:ascii="Times New Roman" w:cs="Times New Roman" w:eastAsia="Times New Roman" w:hAnsi="Times New Roman"/>
          <w:sz w:val="22"/>
          <w:szCs w:val="22"/>
          <w:color w:val="auto"/>
        </w:rPr>
        <w:t>. No waiver of any provision hereof will be effective unless made in writing and signed by the waiving party. The failure of any party to require the performance of any term or obligation of this Plan, or the waiver by any party of any breach of this Plan, will not prevent any subsequent enforcement of such term or obligation or be deemed a waiver of any subsequent breach.</w:t>
      </w:r>
    </w:p>
    <w:p>
      <w:pPr>
        <w:spacing w:after="0" w:line="180" w:lineRule="exact"/>
        <w:rPr>
          <w:sz w:val="20"/>
          <w:szCs w:val="20"/>
          <w:color w:val="auto"/>
        </w:rPr>
      </w:pPr>
    </w:p>
    <w:p>
      <w:pPr>
        <w:ind w:firstLine="749"/>
        <w:spacing w:after="0" w:line="238" w:lineRule="auto"/>
        <w:rPr>
          <w:sz w:val="20"/>
          <w:szCs w:val="20"/>
          <w:color w:val="auto"/>
        </w:rPr>
      </w:pPr>
      <w:r>
        <w:rPr>
          <w:rFonts w:ascii="Times New Roman" w:cs="Times New Roman" w:eastAsia="Times New Roman" w:hAnsi="Times New Roman"/>
          <w:sz w:val="22"/>
          <w:szCs w:val="22"/>
          <w:color w:val="auto"/>
        </w:rPr>
        <w:t>18.</w:t>
      </w:r>
      <w:r>
        <w:rPr>
          <w:rFonts w:ascii="Times New Roman" w:cs="Times New Roman" w:eastAsia="Times New Roman" w:hAnsi="Times New Roman"/>
          <w:sz w:val="22"/>
          <w:szCs w:val="22"/>
          <w:u w:val="single" w:color="auto"/>
          <w:color w:val="auto"/>
        </w:rPr>
        <w:t>Non-Duplication of Benefits and Effect on Other Plans</w:t>
      </w:r>
      <w:r>
        <w:rPr>
          <w:rFonts w:ascii="Times New Roman" w:cs="Times New Roman" w:eastAsia="Times New Roman" w:hAnsi="Times New Roman"/>
          <w:sz w:val="22"/>
          <w:szCs w:val="22"/>
          <w:color w:val="auto"/>
        </w:rPr>
        <w:t>. Notwithstanding any other provision in the Plan to the contrary, the benefits provided hereunder are in lieu of any other severance payments and/or benefits provided by the Company, including any such payments and/or benefits pursuant to an employment agreement or offer letter between the Company and any Covered Executive; provided, however, nothing in this Plan shall affect and equity acceleration rights that any Covered Executive may have pursuant to any Company equity incentive plan or award agreement.</w:t>
      </w:r>
    </w:p>
    <w:p>
      <w:pPr>
        <w:spacing w:after="0" w:line="177" w:lineRule="exact"/>
        <w:rPr>
          <w:sz w:val="20"/>
          <w:szCs w:val="20"/>
          <w:color w:val="auto"/>
        </w:rPr>
      </w:pPr>
    </w:p>
    <w:p>
      <w:pPr>
        <w:jc w:val="both"/>
        <w:ind w:right="60" w:firstLine="749"/>
        <w:spacing w:after="0" w:line="244" w:lineRule="auto"/>
        <w:rPr>
          <w:sz w:val="20"/>
          <w:szCs w:val="20"/>
          <w:color w:val="auto"/>
        </w:rPr>
      </w:pPr>
      <w:r>
        <w:rPr>
          <w:rFonts w:ascii="Times New Roman" w:cs="Times New Roman" w:eastAsia="Times New Roman" w:hAnsi="Times New Roman"/>
          <w:sz w:val="22"/>
          <w:szCs w:val="22"/>
          <w:color w:val="auto"/>
        </w:rPr>
        <w:t>19.</w:t>
      </w:r>
      <w:r>
        <w:rPr>
          <w:rFonts w:ascii="Times New Roman" w:cs="Times New Roman" w:eastAsia="Times New Roman" w:hAnsi="Times New Roman"/>
          <w:sz w:val="22"/>
          <w:szCs w:val="22"/>
          <w:u w:val="single" w:color="auto"/>
          <w:color w:val="auto"/>
        </w:rPr>
        <w:t>No Contract of Employment</w:t>
      </w:r>
      <w:r>
        <w:rPr>
          <w:rFonts w:ascii="Times New Roman" w:cs="Times New Roman" w:eastAsia="Times New Roman" w:hAnsi="Times New Roman"/>
          <w:sz w:val="22"/>
          <w:szCs w:val="22"/>
          <w:color w:val="auto"/>
        </w:rPr>
        <w:t>. Nothing in this Plan will be construed as giving any Covered Executive any right to be retained in the employ of the Company or its Affiliates or affect the terms and conditions of a Covered Executive’s employment with the Company or its Affiliates.</w:t>
      </w:r>
    </w:p>
    <w:p>
      <w:pPr>
        <w:spacing w:after="0" w:line="173" w:lineRule="exact"/>
        <w:rPr>
          <w:sz w:val="20"/>
          <w:szCs w:val="20"/>
          <w:color w:val="auto"/>
        </w:rPr>
      </w:pPr>
    </w:p>
    <w:p>
      <w:pPr>
        <w:ind w:right="360" w:firstLine="749"/>
        <w:spacing w:after="0" w:line="244" w:lineRule="auto"/>
        <w:rPr>
          <w:sz w:val="20"/>
          <w:szCs w:val="20"/>
          <w:color w:val="auto"/>
        </w:rPr>
      </w:pPr>
      <w:r>
        <w:rPr>
          <w:rFonts w:ascii="Times New Roman" w:cs="Times New Roman" w:eastAsia="Times New Roman" w:hAnsi="Times New Roman"/>
          <w:sz w:val="22"/>
          <w:szCs w:val="22"/>
          <w:color w:val="auto"/>
        </w:rPr>
        <w:t>20.</w:t>
      </w:r>
      <w:r>
        <w:rPr>
          <w:rFonts w:ascii="Times New Roman" w:cs="Times New Roman" w:eastAsia="Times New Roman" w:hAnsi="Times New Roman"/>
          <w:sz w:val="22"/>
          <w:szCs w:val="22"/>
          <w:u w:val="single" w:color="auto"/>
          <w:color w:val="auto"/>
        </w:rPr>
        <w:t>Amendment or Termination of Plan</w:t>
      </w:r>
      <w:r>
        <w:rPr>
          <w:rFonts w:ascii="Times New Roman" w:cs="Times New Roman" w:eastAsia="Times New Roman" w:hAnsi="Times New Roman"/>
          <w:sz w:val="22"/>
          <w:szCs w:val="22"/>
          <w:color w:val="auto"/>
        </w:rPr>
        <w:t>. The Company may amend or terminate this Plan at any time or from time to time, but no such action will adversely affect the rights of any Covered Executive without the Covered Executive’s written consent.</w:t>
      </w:r>
    </w:p>
    <w:p>
      <w:pPr>
        <w:spacing w:after="0" w:line="173" w:lineRule="exact"/>
        <w:rPr>
          <w:sz w:val="20"/>
          <w:szCs w:val="20"/>
          <w:color w:val="auto"/>
        </w:rPr>
      </w:pPr>
    </w:p>
    <w:p>
      <w:pPr>
        <w:ind w:right="700" w:firstLine="749"/>
        <w:spacing w:after="0" w:line="258" w:lineRule="auto"/>
        <w:rPr>
          <w:sz w:val="20"/>
          <w:szCs w:val="20"/>
          <w:color w:val="auto"/>
        </w:rPr>
      </w:pPr>
      <w:r>
        <w:rPr>
          <w:rFonts w:ascii="Times New Roman" w:cs="Times New Roman" w:eastAsia="Times New Roman" w:hAnsi="Times New Roman"/>
          <w:sz w:val="22"/>
          <w:szCs w:val="22"/>
          <w:color w:val="auto"/>
        </w:rPr>
        <w:t>21.</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Plan will be construed under and be governed in all respects by the laws of the State of Maryland, without giving effect to the conflict of laws principles.</w:t>
      </w:r>
    </w:p>
    <w:p>
      <w:pPr>
        <w:spacing w:after="0" w:line="158" w:lineRule="exact"/>
        <w:rPr>
          <w:sz w:val="20"/>
          <w:szCs w:val="20"/>
          <w:color w:val="auto"/>
        </w:rPr>
      </w:pPr>
    </w:p>
    <w:p>
      <w:pPr>
        <w:jc w:val="both"/>
        <w:ind w:right="180" w:firstLine="749"/>
        <w:spacing w:after="0" w:line="239" w:lineRule="auto"/>
        <w:rPr>
          <w:sz w:val="20"/>
          <w:szCs w:val="20"/>
          <w:color w:val="auto"/>
        </w:rPr>
      </w:pPr>
      <w:r>
        <w:rPr>
          <w:rFonts w:ascii="Times New Roman" w:cs="Times New Roman" w:eastAsia="Times New Roman" w:hAnsi="Times New Roman"/>
          <w:sz w:val="22"/>
          <w:szCs w:val="22"/>
          <w:color w:val="auto"/>
        </w:rPr>
        <w:t>22.</w:t>
      </w:r>
      <w:r>
        <w:rPr>
          <w:rFonts w:ascii="Times New Roman" w:cs="Times New Roman" w:eastAsia="Times New Roman" w:hAnsi="Times New Roman"/>
          <w:sz w:val="22"/>
          <w:szCs w:val="22"/>
          <w:u w:val="single" w:color="auto"/>
          <w:color w:val="auto"/>
        </w:rPr>
        <w:t>Obligations of Successors</w:t>
      </w:r>
      <w:r>
        <w:rPr>
          <w:rFonts w:ascii="Times New Roman" w:cs="Times New Roman" w:eastAsia="Times New Roman" w:hAnsi="Times New Roman"/>
          <w:sz w:val="22"/>
          <w:szCs w:val="22"/>
          <w:color w:val="auto"/>
        </w:rPr>
        <w:t>. In addition to any obligations imposed by law upon any successor to the Company, any successor (whether direct or indirect, by purchase, merger, consolidation or otherwise) to all or substantially all of the business or assets of the Company shall expressly assume and agree to perform this Plan in the same manner and to the same extent that the Company would be required to perform if no such succession had taken place.</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23.</w:t>
      </w:r>
      <w:r>
        <w:rPr>
          <w:rFonts w:ascii="Times New Roman" w:cs="Times New Roman" w:eastAsia="Times New Roman" w:hAnsi="Times New Roman"/>
          <w:sz w:val="22"/>
          <w:szCs w:val="22"/>
          <w:u w:val="single" w:color="auto"/>
          <w:color w:val="auto"/>
        </w:rPr>
        <w:t>Effectiveness</w:t>
      </w:r>
      <w:r>
        <w:rPr>
          <w:rFonts w:ascii="Times New Roman" w:cs="Times New Roman" w:eastAsia="Times New Roman" w:hAnsi="Times New Roman"/>
          <w:sz w:val="22"/>
          <w:szCs w:val="22"/>
          <w:color w:val="auto"/>
        </w:rPr>
        <w:t>. The Plan is effective as of April 22, 2026.</w:t>
      </w:r>
    </w:p>
    <w:p>
      <w:pPr>
        <w:spacing w:after="0" w:line="202"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22"/>
          <w:szCs w:val="22"/>
          <w:i w:val="1"/>
          <w:iCs w:val="1"/>
          <w:color w:val="auto"/>
        </w:rPr>
        <w:t>[Remainder of page intentionally left blank]</w:t>
      </w:r>
    </w:p>
    <w:p>
      <w:pPr>
        <w:spacing w:after="0" w:line="17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675640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55" w:name="page56"/>
    <w:bookmarkEnd w:id="55"/>
    <w:p>
      <w:pPr>
        <w:ind w:left="402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2"/>
          <w:szCs w:val="22"/>
          <w:b w:val="1"/>
          <w:bCs w:val="1"/>
          <w:u w:val="single" w:color="auto"/>
          <w:color w:val="auto"/>
        </w:rPr>
        <w:t>Covered Executives</w:t>
      </w:r>
    </w:p>
    <w:p>
      <w:pPr>
        <w:ind w:left="3240"/>
        <w:spacing w:after="0"/>
        <w:rPr>
          <w:sz w:val="20"/>
          <w:szCs w:val="20"/>
          <w:color w:val="auto"/>
        </w:rPr>
      </w:pPr>
      <w:r>
        <w:rPr>
          <w:rFonts w:ascii="Times New Roman" w:cs="Times New Roman" w:eastAsia="Times New Roman" w:hAnsi="Times New Roman"/>
          <w:sz w:val="22"/>
          <w:szCs w:val="22"/>
          <w:i w:val="1"/>
          <w:iCs w:val="1"/>
          <w:color w:val="auto"/>
        </w:rPr>
        <w:t>Tier One Covered Executives</w:t>
      </w:r>
    </w:p>
    <w:p>
      <w:pPr>
        <w:spacing w:after="0" w:line="22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Darrell W.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-153035</wp:posOffset>
            </wp:positionV>
            <wp:extent cx="7059295" cy="3302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3">
                      <a:extLst>
                        <a:ext uri="{28A0092B-C50C-407E-A947-70E740481C1C}"/>
                      </a:extLst>
                    </a:blip>
                    <a:srcRect/>
                    <a:stretch>
                      <a:fillRect/>
                    </a:stretch>
                  </pic:blipFill>
                  <pic:spPr bwMode="auto">
                    <a:xfrm>
                      <a:off x="0" y="0"/>
                      <a:ext cx="7059295" cy="33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Tier Two Covered Executives</w:t>
      </w:r>
    </w:p>
    <w:p>
      <w:pPr>
        <w:spacing w:after="0" w:line="23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Allison E.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-707390</wp:posOffset>
            </wp:positionH>
            <wp:positionV relativeFrom="paragraph">
              <wp:posOffset>-153035</wp:posOffset>
            </wp:positionV>
            <wp:extent cx="7059295" cy="60198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4">
                      <a:extLst>
                        <a:ext uri="{28A0092B-C50C-407E-A947-70E740481C1C}"/>
                      </a:extLst>
                    </a:blip>
                    <a:srcRect/>
                    <a:stretch>
                      <a:fillRect/>
                    </a:stretch>
                  </pic:blipFill>
                  <pic:spPr bwMode="auto">
                    <a:xfrm>
                      <a:off x="0" y="0"/>
                      <a:ext cx="7059295" cy="601980"/>
                    </a:xfrm>
                    <a:prstGeom prst="rect">
                      <a:avLst/>
                    </a:prstGeom>
                    <a:noFill/>
                  </pic:spPr>
                </pic:pic>
              </a:graphicData>
            </a:graphic>
          </wp:anchor>
        </w:drawing>
      </w:r>
    </w:p>
    <w:p>
      <w:pPr>
        <w:spacing w:after="0" w:line="18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Michael P. Ibe</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Tier Three Covered Executives</w:t>
      </w:r>
    </w:p>
    <w:p>
      <w:pPr>
        <w:spacing w:after="0" w:line="27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color w:val="auto"/>
        </w:rPr>
        <w:t>Franklin V. Logan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658495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-707390</wp:posOffset>
            </wp:positionH>
            <wp:positionV relativeFrom="paragraph">
              <wp:posOffset>-153035</wp:posOffset>
            </wp:positionV>
            <wp:extent cx="7059295" cy="3295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6">
                      <a:extLst>
                        <a:ext uri="{28A0092B-C50C-407E-A947-70E740481C1C}"/>
                      </a:extLst>
                    </a:blip>
                    <a:srcRect/>
                    <a:stretch>
                      <a:fillRect/>
                    </a:stretch>
                  </pic:blipFill>
                  <pic:spPr bwMode="auto">
                    <a:xfrm>
                      <a:off x="0" y="0"/>
                      <a:ext cx="7059295" cy="329565"/>
                    </a:xfrm>
                    <a:prstGeom prst="rect">
                      <a:avLst/>
                    </a:prstGeom>
                    <a:noFill/>
                  </pic:spPr>
                </pic:pic>
              </a:graphicData>
            </a:graphic>
          </wp:anchor>
        </w:drawing>
      </w:r>
    </w:p>
    <w:p>
      <w:pPr>
        <w:sectPr>
          <w:pgSz w:w="11900" w:h="16838" w:orient="portrait"/>
          <w:cols w:equalWidth="0" w:num="1">
            <w:col w:w="9019"/>
          </w:cols>
          <w:pgMar w:left="1440" w:top="1323" w:right="1440"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Rule 13a-14(a) and Rule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Darrell W. Crate, certify that:</w:t>
      </w:r>
    </w:p>
    <w:p>
      <w:pPr>
        <w:spacing w:after="0" w:line="117" w:lineRule="exact"/>
        <w:rPr>
          <w:sz w:val="20"/>
          <w:szCs w:val="20"/>
          <w:color w:val="auto"/>
        </w:rPr>
      </w:pPr>
    </w:p>
    <w:p>
      <w:pPr>
        <w:ind w:left="360" w:hanging="352"/>
        <w:spacing w:after="0"/>
        <w:tabs>
          <w:tab w:leader="none" w:pos="3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Easterly Government Properties,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Darrell W.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Darrell W. Crate</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Rule 13a-14(a) and Rule 15d-14(a)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Allison E. Marino, certify that:</w:t>
      </w:r>
    </w:p>
    <w:p>
      <w:pPr>
        <w:spacing w:after="0" w:line="117" w:lineRule="exact"/>
        <w:rPr>
          <w:sz w:val="20"/>
          <w:szCs w:val="20"/>
          <w:color w:val="auto"/>
        </w:rPr>
      </w:pPr>
    </w:p>
    <w:p>
      <w:pPr>
        <w:ind w:left="360" w:hanging="352"/>
        <w:spacing w:after="0"/>
        <w:tabs>
          <w:tab w:leader="none" w:pos="36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Easterly Government Properties, Inc.;</w:t>
      </w:r>
    </w:p>
    <w:p>
      <w:pPr>
        <w:spacing w:after="0" w:line="117" w:lineRule="exact"/>
        <w:rPr>
          <w:rFonts w:ascii="Times New Roman" w:cs="Times New Roman" w:eastAsia="Times New Roman" w:hAnsi="Times New Roman"/>
          <w:sz w:val="18"/>
          <w:szCs w:val="18"/>
          <w:color w:val="auto"/>
        </w:rPr>
      </w:pPr>
    </w:p>
    <w:p>
      <w:pPr>
        <w:ind w:left="520" w:right="280" w:hanging="512"/>
        <w:spacing w:after="0" w:line="266" w:lineRule="auto"/>
        <w:tabs>
          <w:tab w:leader="none" w:pos="3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360" w:hanging="512"/>
        <w:spacing w:after="0" w:line="282" w:lineRule="auto"/>
        <w:tabs>
          <w:tab w:leader="none" w:pos="3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3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right="80" w:hanging="479"/>
        <w:spacing w:after="0" w:line="266" w:lineRule="auto"/>
        <w:tabs>
          <w:tab w:leader="none" w:pos="8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479"/>
        <w:spacing w:after="0" w:line="266" w:lineRule="auto"/>
        <w:tabs>
          <w:tab w:leader="none" w:pos="8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right="480" w:hanging="479"/>
        <w:spacing w:after="0" w:line="282" w:lineRule="auto"/>
        <w:tabs>
          <w:tab w:leader="none" w:pos="8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00" w:hanging="479"/>
        <w:spacing w:after="0" w:line="266" w:lineRule="auto"/>
        <w:tabs>
          <w:tab w:leader="none" w:pos="8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80" w:hanging="512"/>
        <w:spacing w:after="0" w:line="282" w:lineRule="auto"/>
        <w:tabs>
          <w:tab w:leader="none" w:pos="37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40" w:hanging="479"/>
        <w:spacing w:after="0" w:line="282" w:lineRule="auto"/>
        <w:tabs>
          <w:tab w:leader="none" w:pos="8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540" w:hanging="479"/>
        <w:spacing w:after="0" w:line="282" w:lineRule="auto"/>
        <w:tabs>
          <w:tab w:leader="none" w:pos="895"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27, 2026</w:t>
      </w:r>
    </w:p>
    <w:p>
      <w:pPr>
        <w:spacing w:after="0" w:line="225"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Allison E. Marino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Allison E. Marino</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Certification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Pursuant to 18 U.S.C. Section 1350</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undersigned officers, who are the Chief Executive Officer and Chief Financial Officer of Easterly Government Properties, Inc. (the “Company”), each hereby certifies to the best of his or her knowledge, that the Company’s Quarterly Report on Form 10-Q to which this certification is attached (the “Report”), as filed with the Securities and Exchange Commission on the date hereof, fully complies with the requirements of Section 13(a) or 15(d), as applicable, of the Securities Exchange Act of 1934, as amended, and that the information contained in the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Darrell W. Crate</w:t>
            </w:r>
          </w:p>
        </w:tc>
        <w:tc>
          <w:tcPr>
            <w:tcW w:w="2260" w:type="dxa"/>
            <w:vAlign w:val="bottom"/>
          </w:tcPr>
          <w:p>
            <w:pPr>
              <w:spacing w:after="0"/>
              <w:rPr>
                <w:sz w:val="20"/>
                <w:szCs w:val="20"/>
                <w:color w:val="auto"/>
              </w:rPr>
            </w:pPr>
          </w:p>
        </w:tc>
        <w:tc>
          <w:tcPr>
            <w:tcW w:w="44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Allison E. Marino</w:t>
            </w:r>
          </w:p>
        </w:tc>
      </w:tr>
      <w:tr>
        <w:trPr>
          <w:trHeight w:val="191"/>
        </w:trPr>
        <w:tc>
          <w:tcPr>
            <w:tcW w:w="45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Darrell W. Crate</w:t>
            </w:r>
          </w:p>
        </w:tc>
        <w:tc>
          <w:tcPr>
            <w:tcW w:w="2260" w:type="dxa"/>
            <w:vAlign w:val="bottom"/>
          </w:tcPr>
          <w:p>
            <w:pPr>
              <w:spacing w:after="0"/>
              <w:rPr>
                <w:sz w:val="16"/>
                <w:szCs w:val="16"/>
                <w:color w:val="auto"/>
              </w:rPr>
            </w:pPr>
          </w:p>
        </w:tc>
        <w:tc>
          <w:tcPr>
            <w:tcW w:w="44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Allison E. Marino</w:t>
            </w:r>
          </w:p>
        </w:tc>
      </w:tr>
      <w:tr>
        <w:trPr>
          <w:trHeight w:val="234"/>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2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459"/>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April 27, 2026</w:t>
            </w:r>
          </w:p>
        </w:tc>
        <w:tc>
          <w:tcPr>
            <w:tcW w:w="2260" w:type="dxa"/>
            <w:vAlign w:val="bottom"/>
          </w:tcPr>
          <w:p>
            <w:pPr>
              <w:spacing w:after="0"/>
              <w:rPr>
                <w:sz w:val="24"/>
                <w:szCs w:val="24"/>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April 27, 2026</w:t>
            </w:r>
          </w:p>
        </w:tc>
      </w:tr>
      <w:tr>
        <w:trPr>
          <w:trHeight w:val="1910"/>
        </w:trPr>
        <w:tc>
          <w:tcPr>
            <w:tcW w:w="450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9" w:name="page60"/>
    <w:bookmarkEnd w:id="5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EDBDAB"/>
    <w:multiLevelType w:val="hybridMultilevel"/>
    <w:lvl w:ilvl="0">
      <w:lvlJc w:val="left"/>
      <w:lvlText w:val="☒"/>
      <w:numFmt w:val="bullet"/>
      <w:start w:val="1"/>
    </w:lvl>
  </w:abstractNum>
  <w:abstractNum w:abstractNumId="1">
    <w:nsid w:val="79838CB2"/>
    <w:multiLevelType w:val="hybridMultilevel"/>
    <w:lvl w:ilvl="0">
      <w:lvlJc w:val="left"/>
      <w:lvlText w:val="☐"/>
      <w:numFmt w:val="bullet"/>
      <w:start w:val="1"/>
    </w:lvl>
  </w:abstractNum>
  <w:abstractNum w:abstractNumId="2">
    <w:nsid w:val="4353D0CD"/>
    <w:multiLevelType w:val="hybridMultilevel"/>
    <w:lvl w:ilvl="0">
      <w:lvlJc w:val="left"/>
      <w:lvlText w:val="(%1)"/>
      <w:numFmt w:val="decimal"/>
      <w:start w:val="1"/>
    </w:lvl>
  </w:abstractNum>
  <w:abstractNum w:abstractNumId="3">
    <w:nsid w:val="B03E0C6"/>
    <w:multiLevelType w:val="hybridMultilevel"/>
    <w:lvl w:ilvl="0">
      <w:lvlJc w:val="left"/>
      <w:lvlText w:val="(%1)"/>
      <w:numFmt w:val="decimal"/>
      <w:start w:val="1"/>
    </w:lvl>
  </w:abstractNum>
  <w:abstractNum w:abstractNumId="4">
    <w:nsid w:val="189A769B"/>
    <w:multiLevelType w:val="hybridMultilevel"/>
    <w:lvl w:ilvl="0">
      <w:lvlJc w:val="left"/>
      <w:lvlText w:val="(%1)"/>
      <w:numFmt w:val="decimal"/>
      <w:start w:val="1"/>
    </w:lvl>
  </w:abstractNum>
  <w:abstractNum w:abstractNumId="5">
    <w:nsid w:val="54E49EB4"/>
    <w:multiLevelType w:val="hybridMultilevel"/>
    <w:lvl w:ilvl="0">
      <w:lvlJc w:val="left"/>
      <w:lvlText w:val="(%1)"/>
      <w:numFmt w:val="decimal"/>
      <w:start w:val="3"/>
    </w:lvl>
  </w:abstractNum>
  <w:abstractNum w:abstractNumId="6">
    <w:nsid w:val="71F32454"/>
    <w:multiLevelType w:val="hybridMultilevel"/>
    <w:lvl w:ilvl="0">
      <w:lvlJc w:val="left"/>
      <w:lvlText w:val="%1"/>
      <w:numFmt w:val="decimal"/>
      <w:start w:val="1"/>
    </w:lvl>
    <w:lvl w:ilvl="1">
      <w:lvlJc w:val="left"/>
      <w:lvlText w:val="(%2)"/>
      <w:numFmt w:val="decimal"/>
      <w:start w:val="1"/>
    </w:lvl>
  </w:abstractNum>
  <w:abstractNum w:abstractNumId="7">
    <w:nsid w:val="2CA88611"/>
    <w:multiLevelType w:val="hybridMultilevel"/>
    <w:lvl w:ilvl="0">
      <w:lvlJc w:val="left"/>
      <w:lvlText w:val="%1."/>
      <w:numFmt w:val="decimal"/>
      <w:start w:val="9"/>
    </w:lvl>
    <w:lvl w:ilvl="1">
      <w:lvlJc w:val="left"/>
      <w:lvlText w:val="%2"/>
      <w:numFmt w:val="decimal"/>
      <w:start w:val="1"/>
    </w:lvl>
  </w:abstractNum>
  <w:abstractNum w:abstractNumId="8">
    <w:nsid w:val="836C40E"/>
    <w:multiLevelType w:val="hybridMultilevel"/>
    <w:lvl w:ilvl="0">
      <w:lvlJc w:val="left"/>
      <w:lvlText w:val="(%1)"/>
      <w:numFmt w:val="lowerRoman"/>
      <w:start w:val="1"/>
    </w:lvl>
  </w:abstractNum>
  <w:abstractNum w:abstractNumId="9">
    <w:nsid w:val="2901D82"/>
    <w:multiLevelType w:val="hybridMultilevel"/>
    <w:lvl w:ilvl="0">
      <w:lvlJc w:val="left"/>
      <w:lvlText w:val="(%1)"/>
      <w:numFmt w:val="decimal"/>
      <w:start w:val="1"/>
    </w:lvl>
  </w:abstractNum>
  <w:abstractNum w:abstractNumId="10">
    <w:nsid w:val="3A95F874"/>
    <w:multiLevelType w:val="hybridMultilevel"/>
    <w:lvl w:ilvl="0">
      <w:lvlJc w:val="left"/>
      <w:lvlText w:val="(%1)"/>
      <w:numFmt w:val="decimal"/>
      <w:start w:val="1"/>
    </w:lvl>
  </w:abstractNum>
  <w:abstractNum w:abstractNumId="11">
    <w:nsid w:val="8138641"/>
    <w:multiLevelType w:val="hybridMultilevel"/>
    <w:lvl w:ilvl="0">
      <w:lvlJc w:val="left"/>
      <w:lvlText w:val="(%1)"/>
      <w:numFmt w:val="decimal"/>
      <w:start w:val="1"/>
    </w:lvl>
  </w:abstractNum>
  <w:abstractNum w:abstractNumId="12">
    <w:nsid w:val="1E7FF521"/>
    <w:multiLevelType w:val="hybridMultilevel"/>
    <w:lvl w:ilvl="0">
      <w:lvlJc w:val="left"/>
      <w:lvlText w:val="%1"/>
      <w:numFmt w:val="decimal"/>
      <w:start w:val="1"/>
    </w:lvl>
    <w:lvl w:ilvl="1">
      <w:lvlJc w:val="left"/>
      <w:lvlText w:val="(%2)"/>
      <w:numFmt w:val="decimal"/>
      <w:start w:val="1"/>
    </w:lvl>
  </w:abstractNum>
  <w:abstractNum w:abstractNumId="13">
    <w:nsid w:val="7C3DBD3D"/>
    <w:multiLevelType w:val="hybridMultilevel"/>
    <w:lvl w:ilvl="0">
      <w:lvlJc w:val="left"/>
      <w:lvlText w:val="%1."/>
      <w:numFmt w:val="decimal"/>
      <w:start w:val="12"/>
    </w:lvl>
    <w:lvl w:ilvl="1">
      <w:lvlJc w:val="left"/>
      <w:lvlText w:val="%2"/>
      <w:numFmt w:val="decimal"/>
      <w:start w:val="1"/>
    </w:lvl>
  </w:abstractNum>
  <w:abstractNum w:abstractNumId="14">
    <w:nsid w:val="737B8DDC"/>
    <w:multiLevelType w:val="hybridMultilevel"/>
    <w:lvl w:ilvl="0">
      <w:lvlJc w:val="left"/>
      <w:lvlText w:val="%1"/>
      <w:numFmt w:val="decimal"/>
      <w:start w:val="1"/>
    </w:lvl>
    <w:lvl w:ilvl="1">
      <w:lvlJc w:val="left"/>
      <w:lvlText w:val="(%2)"/>
      <w:numFmt w:val="decimal"/>
      <w:start w:val="1"/>
    </w:lvl>
  </w:abstractNum>
  <w:abstractNum w:abstractNumId="15">
    <w:nsid w:val="6CEAF087"/>
    <w:multiLevelType w:val="hybridMultilevel"/>
    <w:lvl w:ilvl="0">
      <w:lvlJc w:val="left"/>
      <w:lvlText w:val="%1."/>
      <w:numFmt w:val="decimal"/>
      <w:start w:val="13"/>
    </w:lvl>
    <w:lvl w:ilvl="1">
      <w:lvlJc w:val="left"/>
      <w:lvlText w:val="%2"/>
      <w:numFmt w:val="decimal"/>
      <w:start w:val="1"/>
    </w:lvl>
  </w:abstractNum>
  <w:abstractNum w:abstractNumId="16">
    <w:nsid w:val="22221A70"/>
    <w:multiLevelType w:val="hybridMultilevel"/>
    <w:lvl w:ilvl="0">
      <w:lvlJc w:val="left"/>
      <w:lvlText w:val="•"/>
      <w:numFmt w:val="bullet"/>
      <w:start w:val="1"/>
    </w:lvl>
  </w:abstractNum>
  <w:abstractNum w:abstractNumId="17">
    <w:nsid w:val="4516DDE9"/>
    <w:multiLevelType w:val="hybridMultilevel"/>
    <w:lvl w:ilvl="0">
      <w:lvlJc w:val="left"/>
      <w:lvlText w:val="•"/>
      <w:numFmt w:val="bullet"/>
      <w:start w:val="1"/>
    </w:lvl>
  </w:abstractNum>
  <w:abstractNum w:abstractNumId="18">
    <w:nsid w:val="3006C83E"/>
    <w:multiLevelType w:val="hybridMultilevel"/>
    <w:lvl w:ilvl="0">
      <w:lvlJc w:val="left"/>
      <w:lvlText w:val="(%1)"/>
      <w:numFmt w:val="decimal"/>
      <w:start w:val="1"/>
    </w:lvl>
  </w:abstractNum>
  <w:abstractNum w:abstractNumId="19">
    <w:nsid w:val="614FD4A1"/>
    <w:multiLevelType w:val="hybridMultilevel"/>
    <w:lvl w:ilvl="0">
      <w:lvlJc w:val="left"/>
      <w:lvlText w:val="(%1)"/>
      <w:numFmt w:val="decimal"/>
      <w:start w:val="1"/>
    </w:lvl>
  </w:abstractNum>
  <w:abstractNum w:abstractNumId="20">
    <w:nsid w:val="419AC241"/>
    <w:multiLevelType w:val="hybridMultilevel"/>
    <w:lvl w:ilvl="0">
      <w:lvlJc w:val="left"/>
      <w:lvlText w:val="•"/>
      <w:numFmt w:val="bullet"/>
      <w:start w:val="1"/>
    </w:lvl>
  </w:abstractNum>
  <w:abstractNum w:abstractNumId="21">
    <w:nsid w:val="5577F8E1"/>
    <w:multiLevelType w:val="hybridMultilevel"/>
    <w:lvl w:ilvl="0">
      <w:lvlJc w:val="left"/>
      <w:lvlText w:val="•"/>
      <w:numFmt w:val="bullet"/>
      <w:start w:val="1"/>
    </w:lvl>
  </w:abstractNum>
  <w:abstractNum w:abstractNumId="22">
    <w:nsid w:val="440BADFC"/>
    <w:multiLevelType w:val="hybridMultilevel"/>
    <w:lvl w:ilvl="0">
      <w:lvlJc w:val="left"/>
      <w:lvlText w:val="•"/>
      <w:numFmt w:val="bullet"/>
      <w:start w:val="1"/>
    </w:lvl>
  </w:abstractNum>
  <w:abstractNum w:abstractNumId="23">
    <w:nsid w:val="5072367"/>
    <w:multiLevelType w:val="hybridMultilevel"/>
    <w:lvl w:ilvl="0">
      <w:lvlJc w:val="left"/>
      <w:lvlText w:val="(%1)"/>
      <w:numFmt w:val="decimal"/>
      <w:start w:val="1"/>
    </w:lvl>
  </w:abstractNum>
  <w:abstractNum w:abstractNumId="24">
    <w:nsid w:val="3804823E"/>
    <w:multiLevelType w:val="hybridMultilevel"/>
    <w:lvl w:ilvl="0">
      <w:lvlJc w:val="left"/>
      <w:lvlText w:val="(%1)"/>
      <w:numFmt w:val="decimal"/>
      <w:start w:val="1"/>
    </w:lvl>
  </w:abstractNum>
  <w:abstractNum w:abstractNumId="25">
    <w:nsid w:val="77465F01"/>
    <w:multiLevelType w:val="hybridMultilevel"/>
    <w:lvl w:ilvl="0">
      <w:lvlJc w:val="left"/>
      <w:lvlText w:val="(%1)"/>
      <w:numFmt w:val="decimal"/>
      <w:start w:val="2"/>
    </w:lvl>
  </w:abstractNum>
  <w:abstractNum w:abstractNumId="26">
    <w:nsid w:val="7724C67E"/>
    <w:multiLevelType w:val="hybridMultilevel"/>
    <w:lvl w:ilvl="0">
      <w:lvlJc w:val="left"/>
      <w:lvlText w:val="(%1)"/>
      <w:numFmt w:val="decimal"/>
      <w:start w:val="1"/>
    </w:lvl>
  </w:abstractNum>
  <w:abstractNum w:abstractNumId="27">
    <w:nsid w:val="5C482A97"/>
    <w:multiLevelType w:val="hybridMultilevel"/>
    <w:lvl w:ilvl="0">
      <w:lvlJc w:val="left"/>
      <w:lvlText w:val="•"/>
      <w:numFmt w:val="bullet"/>
      <w:start w:val="1"/>
    </w:lvl>
  </w:abstractNum>
  <w:abstractNum w:abstractNumId="28">
    <w:nsid w:val="2463B9EA"/>
    <w:multiLevelType w:val="hybridMultilevel"/>
    <w:lvl w:ilvl="0">
      <w:lvlJc w:val="left"/>
      <w:lvlText w:val="(%1)"/>
      <w:numFmt w:val="lowerLetter"/>
      <w:start w:val="1"/>
    </w:lvl>
  </w:abstractNum>
  <w:abstractNum w:abstractNumId="29">
    <w:nsid w:val="5E884ADC"/>
    <w:multiLevelType w:val="hybridMultilevel"/>
    <w:lvl w:ilvl="0">
      <w:lvlJc w:val="left"/>
      <w:lvlText w:val="(%1)"/>
      <w:numFmt w:val="lowerLetter"/>
      <w:start w:val="2"/>
    </w:lvl>
  </w:abstractNum>
  <w:abstractNum w:abstractNumId="30">
    <w:nsid w:val="51EAD36B"/>
    <w:multiLevelType w:val="hybridMultilevel"/>
    <w:lvl w:ilvl="0">
      <w:lvlJc w:val="left"/>
      <w:lvlText w:val="†"/>
      <w:numFmt w:val="bullet"/>
      <w:start w:val="1"/>
    </w:lvl>
  </w:abstractNum>
  <w:abstractNum w:abstractNumId="31">
    <w:nsid w:val="2D517796"/>
    <w:multiLevelType w:val="hybridMultilevel"/>
    <w:lvl w:ilvl="0">
      <w:lvlJc w:val="left"/>
      <w:lvlText w:val="%1."/>
      <w:numFmt w:val="decimal"/>
      <w:start w:val="1"/>
    </w:lvl>
  </w:abstractNum>
  <w:abstractNum w:abstractNumId="32">
    <w:nsid w:val="580BD78F"/>
    <w:multiLevelType w:val="hybridMultilevel"/>
    <w:lvl w:ilvl="0">
      <w:lvlJc w:val="left"/>
      <w:lvlText w:val="(%1)"/>
      <w:numFmt w:val="lowerLetter"/>
      <w:start w:val="61"/>
    </w:lvl>
    <w:lvl w:ilvl="1">
      <w:lvlJc w:val="left"/>
      <w:lvlText w:val="(%2)"/>
      <w:numFmt w:val="lowerLetter"/>
      <w:start w:val="9"/>
    </w:lvl>
  </w:abstractNum>
  <w:abstractNum w:abstractNumId="33">
    <w:nsid w:val="153EA438"/>
    <w:multiLevelType w:val="hybridMultilevel"/>
    <w:lvl w:ilvl="0">
      <w:lvlJc w:val="left"/>
      <w:lvlText w:val="(%1)"/>
      <w:numFmt w:val="lowerLetter"/>
      <w:start w:val="12"/>
    </w:lvl>
  </w:abstractNum>
  <w:abstractNum w:abstractNumId="34">
    <w:nsid w:val="3855585C"/>
    <w:multiLevelType w:val="hybridMultilevel"/>
    <w:lvl w:ilvl="0">
      <w:lvlJc w:val="left"/>
      <w:lvlText w:val="(%1)"/>
      <w:numFmt w:val="lowerRoman"/>
      <w:start w:val="5"/>
    </w:lvl>
  </w:abstractNum>
  <w:abstractNum w:abstractNumId="35">
    <w:nsid w:val="70A64E2A"/>
    <w:multiLevelType w:val="hybridMultilevel"/>
    <w:lvl w:ilvl="0">
      <w:lvlJc w:val="left"/>
      <w:lvlText w:val="(%1)"/>
      <w:numFmt w:val="lowerLetter"/>
      <w:start w:val="20"/>
    </w:lvl>
  </w:abstractNum>
  <w:abstractNum w:abstractNumId="36">
    <w:nsid w:val="6A2342EC"/>
    <w:multiLevelType w:val="hybridMultilevel"/>
    <w:lvl w:ilvl="0">
      <w:lvlJc w:val="left"/>
      <w:lvlText w:val="%1."/>
      <w:numFmt w:val="decimal"/>
      <w:start w:val="3"/>
    </w:lvl>
  </w:abstractNum>
  <w:abstractNum w:abstractNumId="37">
    <w:nsid w:val="2A487CB0"/>
    <w:multiLevelType w:val="hybridMultilevel"/>
    <w:lvl w:ilvl="0">
      <w:lvlJc w:val="left"/>
      <w:lvlText w:val="(%1)"/>
      <w:numFmt w:val="lowerRoman"/>
      <w:start w:val="2"/>
    </w:lvl>
  </w:abstractNum>
  <w:abstractNum w:abstractNumId="38">
    <w:nsid w:val="1D4ED43B"/>
    <w:multiLevelType w:val="hybridMultilevel"/>
    <w:lvl w:ilvl="0">
      <w:lvlJc w:val="left"/>
      <w:lvlText w:val="%1."/>
      <w:numFmt w:val="decimal"/>
      <w:start w:val="4"/>
    </w:lvl>
  </w:abstractNum>
  <w:abstractNum w:abstractNumId="39">
    <w:nsid w:val="725A06FB"/>
    <w:multiLevelType w:val="hybridMultilevel"/>
    <w:lvl w:ilvl="0">
      <w:lvlJc w:val="left"/>
      <w:lvlText w:val="%1."/>
      <w:numFmt w:val="decimal"/>
      <w:start w:val="6"/>
    </w:lvl>
    <w:lvl w:ilvl="1">
      <w:lvlJc w:val="left"/>
      <w:lvlText w:val="(%2)"/>
      <w:numFmt w:val="lowerLetter"/>
      <w:start w:val="1"/>
    </w:lvl>
  </w:abstractNum>
  <w:abstractNum w:abstractNumId="40">
    <w:nsid w:val="2CD89A32"/>
    <w:multiLevelType w:val="hybridMultilevel"/>
    <w:lvl w:ilvl="0">
      <w:lvlJc w:val="left"/>
      <w:lvlText w:val="%1."/>
      <w:numFmt w:val="decimal"/>
      <w:start w:val="7"/>
    </w:lvl>
    <w:lvl w:ilvl="1">
      <w:lvlJc w:val="left"/>
      <w:lvlText w:val="(%2)"/>
      <w:numFmt w:val="lowerLetter"/>
      <w:start w:val="1"/>
    </w:lvl>
  </w:abstractNum>
  <w:abstractNum w:abstractNumId="41">
    <w:nsid w:val="57E4CCAF"/>
    <w:multiLevelType w:val="hybridMultilevel"/>
    <w:lvl w:ilvl="0">
      <w:lvlJc w:val="left"/>
      <w:lvlText w:val="(%1)"/>
      <w:numFmt w:val="upperLetter"/>
      <w:start w:val="1"/>
    </w:lvl>
    <w:lvl w:ilvl="1">
      <w:lvlJc w:val="left"/>
      <w:lvlText w:val="(%2)"/>
      <w:numFmt w:val="lowerLetter"/>
      <w:start w:val="2"/>
    </w:lvl>
  </w:abstractNum>
  <w:abstractNum w:abstractNumId="42">
    <w:nsid w:val="7A6D8D3C"/>
    <w:multiLevelType w:val="hybridMultilevel"/>
    <w:lvl w:ilvl="0">
      <w:lvlJc w:val="left"/>
      <w:lvlText w:val="%1."/>
      <w:numFmt w:val="decimal"/>
      <w:start w:val="8"/>
    </w:lvl>
  </w:abstractNum>
  <w:abstractNum w:abstractNumId="43">
    <w:nsid w:val="4B588F54"/>
    <w:multiLevelType w:val="hybridMultilevel"/>
    <w:lvl w:ilvl="0">
      <w:lvlJc w:val="left"/>
      <w:lvlText w:val="(%1)"/>
      <w:numFmt w:val="lowerLetter"/>
      <w:start w:val="1"/>
    </w:lvl>
  </w:abstractNum>
  <w:abstractNum w:abstractNumId="44">
    <w:nsid w:val="542289EC"/>
    <w:multiLevelType w:val="hybridMultilevel"/>
    <w:lvl w:ilvl="0">
      <w:lvlJc w:val="left"/>
      <w:lvlText w:val="%1."/>
      <w:numFmt w:val="decimal"/>
      <w:start w:val="9"/>
    </w:lvl>
    <w:lvl w:ilvl="1">
      <w:lvlJc w:val="left"/>
      <w:lvlText w:val="(%2)"/>
      <w:numFmt w:val="lowerLetter"/>
      <w:start w:val="1"/>
    </w:lvl>
  </w:abstractNum>
  <w:abstractNum w:abstractNumId="45">
    <w:nsid w:val="6DE91B18"/>
    <w:multiLevelType w:val="hybridMultilevel"/>
    <w:lvl w:ilvl="0">
      <w:lvlJc w:val="left"/>
      <w:lvlText w:val="(%1)"/>
      <w:numFmt w:val="lowerLetter"/>
      <w:start w:val="2"/>
    </w:lvl>
  </w:abstractNum>
  <w:abstractNum w:abstractNumId="46">
    <w:nsid w:val="38437FDB"/>
    <w:multiLevelType w:val="hybridMultilevel"/>
    <w:lvl w:ilvl="0">
      <w:lvlJc w:val="left"/>
      <w:lvlText w:val="%1."/>
      <w:numFmt w:val="decimal"/>
      <w:start w:val="1"/>
    </w:lvl>
    <w:lvl w:ilvl="1">
      <w:lvlJc w:val="left"/>
      <w:lvlText w:val="(%2)"/>
      <w:numFmt w:val="lowerLetter"/>
      <w:start w:val="1"/>
    </w:lvl>
  </w:abstractNum>
  <w:abstractNum w:abstractNumId="47">
    <w:nsid w:val="7644A45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24" Type="http://schemas.openxmlformats.org/officeDocument/2006/relationships/image" Target="media/image208.png"/><Relationship Id="rId225" Type="http://schemas.openxmlformats.org/officeDocument/2006/relationships/image" Target="media/image209.png"/><Relationship Id="rId226" Type="http://schemas.openxmlformats.org/officeDocument/2006/relationships/image" Target="media/image210.png"/><Relationship Id="rId227" Type="http://schemas.openxmlformats.org/officeDocument/2006/relationships/image" Target="media/image211.jpeg"/><Relationship Id="rId228" Type="http://schemas.openxmlformats.org/officeDocument/2006/relationships/image" Target="media/image212.jpeg"/><Relationship Id="rId229" Type="http://schemas.openxmlformats.org/officeDocument/2006/relationships/image" Target="media/image213.jpeg"/><Relationship Id="rId230" Type="http://schemas.openxmlformats.org/officeDocument/2006/relationships/image" Target="media/image214.jpeg"/><Relationship Id="rId231" Type="http://schemas.openxmlformats.org/officeDocument/2006/relationships/image" Target="media/image215.jpeg"/><Relationship Id="rId232" Type="http://schemas.openxmlformats.org/officeDocument/2006/relationships/image" Target="media/image216.jpeg"/><Relationship Id="rId233" Type="http://schemas.openxmlformats.org/officeDocument/2006/relationships/image" Target="media/image217.png"/><Relationship Id="rId234" Type="http://schemas.openxmlformats.org/officeDocument/2006/relationships/image" Target="media/image218.jpeg"/><Relationship Id="rId235" Type="http://schemas.openxmlformats.org/officeDocument/2006/relationships/image" Target="media/image219.jpeg"/><Relationship Id="rId236" Type="http://schemas.openxmlformats.org/officeDocument/2006/relationships/image" Target="media/image220.jpeg"/><Relationship Id="rId237" Type="http://schemas.openxmlformats.org/officeDocument/2006/relationships/image" Target="media/image221.png"/><Relationship Id="rId238" Type="http://schemas.openxmlformats.org/officeDocument/2006/relationships/image" Target="media/image222.jpeg"/><Relationship Id="rId239" Type="http://schemas.openxmlformats.org/officeDocument/2006/relationships/image" Target="media/image223.jpeg"/><Relationship Id="rId240" Type="http://schemas.openxmlformats.org/officeDocument/2006/relationships/image" Target="media/image224.jpeg"/><Relationship Id="rId241" Type="http://schemas.openxmlformats.org/officeDocument/2006/relationships/image" Target="media/image225.jpeg"/><Relationship Id="rId242" Type="http://schemas.openxmlformats.org/officeDocument/2006/relationships/image" Target="media/image226.png"/><Relationship Id="rId243" Type="http://schemas.openxmlformats.org/officeDocument/2006/relationships/image" Target="media/image227.jpeg"/><Relationship Id="rId244" Type="http://schemas.openxmlformats.org/officeDocument/2006/relationships/image" Target="media/image228.jpeg"/><Relationship Id="rId245" Type="http://schemas.openxmlformats.org/officeDocument/2006/relationships/image" Target="media/image229.jpeg"/><Relationship Id="rId246" Type="http://schemas.openxmlformats.org/officeDocument/2006/relationships/image" Target="media/image230.jpeg"/><Relationship Id="rId247" Type="http://schemas.openxmlformats.org/officeDocument/2006/relationships/image" Target="media/image231.png"/><Relationship Id="rId248" Type="http://schemas.openxmlformats.org/officeDocument/2006/relationships/image" Target="media/image232.jpeg"/><Relationship Id="rId249" Type="http://schemas.openxmlformats.org/officeDocument/2006/relationships/image" Target="media/image233.png"/><Relationship Id="rId250" Type="http://schemas.openxmlformats.org/officeDocument/2006/relationships/image" Target="media/image234.png"/><Relationship Id="rId251" Type="http://schemas.openxmlformats.org/officeDocument/2006/relationships/image" Target="media/image235.jpeg"/><Relationship Id="rId252" Type="http://schemas.openxmlformats.org/officeDocument/2006/relationships/image" Target="media/image236.png"/><Relationship Id="rId253" Type="http://schemas.openxmlformats.org/officeDocument/2006/relationships/image" Target="media/image237.jpeg"/><Relationship Id="rId254" Type="http://schemas.openxmlformats.org/officeDocument/2006/relationships/image" Target="media/image238.jpeg"/><Relationship Id="rId255" Type="http://schemas.openxmlformats.org/officeDocument/2006/relationships/image" Target="media/image239.jpeg"/><Relationship Id="rId256" Type="http://schemas.openxmlformats.org/officeDocument/2006/relationships/image" Target="media/image240.jpeg"/><Relationship Id="rId257" Type="http://schemas.openxmlformats.org/officeDocument/2006/relationships/image" Target="media/image241.png"/><Relationship Id="rId258" Type="http://schemas.openxmlformats.org/officeDocument/2006/relationships/image" Target="media/image242.jpeg"/><Relationship Id="rId259" Type="http://schemas.openxmlformats.org/officeDocument/2006/relationships/image" Target="media/image243.jpeg"/><Relationship Id="rId260" Type="http://schemas.openxmlformats.org/officeDocument/2006/relationships/image" Target="media/image244.jpeg"/><Relationship Id="rId261" Type="http://schemas.openxmlformats.org/officeDocument/2006/relationships/image" Target="media/image245.png"/><Relationship Id="rId262" Type="http://schemas.openxmlformats.org/officeDocument/2006/relationships/image" Target="media/image246.png"/><Relationship Id="rId263" Type="http://schemas.openxmlformats.org/officeDocument/2006/relationships/image" Target="media/image247.png"/><Relationship Id="rId264" Type="http://schemas.openxmlformats.org/officeDocument/2006/relationships/image" Target="media/image248.png"/><Relationship Id="rId265" Type="http://schemas.openxmlformats.org/officeDocument/2006/relationships/image" Target="media/image249.png"/><Relationship Id="rId266" Type="http://schemas.openxmlformats.org/officeDocument/2006/relationships/image" Target="media/image250.png"/><Relationship Id="rId267" Type="http://schemas.openxmlformats.org/officeDocument/2006/relationships/image" Target="media/image251.png"/><Relationship Id="rId268" Type="http://schemas.openxmlformats.org/officeDocument/2006/relationships/image" Target="media/image252.png"/><Relationship Id="rId269" Type="http://schemas.openxmlformats.org/officeDocument/2006/relationships/image" Target="media/image253.png"/><Relationship Id="rId270" Type="http://schemas.openxmlformats.org/officeDocument/2006/relationships/image" Target="media/image254.png"/><Relationship Id="rId271" Type="http://schemas.openxmlformats.org/officeDocument/2006/relationships/image" Target="media/image255.png"/><Relationship Id="rId272" Type="http://schemas.openxmlformats.org/officeDocument/2006/relationships/image" Target="media/image256.png"/><Relationship Id="rId215" Type="http://schemas.openxmlformats.org/officeDocument/2006/relationships/hyperlink" Target="https://www.sec.gov/Archives/edgar/data/1622194/000119312515027683/d803720dex31.htm" TargetMode="External"/><Relationship Id="rId216" Type="http://schemas.openxmlformats.org/officeDocument/2006/relationships/hyperlink" Target="https://www.sec.gov/Archives/edgar/data/1622194/000095017025058978/dea-ex3_1.htm" TargetMode="External"/><Relationship Id="rId217" Type="http://schemas.openxmlformats.org/officeDocument/2006/relationships/hyperlink" Target="https://www.sec.gov/Archives/edgar/data/1622194/000095017025058978/dea-ex3_2.htm" TargetMode="External"/><Relationship Id="rId218" Type="http://schemas.openxmlformats.org/officeDocument/2006/relationships/hyperlink" Target="https://www.sec.gov/Archives/edgar/data/1622194/000095017025067183/dea-ex3_1.htm" TargetMode="External"/><Relationship Id="rId219" Type="http://schemas.openxmlformats.org/officeDocument/2006/relationships/hyperlink" Target="https://www.sec.gov/Archives/edgar/data/1622194/000119312515027683/d803720dex32.htm" TargetMode="External"/><Relationship Id="rId220" Type="http://schemas.openxmlformats.org/officeDocument/2006/relationships/hyperlink" Target="https://www.sec.gov/Archives/edgar/data/0001622194/000156459019004911/dea-ex31_6.htm" TargetMode="External"/><Relationship Id="rId221" Type="http://schemas.openxmlformats.org/officeDocument/2006/relationships/hyperlink" Target="https://www.sec.gov/Archives/edgar/data/1622194/000156459021029111/dea-ex31_15.htm" TargetMode="External"/><Relationship Id="rId222" Type="http://schemas.openxmlformats.org/officeDocument/2006/relationships/hyperlink" Target="https://www.sec.gov/Archives/edgar/data/1622194/000119312515027683/d803720dex41.htm" TargetMode="External"/><Relationship Id="rId223" Type="http://schemas.openxmlformats.org/officeDocument/2006/relationships/hyperlink" Target="https://www.sec.gov/Archives/edgar/data/1622194/000119312526177405/dea-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2026-04-27T16:13:44Z</dcterms:created>
  <dcterms:modified xsi:type="dcterms:W3CDTF">2026-04-27T16:13:44Z</dcterms:modified>
</cp:coreProperties>
</file>