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ea-20240228.htm"/>
      <w:bookmarkStart w:id="1" w:name="ksdea2024022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61" w:type="dxa"/>
        <w:jc w:val="left"/>
        <w:tblInd w:w="0" w:type="dxa"/>
        <w:tblLayout w:type="fixed"/>
        <w:tblCellMar>
          <w:top w:w="28" w:type="dxa"/>
          <w:left w:w="28" w:type="dxa"/>
          <w:bottom w:w="28" w:type="dxa"/>
          <w:right w:w="28" w:type="dxa"/>
        </w:tblCellMar>
      </w:tblPr>
      <w:tblGrid>
        <w:gridCol w:w="5461"/>
      </w:tblGrid>
      <w:tr>
        <w:trPr/>
        <w:tc>
          <w:tcPr>
            <w:tcW w:w="5461" w:type="dxa"/>
            <w:tcBorders/>
            <w:vAlign w:val="center"/>
          </w:tcPr>
          <w:p>
            <w:pPr>
              <w:pStyle w:val="TableContents"/>
              <w:bidi w:val="0"/>
              <w:spacing w:before="0" w:after="283"/>
              <w:jc w:val="left"/>
              <w:rPr>
                <w:sz w:val="4"/>
                <w:szCs w:val="4"/>
              </w:rPr>
            </w:pPr>
            <w:r>
              <w:rPr>
                <w:sz w:val="4"/>
                <w:szCs w:val="4"/>
              </w:rPr>
            </w:r>
          </w:p>
        </w:tc>
      </w:tr>
      <w:tr>
        <w:trPr/>
        <w:tc>
          <w:tcPr>
            <w:tcW w:w="5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Easterly Government Properties,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137" w:type="dxa"/>
        <w:jc w:val="left"/>
        <w:tblInd w:w="0" w:type="dxa"/>
        <w:tblLayout w:type="fixed"/>
        <w:tblCellMar>
          <w:top w:w="28" w:type="dxa"/>
          <w:left w:w="28" w:type="dxa"/>
          <w:bottom w:w="28" w:type="dxa"/>
          <w:right w:w="28" w:type="dxa"/>
        </w:tblCellMar>
      </w:tblPr>
      <w:tblGrid>
        <w:gridCol w:w="1044"/>
        <w:gridCol w:w="950"/>
        <w:gridCol w:w="961"/>
        <w:gridCol w:w="1846"/>
        <w:gridCol w:w="1336"/>
      </w:tblGrid>
      <w:tr>
        <w:trPr/>
        <w:tc>
          <w:tcPr>
            <w:tcW w:w="10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001-36834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47-2047728</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5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2001 K Street NW</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775 North</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Washington, District of Columbia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20006</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(202)</w:t>
            </w:r>
            <w:r>
              <w:rPr>
                <w:rFonts w:ascii="Times New Roman" w:hAnsi="Times New Roman"/>
                <w:color w:val="000000"/>
                <w:sz w:val="20"/>
              </w:rPr>
              <w:t xml:space="preserve"> </w:t>
            </w:r>
            <w:r>
              <w:rPr>
                <w:rFonts w:ascii="Times New Roman" w:hAnsi="Times New Roman"/>
                <w:b/>
                <w:color w:val="000000"/>
                <w:sz w:val="20"/>
              </w:rPr>
              <w:t>595-9500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4, 2026, Easterly Government Properties, Inc. (the “Company”) filed with the Securities and Exchange Commission (the “SEC”) a prospectus supplement to the shelf registration statement on Form S-3 (File No. 333-277434) relating to the Company’s existing “at the market” equity offering program (the “2021 ATM Program”), pursuant to which the Company may offer and sell shares of its common stock, par value $0.01 per share (“Common Stock”) having an aggregate offering price of up to $300,000,000 from time to time (the “ATM Prospectus Supplement”). The ATM Prospectus Supplement supersedes the prospectus supplement dated February 28, 2024 relating to the 2021 ATM Program and, among other things, permits the Company to enter into contingent forward transactions as described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Shares of Common Stock having an aggregate offering price of $85,017,692 have been offered and sold under the 2021 ATM Program as of the date of the ATM Prospectus Supplement. Accordingly, shares of Common Stock having an aggregate offering price of up to $214,982,308 remain available for offer and sale under the 2021 ATM Program and the ATM Prospectus Supplement.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filing of the ATM Prospectus Supplement, the Company is filing an opinion of its counsel, Goodwin Procter LLP, as Exhibit 5.1 to this Current Report on Form 8-K.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2021 ATM Program, the Company entered into separate amended and restated equity distribution agreements, dated August 4, 2026 (each, an “equity distribution agreement” and, collectively, the “equity distribution agreements”), for a continuous offering program with each of Citigroup Global Markets Inc., BMO Capital Markets Corp., BTIG, LLC, Compass Point Research and Trading, LLC, Jefferies LLC, Raymond James &amp; Associates, Inc., RBC Capital Markets, LLC, Truist Securities, Inc. and Wells Fargo Securities, LLC (and certain of their respective affiliates). The Company refers to these entities, when acting in their capacity as sales agents for the Company or as principals, individually, as a “Sales Agent” and, collectively, as the “Sales Agents,” and the Company refers to these entities (or their affiliate or agent or, in the case of BTIG, LLC, Nomura Securities International, Inc. (acting through BTIG, LLC as agent)) when acting in their capacity as agents for the Forward Purchasers (as defined below), individually, as a “Forward Seller” and, collectively, as the “Forward Sellers.” Sales of shares of Common Stock under the equity distribution agreements, if any, may be made in negotiated transactions, which may include block trades, or transactions that are deemed to be “at the market” offerings as defined in Rule 415 under the Securities Act of 1933, as amended, including sales made directly on the New York Stock Exchange or sales made to or through a market maker other than on an exchange.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equity distribution agreements contemplate that, in addition to the issuance and sale of shares of Common Stock by the Company through or to the Sales Agents, acting as its sales agents or as principals, as applicable, the Company may also enter into one or more forward transactions (each, a “forward sale transaction” and, collectively, the “forward sale transactions”) under separate master forward confirmations (collectively, the “master forward confirmations”) and related supplemental confirmations, with each of Citibank, N.A., Bank of Montreal, Jefferies LLC, Nomura Global Financial Products, Inc., Raymond James &amp; Associates, Inc., Royal Bank of Canada, Truist Bank and Wells Fargo Bank, National Association. The Company refers to these financial institutions, when acting in their capacity as purchasers under any forward sale transactions, individually, as a “Forward Purchaser” and, collectively, as the “Forward Purchasers.”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forward sale transaction may take the form of a contingent forward transaction or a non-contingent forward transaction. In the case of a forward sale transaction that the Company refers to as a “contingent forward transaction,” which the Company may enter into with Jefferies LLC, Citibank, N.A., Royal Bank of Canada, Truist Bank, and Wells Fargo Bank, National Association, each as Forward Purchaser (when acting in such capacity, individually, a “Contingent Forward Purchaser” and, collectively, the “Contingent Forward Purchasers”), the Company’s obligation to sell, and the applicable Contingent Forward Purchaser’s obligation to purchase, the shares of Common Stock underlying such forward sale transaction at the applicable forward sale price will be contingent on such Contingent Forward Purchaser’s exercise (or deemed exercise) of such contingency, which may occur in whole or in part from time to time prior to specified contingency expiration dates. In consideration of such contingency, the Company may receive a contingency premium from the applicable Contingent Forward Purchaser upon entry into such contingent forward transaction, which the Company will be entitled to retain regardless of whether such contingency is exercised.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extent such contingency is exercised with respect to a portion of a contingent forward transaction, that portion is referred to as the “contingency exercised portion” of such contingent forward transaction, and the Company refers to the remaining portion, to the extent such contingency has not yet been exercised but remains exercisable, as the “contingent portion.” The Company expects that the initial forward price of any contingent forward transaction will be above, but not substantially above, the volume-weighted average sale price per share at which the applicable Forward Seller establishes its hedge position in respect of such contingent forward transaction (the “contingent forward initial hedge position”). In addition, the Company expects that on the same days when the relevant Contingent Forward Purchaser is selling shares of Common Stock underlying such contingent forward transaction through the applicable Forward Seller, such Contingent Forward Purchaser will contemporaneously purchase a substantial portion of such number of shares in the open market for its own account to offset such number of shares sold into the market, as such Contingent Forward Purchaser expects its contingent forward initial hedge position to be less than the maximum number of shares of Common Stock underlying such contingent forward transaction.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In the case of a forward sale transaction that the Company refers to as a “non-contingent forward transaction,” which the Company may enter into with any of the Forward Purchasers, the Company’s obligation to sell, and the applicable Forward Purchaser’s obligation to purchase, the shares of Common Stock underlying such forward sale transaction at the applicable forward sale price will not be subject to the contingency described above. If the Company enters into a non-contingent forward transaction with any Forward Purchaser, it expects that such Forward Purchaser or one of its affiliates will attempt to borrow from third parties and sell, through its related Forward Seller, the number of shares of Common Stock underlying such non-contingent forward transaction in order to hedge such Forward Purchaser’s exposure under such non-contingent forward transaction.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Sales Agent will receive from the Company a commission that will not exceed, but may be lower than, 2.0% of the gross sales price of all shares sold through it as Sales Agent under the applicable equity distribution agreement. In connection with any forward sale transaction, the Company will pay the applicable Forward Seller a commission, in the form of a reduced initial forward price under the related forward sale transaction, at a mutually agreed rate not exceeding 2.0% of the applicable initial forward price for shares underlying a contingent forward transaction or 2.0% of the volume-weighted average of the sales prices per share of the borrowed shares of Common Stock sold through such Forward Seller during the applicable forward hedge selling period in connection with a non-contingent forward transaction, as applicable (in each case, subject to certain adjustments).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will not initially receive any proceeds from any sale of shares of Common Stock borrowed by a Forward Purchaser (or affiliate or agent thereof) and sold through a Forward Seller, but it may receive contingency premiums from the applicable Contingent Forward Purchasers upon entry into contingent forward transactions.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description of the equity distribution agreements and the master forward confirmations and related supplemental confirmations does not purport to be complete and is qualified in its entirety by reference to the forms of such agreements included as exhibits to this Current Report on Form 8-K and incorporated by reference herein.</w:t>
      </w:r>
    </w:p>
    <w:p>
      <w:pPr>
        <w:pStyle w:val="TextBody"/>
        <w:bidi w:val="0"/>
        <w:jc w:val="left"/>
        <w:rPr/>
      </w:pPr>
      <w:r>
        <w:rPr/>
        <w:t> </w:t>
      </w:r>
    </w:p>
    <w:p>
      <w:pPr>
        <w:pStyle w:val="TextBody"/>
        <w:bidi w:val="0"/>
        <w:jc w:val="both"/>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1331"/>
        <w:gridCol w:w="8874"/>
      </w:tblGrid>
      <w:tr>
        <w:trPr/>
        <w:tc>
          <w:tcPr>
            <w:tcW w:w="1331" w:type="dxa"/>
            <w:tcBorders/>
            <w:vAlign w:val="center"/>
          </w:tcPr>
          <w:p>
            <w:pPr>
              <w:pStyle w:val="TableContents"/>
              <w:bidi w:val="0"/>
              <w:spacing w:before="0" w:after="283"/>
              <w:jc w:val="left"/>
              <w:rPr>
                <w:sz w:val="4"/>
                <w:szCs w:val="4"/>
              </w:rPr>
            </w:pPr>
            <w:r>
              <w:rPr>
                <w:sz w:val="4"/>
                <w:szCs w:val="4"/>
              </w:rPr>
            </w:r>
          </w:p>
        </w:tc>
        <w:tc>
          <w:tcPr>
            <w:tcW w:w="8874" w:type="dxa"/>
            <w:tcBorders/>
            <w:vAlign w:val="center"/>
          </w:tcPr>
          <w:p>
            <w:pPr>
              <w:pStyle w:val="TableContents"/>
              <w:bidi w:val="0"/>
              <w:spacing w:before="0" w:after="283"/>
              <w:jc w:val="left"/>
              <w:rPr>
                <w:sz w:val="4"/>
                <w:szCs w:val="4"/>
              </w:rPr>
            </w:pPr>
            <w:r>
              <w:rPr>
                <w:sz w:val="4"/>
                <w:szCs w:val="4"/>
              </w:rPr>
            </w:r>
          </w:p>
        </w:tc>
      </w:tr>
      <w:tr>
        <w:trPr/>
        <w:tc>
          <w:tcPr>
            <w:tcW w:w="133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Number</w:t>
            </w:r>
          </w:p>
        </w:tc>
        <w:tc>
          <w:tcPr>
            <w:tcW w:w="8874"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8874" w:type="dxa"/>
            <w:tcBorders/>
            <w:tcMar>
              <w:top w:w="0" w:type="dxa"/>
              <w:left w:w="0" w:type="dxa"/>
              <w:bottom w:w="0" w:type="dxa"/>
              <w:right w:w="0" w:type="dxa"/>
            </w:tcMar>
            <w:vAlign w:val="center"/>
          </w:tcPr>
          <w:p>
            <w:pPr>
              <w:pStyle w:val="TableContents"/>
              <w:bidi w:val="0"/>
              <w:spacing w:before="0" w:after="283"/>
              <w:jc w:val="left"/>
              <w:rPr/>
            </w:pPr>
            <w:hyperlink w:anchor="dea-ex1_1.htm">
              <w:r>
                <w:rPr>
                  <w:rStyle w:val="InternetLink"/>
                  <w:rFonts w:ascii="Times New Roman" w:hAnsi="Times New Roman"/>
                  <w:color w:val="0000FF"/>
                  <w:sz w:val="20"/>
                  <w:u w:val="single"/>
                </w:rPr>
                <w:t>Form of Amended and Restated Equity Distribution Agreement</w:t>
              </w:r>
            </w:hyperlink>
            <w:r>
              <w:rPr>
                <w:rFonts w:ascii="Times New Roman" w:hAnsi="Times New Roman"/>
                <w:color w:val="000000"/>
                <w:sz w:val="20"/>
              </w:rPr>
              <w:t xml:space="preserve"> </w:t>
            </w:r>
          </w:p>
        </w:tc>
      </w:tr>
      <w:tr>
        <w:trPr/>
        <w:tc>
          <w:tcPr>
            <w:tcW w:w="1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w:t>
            </w:r>
          </w:p>
        </w:tc>
        <w:tc>
          <w:tcPr>
            <w:tcW w:w="8874" w:type="dxa"/>
            <w:tcBorders/>
            <w:tcMar>
              <w:top w:w="0" w:type="dxa"/>
              <w:left w:w="0" w:type="dxa"/>
              <w:bottom w:w="0" w:type="dxa"/>
              <w:right w:w="0" w:type="dxa"/>
            </w:tcMar>
            <w:vAlign w:val="center"/>
          </w:tcPr>
          <w:p>
            <w:pPr>
              <w:pStyle w:val="TableContents"/>
              <w:bidi w:val="0"/>
              <w:spacing w:before="0" w:after="283"/>
              <w:jc w:val="left"/>
              <w:rPr/>
            </w:pPr>
            <w:hyperlink w:anchor="dea-ex1_2.htm">
              <w:r>
                <w:rPr>
                  <w:rStyle w:val="InternetLink"/>
                  <w:rFonts w:ascii="Times New Roman" w:hAnsi="Times New Roman"/>
                  <w:color w:val="0000FF"/>
                  <w:sz w:val="20"/>
                  <w:u w:val="single"/>
                </w:rPr>
                <w:t>Form of Master Confirmation for Non-Contingent Forward Transactions</w:t>
              </w:r>
            </w:hyperlink>
          </w:p>
        </w:tc>
      </w:tr>
      <w:tr>
        <w:trPr/>
        <w:tc>
          <w:tcPr>
            <w:tcW w:w="1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w:t>
            </w:r>
          </w:p>
        </w:tc>
        <w:tc>
          <w:tcPr>
            <w:tcW w:w="8874" w:type="dxa"/>
            <w:tcBorders/>
            <w:tcMar>
              <w:top w:w="0" w:type="dxa"/>
              <w:left w:w="0" w:type="dxa"/>
              <w:bottom w:w="0" w:type="dxa"/>
              <w:right w:w="0" w:type="dxa"/>
            </w:tcMar>
            <w:vAlign w:val="center"/>
          </w:tcPr>
          <w:p>
            <w:pPr>
              <w:pStyle w:val="TableContents"/>
              <w:bidi w:val="0"/>
              <w:spacing w:before="0" w:after="283"/>
              <w:jc w:val="left"/>
              <w:rPr/>
            </w:pPr>
            <w:hyperlink w:anchor="dea-ex1_3.htm">
              <w:r>
                <w:rPr>
                  <w:rStyle w:val="InternetLink"/>
                  <w:rFonts w:ascii="Times New Roman" w:hAnsi="Times New Roman"/>
                  <w:color w:val="0000FF"/>
                  <w:sz w:val="20"/>
                  <w:u w:val="single"/>
                </w:rPr>
                <w:t>Form of Master Confirmation for Contingent Forward Transactions</w:t>
              </w:r>
            </w:hyperlink>
          </w:p>
        </w:tc>
      </w:tr>
      <w:tr>
        <w:trPr/>
        <w:tc>
          <w:tcPr>
            <w:tcW w:w="1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8874" w:type="dxa"/>
            <w:tcBorders/>
            <w:tcMar>
              <w:top w:w="0" w:type="dxa"/>
              <w:left w:w="0" w:type="dxa"/>
              <w:bottom w:w="0" w:type="dxa"/>
              <w:right w:w="0" w:type="dxa"/>
            </w:tcMar>
            <w:vAlign w:val="center"/>
          </w:tcPr>
          <w:p>
            <w:pPr>
              <w:pStyle w:val="TableContents"/>
              <w:bidi w:val="0"/>
              <w:spacing w:before="0" w:after="283"/>
              <w:jc w:val="left"/>
              <w:rPr/>
            </w:pPr>
            <w:hyperlink w:anchor="dea-ex5_1.htm">
              <w:r>
                <w:rPr>
                  <w:rStyle w:val="InternetLink"/>
                  <w:rFonts w:ascii="Times New Roman" w:hAnsi="Times New Roman"/>
                  <w:color w:val="0000FF"/>
                  <w:sz w:val="20"/>
                  <w:u w:val="single"/>
                </w:rPr>
                <w:t>Opinion of Goodwin Procter LLP</w:t>
              </w:r>
            </w:hyperlink>
          </w:p>
        </w:tc>
      </w:tr>
      <w:tr>
        <w:trPr/>
        <w:tc>
          <w:tcPr>
            <w:tcW w:w="1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8874"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Consent of Goodwin Procter LLP (contained in its opinion filed as Exhibit </w:t>
            </w:r>
            <w:hyperlink w:anchor="dea-ex5_1.htm">
              <w:r>
                <w:rPr>
                  <w:rStyle w:val="InternetLink"/>
                  <w:rFonts w:ascii="Times New Roman" w:hAnsi="Times New Roman"/>
                  <w:color w:val="0000FF"/>
                  <w:sz w:val="20"/>
                  <w:u w:val="single"/>
                </w:rPr>
                <w:t>5.1</w:t>
              </w:r>
            </w:hyperlink>
            <w:r>
              <w:rPr>
                <w:rFonts w:ascii="Times New Roman" w:hAnsi="Times New Roman"/>
                <w:color w:val="000000"/>
                <w:sz w:val="20"/>
              </w:rPr>
              <w:t> hereto and incorporated herein by reference)</w:t>
            </w:r>
          </w:p>
        </w:tc>
      </w:tr>
      <w:tr>
        <w:trPr/>
        <w:tc>
          <w:tcPr>
            <w:tcW w:w="1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8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129" w:type="dxa"/>
        <w:jc w:val="left"/>
        <w:tblInd w:w="0" w:type="dxa"/>
        <w:tblLayout w:type="fixed"/>
        <w:tblCellMar>
          <w:top w:w="28" w:type="dxa"/>
          <w:left w:w="28" w:type="dxa"/>
          <w:bottom w:w="28" w:type="dxa"/>
          <w:right w:w="28" w:type="dxa"/>
        </w:tblCellMar>
      </w:tblPr>
      <w:tblGrid>
        <w:gridCol w:w="556"/>
        <w:gridCol w:w="1351"/>
        <w:gridCol w:w="451"/>
        <w:gridCol w:w="477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EASTERLY GOVERNMENT PROPERTIES,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7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Franklin V. Logan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Franklin V. Logan</w:t>
              <w:br/>
              <w:t>Executive Vice President, General Counsel and Secretary</w:t>
              <w:b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dea-ex1_1.htm"/>
      <w:bookmarkStart w:id="3" w:name="ksdeaex1_1"/>
      <w:bookmarkEnd w:id="2"/>
      <w:bookmarkEnd w:id="3"/>
      <w:r>
        <w:rPr>
          <w:rFonts w:ascii="Times New Roman" w:hAnsi="Times New Roman"/>
          <w:b/>
          <w:color w:val="000000"/>
          <w:sz w:val="24"/>
        </w:rPr>
        <w:t>Exhibit 1.1</w:t>
      </w:r>
      <w:r>
        <w:br w:type="page"/>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Easterly Government Properties, Inc.</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 xml:space="preserve">$300,000,000 </w:t>
        <w:br/>
        <w:t>Shares of Common Stock</w:t>
        <w:br/>
        <w:t>($0.01 par value)</w:t>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 Equity Distribution Agreement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August 4, 2026</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w:t>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[ADDRESS]</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 Agent [and Forward Seller]</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AFFILIATE]</w:t>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[ADDRESS]</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 Forward Purchaser]</w:t>
            </w:r>
          </w:p>
        </w:tc>
      </w:tr>
    </w:tbl>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sz w:val="20"/>
        </w:rPr>
      </w:pPr>
      <w:r>
        <w:rPr>
          <w:rFonts w:ascii="Times New Roman" w:hAnsi="Times New Roman"/>
          <w:color w:val="000000"/>
          <w:sz w:val="24"/>
        </w:rPr>
        <w:t>Each of Easterly Government Properties, Inc., a corporation organized under the laws of Maryland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Easterly Government Properties LP, a Delaware limited partnership (the “</w:t>
      </w:r>
      <w:r>
        <w:rPr>
          <w:rFonts w:ascii="Times New Roman" w:hAnsi="Times New Roman"/>
          <w:color w:val="000000"/>
          <w:sz w:val="24"/>
          <w:u w:val="single"/>
        </w:rPr>
        <w:t>Operating Partnership</w:t>
      </w:r>
      <w:r>
        <w:rPr>
          <w:rFonts w:ascii="Times New Roman" w:hAnsi="Times New Roman"/>
          <w:color w:val="000000"/>
          <w:sz w:val="20"/>
        </w:rPr>
        <w:t>”</w:t>
      </w:r>
      <w:r>
        <w:rPr>
          <w:rFonts w:ascii="Times New Roman" w:hAnsi="Times New Roman"/>
          <w:color w:val="000000"/>
          <w:sz w:val="24"/>
        </w:rPr>
        <w:t>), confirms its agreement with [[●] (in its capacity as purchaser under any Non-Contingent Forward (as defined below), the “</w:t>
      </w:r>
      <w:r>
        <w:rPr>
          <w:rFonts w:ascii="Times New Roman" w:hAnsi="Times New Roman"/>
          <w:color w:val="000000"/>
          <w:sz w:val="24"/>
          <w:u w:val="single"/>
        </w:rPr>
        <w:t>Non-Contingent Forward Purchaser</w:t>
      </w:r>
      <w:r>
        <w:rPr>
          <w:rFonts w:ascii="Times New Roman" w:hAnsi="Times New Roman"/>
          <w:color w:val="000000"/>
          <w:sz w:val="24"/>
        </w:rPr>
        <w:t>,” if applicable, in its capacity as purchaser under any Contingent Forward (as defined below), the “</w:t>
      </w:r>
      <w:r>
        <w:rPr>
          <w:rFonts w:ascii="Times New Roman" w:hAnsi="Times New Roman"/>
          <w:color w:val="000000"/>
          <w:sz w:val="24"/>
          <w:u w:val="single"/>
        </w:rPr>
        <w:t>Contingent Forward Purchaser</w:t>
      </w:r>
      <w:r>
        <w:rPr>
          <w:rFonts w:ascii="Times New Roman" w:hAnsi="Times New Roman"/>
          <w:color w:val="000000"/>
          <w:sz w:val="24"/>
        </w:rPr>
        <w:t>,” and, as applicable, in its capacity as either a Non-Contingent Forward Purchaser or Contingent Forward Purchaser, the “</w:t>
      </w:r>
      <w:r>
        <w:rPr>
          <w:rFonts w:ascii="Times New Roman" w:hAnsi="Times New Roman"/>
          <w:color w:val="000000"/>
          <w:sz w:val="24"/>
          <w:u w:val="single"/>
        </w:rPr>
        <w:t>Forward Purchaser</w:t>
      </w:r>
      <w:r>
        <w:rPr>
          <w:rFonts w:ascii="Times New Roman" w:hAnsi="Times New Roman"/>
          <w:color w:val="000000"/>
          <w:sz w:val="20"/>
        </w:rPr>
        <w:t>”</w:t>
      </w:r>
      <w:r>
        <w:rPr>
          <w:rFonts w:ascii="Times New Roman" w:hAnsi="Times New Roman"/>
          <w:color w:val="000000"/>
          <w:sz w:val="24"/>
        </w:rPr>
        <w:t>) and] [●] (in its capacity as agent for the Company and/or principal in connection with the offering and sale of any Issuance Shares (as defined below) hereunder, the “</w:t>
      </w:r>
      <w:r>
        <w:rPr>
          <w:rFonts w:ascii="Times New Roman" w:hAnsi="Times New Roman"/>
          <w:color w:val="000000"/>
          <w:sz w:val="24"/>
          <w:u w:val="single"/>
        </w:rPr>
        <w:t>Agent</w:t>
      </w:r>
      <w:r>
        <w:rPr>
          <w:rFonts w:ascii="Times New Roman" w:hAnsi="Times New Roman"/>
          <w:color w:val="000000"/>
          <w:sz w:val="20"/>
        </w:rPr>
        <w:t xml:space="preserve">” </w:t>
      </w:r>
      <w:r>
        <w:rPr>
          <w:rFonts w:ascii="Times New Roman" w:hAnsi="Times New Roman"/>
          <w:color w:val="000000"/>
          <w:sz w:val="24"/>
        </w:rPr>
        <w:t>[and, in its capacity as agent for the Forward Purchaser in connection with the offering and sale of any Forward Hedge Shares (as defined below) hereunder, the “</w:t>
      </w:r>
      <w:r>
        <w:rPr>
          <w:rFonts w:ascii="Times New Roman" w:hAnsi="Times New Roman"/>
          <w:color w:val="000000"/>
          <w:sz w:val="24"/>
          <w:u w:val="single"/>
        </w:rPr>
        <w:t>Forward Seller</w:t>
      </w:r>
      <w:r>
        <w:rPr>
          <w:rFonts w:ascii="Times New Roman" w:hAnsi="Times New Roman"/>
          <w:color w:val="000000"/>
          <w:sz w:val="20"/>
        </w:rPr>
        <w:t>”</w:t>
      </w:r>
      <w:r>
        <w:rPr>
          <w:rFonts w:ascii="Times New Roman" w:hAnsi="Times New Roman"/>
          <w:color w:val="000000"/>
          <w:sz w:val="24"/>
        </w:rPr>
        <w:t>]), as stated in this amended and restated equity distribution agreement (as the same may be further amended or supplemented from time to time,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as follows:</w:t>
      </w:r>
    </w:p>
    <w:p>
      <w:pPr>
        <w:pStyle w:val="TextBody"/>
        <w:bidi w:val="0"/>
        <w:spacing w:before="0" w:after="240"/>
        <w:jc w:val="both"/>
        <w:rPr>
          <w:rFonts w:ascii="Times New Roman" w:hAnsi="Times New Roman"/>
          <w:sz w:val="20"/>
        </w:rPr>
      </w:pPr>
      <w:r>
        <w:rPr>
          <w:rFonts w:ascii="Times New Roman" w:hAnsi="Times New Roman"/>
          <w:color w:val="000000"/>
          <w:sz w:val="24"/>
        </w:rPr>
        <w:t>It is understood and agreed by the parties hereto that if Shares (as defined below) are offered or sold through the Agent acting as Forward Seller, then the Agent, as Forward Seller, shall be acting solely as sales agent for the Forward Purchaser with respect to the offering and sale of such Shares. Notwithstanding any other provision of this Agreement, (i) if a Forward Seller and Forward Purchaser have not been identified in the introductory paragraph of this Agreement and have not executed this Agreement, the Company agrees that all provisions of this Agreement related to the Forward Seller, the Forward Purchaser and Forwards are not applicable hereunder and no sales of Forward Hedge Shares shall take place pursuant to this Agreement, and (ii) if a Contingent Forward Purchaser has not been identified in the introductory paragraph of this</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and has not executed this Agreement, all provisions of this Agreement relating to Contingent Forwards and the Contingent Forward Purchaser shall be inapplicable.</w:t>
      </w:r>
    </w:p>
    <w:p>
      <w:pPr>
        <w:pStyle w:val="TextBody"/>
        <w:bidi w:val="0"/>
        <w:spacing w:before="0" w:after="240"/>
        <w:jc w:val="both"/>
        <w:rPr>
          <w:rFonts w:ascii="Times New Roman" w:hAnsi="Times New Roman"/>
          <w:sz w:val="20"/>
        </w:rPr>
      </w:pPr>
      <w:r>
        <w:rPr>
          <w:rFonts w:ascii="Times New Roman" w:hAnsi="Times New Roman"/>
          <w:color w:val="000000"/>
          <w:sz w:val="24"/>
        </w:rPr>
        <w:t>The Company and the Operating Partnership originally entered into separate equity distribution agreements with each of Citigroup Global Markets Inc., BMO Capital Markets Corp., BTIG, LLC, Compass Point Research and Trading, LLC, Jefferies LLC, Raymond James &amp; Associates, Inc., RBC Capital Markets, LLC, Truist Securities, Inc. and Wells Fargo Securities, LLC (and, as applicable, their respective affiliates or agents), each dated as of June 22, 2021, August 9, 2023 or August 1, 2024, with each bank separately (each, an “</w:t>
      </w:r>
      <w:r>
        <w:rPr>
          <w:rFonts w:ascii="Times New Roman" w:hAnsi="Times New Roman"/>
          <w:color w:val="000000"/>
          <w:sz w:val="24"/>
          <w:u w:val="single"/>
        </w:rPr>
        <w:t>Original Distribution Agreement</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color w:val="000000"/>
          <w:sz w:val="24"/>
          <w:u w:val="single"/>
        </w:rPr>
        <w:t>Original Distribution Agreements</w:t>
      </w:r>
      <w:r>
        <w:rPr>
          <w:rFonts w:ascii="Times New Roman" w:hAnsi="Times New Roman"/>
          <w:color w:val="000000"/>
          <w:sz w:val="20"/>
        </w:rPr>
        <w:t>”</w:t>
      </w:r>
      <w:r>
        <w:rPr>
          <w:rFonts w:ascii="Times New Roman" w:hAnsi="Times New Roman"/>
          <w:color w:val="000000"/>
          <w:sz w:val="24"/>
        </w:rPr>
        <w:t>). This Agreement amends and restates in its entirety the Original Distribution Agreement entered into by the Company, the Operating Partnership and the Agent [and Forward Seller] [and Forward Purchaser] party hereto. Concurrently with this Agreement, the Company and the Operating Partnership are entering into separate amended and restated equity distribution agreements (each, a “</w:t>
      </w:r>
      <w:r>
        <w:rPr>
          <w:rFonts w:ascii="Times New Roman" w:hAnsi="Times New Roman"/>
          <w:color w:val="000000"/>
          <w:sz w:val="24"/>
          <w:u w:val="single"/>
        </w:rPr>
        <w:t>Separate Distribution Agreement</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color w:val="000000"/>
          <w:sz w:val="24"/>
          <w:u w:val="single"/>
        </w:rPr>
        <w:t>Separate Distribution Agreements</w:t>
      </w:r>
      <w:r>
        <w:rPr>
          <w:rFonts w:ascii="Times New Roman" w:hAnsi="Times New Roman"/>
          <w:color w:val="000000"/>
          <w:sz w:val="20"/>
        </w:rPr>
        <w:t>”</w:t>
      </w:r>
      <w:r>
        <w:rPr>
          <w:rFonts w:ascii="Times New Roman" w:hAnsi="Times New Roman"/>
          <w:color w:val="000000"/>
          <w:sz w:val="24"/>
        </w:rPr>
        <w:t>) with each of [Citigroup Global Markets Inc.], [BMO Capital Markets Corp.], [BTIG, LLC], [Compass Point Research and Trading, LLC], [Jefferies LLC], [Raymond James &amp; Associates, Inc.], [RBC Capital Markets, LLC], [Truist Securities, Inc.] and [Wells Fargo Securities, LLC] (and, as applicable, their respective affiliates or agents) (each in its capacity as agent and/or principal, forward seller and/or forward purchaser thereunder, an “</w:t>
      </w:r>
      <w:r>
        <w:rPr>
          <w:rFonts w:ascii="Times New Roman" w:hAnsi="Times New Roman"/>
          <w:color w:val="000000"/>
          <w:sz w:val="24"/>
          <w:u w:val="single"/>
        </w:rPr>
        <w:t>Alternative Sales Agent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for the issuance (in the case of the Issuance Shares) or borrowing (in the case of Forward Hedge Shares) and sale from time to time through the applicable Alternative Sales Agent of Shares on the terms set forth in the applicable Separate Distribution Agreement. The Company and the Operating Partnership may also in the future enter into one or more additional equity distribution agreements for the issuance (in the case of the Issuance Shares) or borrowing (in the case of Forward Hedge Shares) and sale from time to time of the Shares, each of which will be deemed to be a Separate Distribution Agreement upon execution thereof. The aggregate gross sales price of the Shares that may be sold pursuant to this Agreement and the Separate Distribution Agreements (collectively, the “</w:t>
      </w:r>
      <w:r>
        <w:rPr>
          <w:rFonts w:ascii="Times New Roman" w:hAnsi="Times New Roman"/>
          <w:color w:val="000000"/>
          <w:sz w:val="24"/>
          <w:u w:val="single"/>
        </w:rPr>
        <w:t>Distribution Agreements</w:t>
      </w:r>
      <w:r>
        <w:rPr>
          <w:rFonts w:ascii="Times New Roman" w:hAnsi="Times New Roman"/>
          <w:color w:val="000000"/>
          <w:sz w:val="20"/>
        </w:rPr>
        <w:t>”</w:t>
      </w:r>
      <w:r>
        <w:rPr>
          <w:rFonts w:ascii="Times New Roman" w:hAnsi="Times New Roman"/>
          <w:color w:val="000000"/>
          <w:sz w:val="24"/>
        </w:rPr>
        <w:t>) shall not exceed the Maximum Program Amount.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1.</w:t>
      </w:r>
    </w:p>
    <w:p>
      <w:pPr>
        <w:pStyle w:val="TextBody"/>
        <w:bidi w:val="0"/>
        <w:spacing w:before="0" w:after="240"/>
        <w:jc w:val="both"/>
        <w:rPr/>
      </w:pPr>
      <w:r>
        <w:rPr>
          <w:rFonts w:ascii="Times New Roman" w:hAnsi="Times New Roman"/>
          <w:color w:val="000000"/>
          <w:sz w:val="24"/>
          <w:u w:val="single"/>
        </w:rPr>
        <w:t>Description of Shares</w:t>
      </w:r>
      <w:r>
        <w:rPr>
          <w:rFonts w:ascii="Times New Roman" w:hAnsi="Times New Roman"/>
          <w:color w:val="000000"/>
          <w:sz w:val="24"/>
        </w:rPr>
        <w:t>. The Company proposes to issue and sell, in the manner contemplated by this Agreement, shares of the Company’s common stock, par value $0.01 per share (“</w:t>
      </w:r>
      <w:r>
        <w:rPr>
          <w:rFonts w:ascii="Times New Roman" w:hAnsi="Times New Roman"/>
          <w:color w:val="000000"/>
          <w:sz w:val="24"/>
          <w:u w:val="single"/>
        </w:rPr>
        <w:t>Common Stock</w:t>
      </w:r>
      <w:r>
        <w:rPr>
          <w:color w:val="000000"/>
        </w:rPr>
        <w:t>”</w:t>
      </w:r>
      <w:r>
        <w:rPr>
          <w:rFonts w:ascii="Times New Roman" w:hAnsi="Times New Roman"/>
          <w:color w:val="000000"/>
          <w:sz w:val="24"/>
        </w:rPr>
        <w:t>), having an aggregate gross sales price of up to $300,000,000 (the “</w:t>
      </w:r>
      <w:r>
        <w:rPr>
          <w:rFonts w:ascii="Times New Roman" w:hAnsi="Times New Roman"/>
          <w:color w:val="000000"/>
          <w:sz w:val="24"/>
          <w:u w:val="single"/>
        </w:rPr>
        <w:t>Shares</w:t>
      </w:r>
      <w:r>
        <w:rPr>
          <w:color w:val="000000"/>
        </w:rPr>
        <w:t>”</w:t>
      </w:r>
      <w:r>
        <w:rPr>
          <w:rFonts w:ascii="Times New Roman" w:hAnsi="Times New Roman"/>
          <w:color w:val="000000"/>
          <w:sz w:val="24"/>
        </w:rPr>
        <w:t>) (including shares sold pursuant to any Separate Distribution Agreements), from time to time during the term of this Agreement and on the terms set forth in Section 3 of this Agreement. The Agent has been appointed by the Company as its agent to sell the Issuance Shares and agrees to use commercially reasonable efforts consistent with its normal trading and sales practices to sell the Issuance Shares offered by the Company pursuant to any Placement Notice (as defined in Section 3(a)) upon the terms and subject to the conditions contained herein and therein. The Forward Seller shall be acting as sales agent for the Forward Purchaser with respect to any Non-Contingent Forward or Contingent Forward and agrees with the Company and the Forward Purchaser to use commercially reasonable efforts consistent with its normal trading and sales practices to sell the Forward Hedge Shares upon the terms and subject to the conditions contained herein and in the applicable Forward Contract (as defined below). The Company agrees that whenever it determines to sell the Shares directly to the Agent as principal (each such transaction, a “</w:t>
      </w:r>
      <w:r>
        <w:rPr>
          <w:rFonts w:ascii="Times New Roman" w:hAnsi="Times New Roman"/>
          <w:color w:val="000000"/>
          <w:sz w:val="24"/>
          <w:u w:val="single"/>
        </w:rPr>
        <w:t>Principal Transaction</w:t>
      </w:r>
      <w:r>
        <w:rPr>
          <w:color w:val="000000"/>
        </w:rPr>
        <w:t>”</w:t>
      </w:r>
      <w:r>
        <w:rPr>
          <w:rFonts w:ascii="Times New Roman" w:hAnsi="Times New Roman"/>
          <w:color w:val="000000"/>
          <w:sz w:val="24"/>
        </w:rPr>
        <w:t>), it will enter into a separate agreement (each, a “</w:t>
      </w:r>
      <w:r>
        <w:rPr>
          <w:rFonts w:ascii="Times New Roman" w:hAnsi="Times New Roman"/>
          <w:color w:val="000000"/>
          <w:sz w:val="24"/>
          <w:u w:val="single"/>
        </w:rPr>
        <w:t>Terms Agreement</w:t>
      </w:r>
      <w:r>
        <w:rPr>
          <w:color w:val="000000"/>
        </w:rPr>
        <w:t>”</w:t>
      </w:r>
      <w:r>
        <w:rPr>
          <w:rFonts w:ascii="Times New Roman" w:hAnsi="Times New Roman"/>
          <w:color w:val="000000"/>
          <w:sz w:val="24"/>
        </w:rPr>
        <w:t xml:space="preserve">) in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substantially the form of </w:t>
      </w:r>
      <w:r>
        <w:rPr>
          <w:rFonts w:ascii="Times New Roman" w:hAnsi="Times New Roman"/>
          <w:b/>
          <w:color w:val="000000"/>
          <w:sz w:val="24"/>
          <w:u w:val="single"/>
        </w:rPr>
        <w:t>Annex I</w:t>
      </w:r>
      <w:r>
        <w:rPr>
          <w:color w:val="000000"/>
        </w:rPr>
        <w:t xml:space="preserve"> </w:t>
      </w:r>
      <w:r>
        <w:rPr>
          <w:rFonts w:ascii="Times New Roman" w:hAnsi="Times New Roman"/>
          <w:color w:val="000000"/>
          <w:sz w:val="24"/>
        </w:rPr>
        <w:t>hereto, relating to such sale in accordance with Section 3(m) of this Agreement. Certain terms used herein are defined in Section 19 hereof.</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2.</w:t>
      </w:r>
    </w:p>
    <w:p>
      <w:pPr>
        <w:pStyle w:val="TextBody"/>
        <w:bidi w:val="0"/>
        <w:spacing w:before="0" w:after="240"/>
        <w:jc w:val="both"/>
        <w:rPr/>
      </w:pPr>
      <w:r>
        <w:rPr>
          <w:rFonts w:ascii="Times New Roman" w:hAnsi="Times New Roman"/>
          <w:color w:val="000000"/>
          <w:sz w:val="24"/>
          <w:u w:val="single"/>
        </w:rPr>
        <w:t>Representations and Warranties</w:t>
      </w:r>
      <w:r>
        <w:rPr>
          <w:rFonts w:ascii="Times New Roman" w:hAnsi="Times New Roman"/>
          <w:color w:val="000000"/>
          <w:sz w:val="24"/>
        </w:rPr>
        <w:t>. The Company and the Operating Partnership, jointly and severally, represent and warrant to and agree with, the Agent, the Forward Seller and the Forward Purchaser as of the date of this Agreement and on each such other time the following representations and warranties are repeated or deemed to be made pursuant to this Agreement, as set forth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meets the requirements for use of Form S-3 under the Act and has prepared and filed with the Commission the Registration Statement (File Number 333-277434) on Form S-3, including a related Base Prospectus, for registration under the Act of the offering and sale of the Shares. Such Registration Statement, including any amendments thereto filed prior to the Execution Time or prior to any such time this representation is repeated or deemed to be made, became effective upon filing. The Company has filed with the Commission the Prospectus Supplement relating to the Shares in accordance with Rule 424(b). As filed, the Prospectus contains all information required by the Act and the rules thereunder, and, except to the extent the Agent, the Forward Seller and the Forward Purchaser shall agree in writing to a modification, shall be in all substantive respects in the form furnished to the Agent, the Forward Seller and the Forward Purchaser prior to the Execution Time or prior to any such time this representation is repeated or deemed to be made. The Registration Statement, at the Execution Time, each such time this representation is repeated or deemed to be made, and at all times during which a prospectus is required by the Act to be delivered (whether physically or through compliance with Rule 172 or any similar rule) in connection with any sale of Shares, meets the requirements set forth in Rule 415(a)(1)(x). The initial Effective Date of the Registration Statement was not earlier than the date three years before the Execution Time. Any reference herein to the Registration Statement, the Base Prospectus, the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or the Prospectus, as the case may be; and any reference herein to the terms “amend,” “amendment” or “supplement” with respect to the Registration Statement, the Base Prospectus, the Prospectus Supplement or the Prospectus shall be deemed to refer to and include the filing of any document under the Exchange Act after the Effective Date of the Registration Statement or the issue date of the Base Prospectus, the Prospectus Supplement or the Prospectus, as the case may be, deemed to be incorporated therein by reference.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that the Registration Statement is not available for the sales of the Shares as contemplated by this Agreement and/or any Separate Distribution Agreement, the Company shall file a new registration statement on Form S-3 with respect to any additional shares of Common Stock necessary to complete such sales of the Shares and shall cause such registration statement to become effective as promptly as practicable but in any event prior to the sale of such Shares. After the effectiveness of any such registration statement, all references to “Registration Statement” included in this Agreement shall be deemed to include such new registration statement, including all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On each Effective Date, as of the date of this Agreement, at each Applicable Time, at each Settlement Date and at all times during which a prospectus is required by the Act to be delivered (whether physically or through compliance with Rule 172 or any similar rule) in connection with any sale of Shares, the Registration Statement complied and will comply in all material respects with the applicable requirements of the Act and the Exchange Act and the respective rules thereunder and did not and will not contain any untrue statement of a material fact or omit to state any material fact required to be stated therein or necessary in order to make the statements therein not misleading; and on the date of any filing pursuant to Rule 424(b), as of the date of this Agreement, at each Applicable Time, on each Settlement Date and at all times during which a prospectus is required by the Act to be delivered (whether physically or through compliance with Rule 172 or any similar rule) in connection with any sale of Shares, the Prospectus (together with any supplement thereto) complied and will comply in all material respects with the applicable requirements of the Act and the Exchange Act and the respective rules thereunder and did not and will not include any untrue statement of a material fact or omit to state a material fact necessary in order to make the statements therein, in the light of the circumstances under which they were made, not misleading;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Company and the Operating Partnership make no representations or warranties as to the information contained in or omitted from the Registration Statement or the Prospectus (or any supplement thereto) in reliance upon and in conformity with information furnished in writing to the Company by the Agent, the Forward Seller or the Forward Purchaser specifically for inclusion in the Registration Statement or the Prospectus (or any supplement thereto). For purposes of this Agreement, the only information so furnished shall be the legal and marketing names of the Agent, the Forward Seller and the Forward Purchaser appearing (i) on the front cover page and back cover page of the Prospectus Supplement and (ii) in the first and third paragraphs in the section “Plan of Distribution” of the Prospectus Supplement.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the date of this Agreement, at each Applicable Time and at each Settlement Date,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the Agent, the Forward Seller or the Forward Purchaser specifically for use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At the earliest time after the filing of the Registration Statement that the Company or another offering participant made a bona fide offer (within the meaning of Rule 164(h)(2)) of the Shares and (ii) as of the Execution Time and on each such time this representation is repeated or deemed to be made (with such date being used as the determination date for purposes of this clause (ii)), the Company was not and is not an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Ineligible Issuer (as defined in Rule 405), without taking account of any determination by the Commission pursuant to Rule 405 that it is not necessary that the Company be considered an Ineligible Issuer.</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At the time of filing the Registration Statement, (ii) at the time of the most recent amendment thereto for the purposes of complying with Section 10(a)(3) of the Act (whether such amendment was by post-effective amendment, incorporated report filed pursuant to Sections 13 or 15(d) of the Exchange Act or form of prospectus), (iii) at the time the Company or any person acting on its behalf (within the meaning, for this clause only, of Rule 163(c)) made any offer relating to the Shares in reliance on the exemption in Rule 163, and (iv) at the Execution Time, the Company was and is a “well-known seasoned issuer” as defined in Rule 405. The Company agrees to pay the fees required by the Commission relating to the Shares within the time required by Rule 456(b)(1) of the Act without regard to the proviso therein and otherwise in accordance with Rules 456(b) and 457(r).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rPr>
        <w:t>Each Issuer Free Writing Prospectus, if any,</w:t>
      </w:r>
      <w:r>
        <w:rPr>
          <w:color w:val="000000"/>
        </w:rPr>
        <w:t xml:space="preserve"> </w:t>
      </w:r>
      <w:r>
        <w:rPr>
          <w:rFonts w:ascii="Times New Roman" w:hAnsi="Times New Roman"/>
          <w:color w:val="000000"/>
          <w:sz w:val="24"/>
        </w:rPr>
        <w:t xml:space="preserve">does not include any information that conflicts with the information contained in the Registration Statement, including any document incorporated therein by reference, and any prospectus supplement deemed to be a part thereof that has not been superseded or modified. The foregoing sentence does not apply to statements in or omissions from any Issuer Free Writing Prospectus based upon and in conformity with written information furnished to the Company by the Agent, the Forward Seller or the Forward Purchaser specifically for use therein.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Registration Statement is not the subject of a pending proceeding or examination under Section 8(d) or 8(e) of the Act, and the Company is not the subject of a pending proceeding under Section 8A of the Act in connection with the offering of the Shares.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has not entered into any sales agency agreements or other similar arrangements (other than this Agreement and any Separate Distribution Agreements) with any agent or any other representative in respect of at the market offerings of the Shares in accordance with Rule 415(a)(4) of the Act that is currently in effect.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provided for in this Agreement or any Separate Distribution Agreement, there is no broker, finder or other party that is entitled to receive from the Company any brokerage or finder’s fee or other fee or commission as a result of any transactions contemplated by this Agreement or any Separate Distribution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Intentionally omitted.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third-party statistical and market-related data included or incorporated by reference in the Registration Statement, the Disclosure Package and the Prospectus are based on or derived from sources that the Company believes to be reliable and accurate, in all material respects.</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rPr>
        <w:t xml:space="preserve">(i) The Company has been duly incorporated and is validly existing as a corporation in good standing under the laws of the State of Maryland, (ii) the Operating Partnership has been duly formed and is validly existing and in good standing under the laws of the State of Delaware, (iii) each of the other subsidiaries of the Company listed on </w:t>
      </w:r>
      <w:r>
        <w:rPr>
          <w:rFonts w:ascii="Times New Roman" w:hAnsi="Times New Roman"/>
          <w:b/>
          <w:color w:val="000000"/>
          <w:sz w:val="24"/>
          <w:u w:val="single"/>
        </w:rPr>
        <w:t>Schedule II</w:t>
      </w:r>
      <w:r>
        <w:rPr>
          <w:color w:val="000000"/>
        </w:rPr>
        <w:t xml:space="preserve"> </w:t>
      </w:r>
      <w:r>
        <w:rPr>
          <w:rFonts w:ascii="Times New Roman" w:hAnsi="Times New Roman"/>
          <w:color w:val="000000"/>
          <w:sz w:val="24"/>
        </w:rPr>
        <w:t>hereto (the “</w:t>
      </w:r>
      <w:r>
        <w:rPr>
          <w:rFonts w:ascii="Times New Roman" w:hAnsi="Times New Roman"/>
          <w:color w:val="000000"/>
          <w:sz w:val="24"/>
          <w:u w:val="single"/>
        </w:rPr>
        <w:t>Significant Subsidiaries</w:t>
      </w:r>
      <w:r>
        <w:rPr>
          <w:color w:val="000000"/>
        </w:rPr>
        <w:t>”</w:t>
      </w:r>
      <w:r>
        <w:rPr>
          <w:rFonts w:ascii="Times New Roman" w:hAnsi="Times New Roman"/>
          <w:color w:val="000000"/>
          <w:sz w:val="24"/>
        </w:rPr>
        <w:t>) has been duly incorporated or organized and is validly existing and in good standing under the laws of the jurisdiction in which it is chartered or organized, (iv) each of the Company, the Operating Partnership and the Significant Subsidiaries has full power and authority (corporate or other) to own or lease, as the case may be, and to operate its properties and conduct its business as described in the Disclosure Package and the Prospectus, and (v) each of the Company, the Operating Partnership and the Significant Subsidiaries is duly qualified to do business as a foreign corporation or organization and is in good standing under the laws of each jurisdiction which requires such qualification, except in the cases of clauses (iii), (iv) and (v), where the failure to be so incorporated or organized or so validly existing and in good standing, to have such power or authority or to be so qualified or in good standing would not reasonably be expected to have a material adverse effect on the condition (financial or otherwise), results of operations, business, properties or business prospects of the Company and its subsidiaries, taken as a whole, whether or not arising from transactions in the ordinary course of business (a “</w:t>
      </w:r>
      <w:r>
        <w:rPr>
          <w:rFonts w:ascii="Times New Roman" w:hAnsi="Times New Roman"/>
          <w:color w:val="000000"/>
          <w:sz w:val="24"/>
          <w:u w:val="single"/>
        </w:rPr>
        <w:t>Material Adverse Effect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outstanding partnership interests of the Operating Partnership owned by the Company are free and clear of any perfected security interest or any other security interests, claims, liens or encumbrances.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outstanding shares of capital stock, partnership interests or membership units of the Operating Partnership’s subsidiaries are owned by the Operating Partnership either directly or through wholly owned subsidiaries and, except as otherwise set forth in the Registration Statement, the Disclosure Package and the Prospectus, free and clear of any perfected security interest or any other security interests, claims, liens or encumbrances.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Shares, the Forward Settlement Shares and all outstanding shares of capital stock of the Company have been duly authorized; the authorized equity capitalization of the Company is as set forth in the Registration Statement, the Disclosure Package and the Prospectus; all outstanding shares of capital stock of the Company are, and, when the Shares or Forward Settlement Shares, as applicable, have been delivered and paid for in accordance with this Agreement on any Settlement Date, such Shares or Forward Settlement Shares, as applicable, will have been, validly issued, fully paid and nonassessable and will, on any Settlement Date, conform, in all material respects, to the information in the Registration Statement, the Disclosure Package and the Prospectus and to the description of such Shares contained therein; the stockholders of the Company have no preemptive rights with respect to the Shares or the Forward Settlement Shares; none of the outstanding shares of capital stock of the Company have been issued in violation of any preemptive or similar rights of any security holder; and the form of certificate used to represent the Common Stock, if any, complies in all material respects with all applicable statutory requirements and with any applicable requirements of the articles of amendment and restatement of the Company, as amended and/or restated, the bylaws of the Company,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as amended and/or restated, and with any requirements of the New York Stock Exchange (the “</w:t>
      </w:r>
      <w:r>
        <w:rPr>
          <w:rFonts w:ascii="Times New Roman" w:hAnsi="Times New Roman"/>
          <w:color w:val="000000"/>
          <w:sz w:val="24"/>
          <w:u w:val="single"/>
        </w:rPr>
        <w:t>NYSE</w:t>
      </w:r>
      <w:r>
        <w:rPr>
          <w:color w:val="000000"/>
        </w:rPr>
        <w:t>”</w:t>
      </w:r>
      <w:r>
        <w:rPr>
          <w:rFonts w:ascii="Times New Roman" w:hAnsi="Times New Roman"/>
          <w:color w:val="000000"/>
          <w:sz w:val="24"/>
        </w:rPr>
        <w:t>). Except as disclosed in the Registration Statement, the Disclosure Package and the Prospectus, there are no outstanding (A) securities or obligations of the Company convertible into or exchangeable for any capital stock of the Company, (B) warrants, rights or options to subscribe for or purchase from the Company any such capital stock or any such convertible or exchangeable securities or obligations or (C) obligations of the Company to issue or sell any shares of capital stock, any such convertible or exchangeable securities or obligations, or any such warrants, rights or options.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is no franchise, contract or other document of a character required to be described in the Registration Statement or the Prospectus, or to be filed as an exhibit to the Registration Statement, which is not described or filed as required; and the statements in the Prospectus under the headings “Description of Common Stock of Easterly Government Properties, Inc.,” “Material Provisions of Maryland Law and Our Charter and Bylaws,” and “Certain United States Federal Income Tax Considerations,” insofar as such statements summarize legal matters, agreements, documents or proceedings discussed therein, are accurate and fair summaries of such legal matters, agreements, documents or proceedings in all material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any Forward Contract and any applicable Terms Agreement have been duly authorized, executed and delivered by each of the Company and the Operating Partnership, each of the Company and the Operating Partnership have full right, power and authority to execute and deliver any Forward Contract and perform their respective obligations thereunder and all action required to be taken for the due and proper authorization, execution and delivery by it of any Forward Contract and the consummation by it of the transactions contemplated thereby will have been duly and validly authorized and any Forward Contracts will have been duly authorized, executed and delivered by each of the Company and the Operating Partnership.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the Company, the Operating Partnership or its subsidiaries is, nor, after giving effect to the offering and sale of the Shares and the application of the proceeds thereof as described in the Disclosure Package and the Prospectus, will any of them be, required to register as an “investment company,” as defined in the Investment Company Act of 1940,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the Company, the Operating Partnership or its subsidiaries is, nor, after giving effect to the offering and sale of the Shares and the application of the proceeds thereof as described in the Disclosure Package and the Prospectus, will any of them be, required to register as an “investment adviser,” as defined in the Investment Advisers Act of 1940,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rFonts w:ascii="Times New Roman" w:hAnsi="Times New Roman"/>
          <w:color w:val="000000"/>
          <w:sz w:val="24"/>
        </w:rPr>
        <w:t>No consent, approval, authorization, filing with or order of any court or governmental agency or body is required in connection with the transactions contemplated herein, except (i) such as have been obtained or made under the Act and the Exchange Act, (ii) such as may be required under the NYSE and the Financial Industry Regulatory Authority (“</w:t>
      </w:r>
      <w:r>
        <w:rPr>
          <w:rFonts w:ascii="Times New Roman" w:hAnsi="Times New Roman"/>
          <w:color w:val="000000"/>
          <w:sz w:val="24"/>
          <w:u w:val="single"/>
        </w:rPr>
        <w:t>FINRA</w:t>
      </w:r>
      <w:r>
        <w:rPr>
          <w:color w:val="000000"/>
        </w:rPr>
        <w:t>”</w:t>
      </w:r>
      <w:r>
        <w:rPr>
          <w:rFonts w:ascii="Times New Roman" w:hAnsi="Times New Roman"/>
          <w:color w:val="000000"/>
          <w:sz w:val="24"/>
        </w:rPr>
        <w:t xml:space="preserve">), (iii) such as may be required under the blue sky laws of any jurisdiction in connection with the purchase and distribution of the Shares in the manner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contemplated herein and in the Disclosure Package and the Prospectus, or (iv) such consents, approvals, authorizations, filings or orders that will be obtained or completed on or prior to the applicable Settlement Date or the absence of which would not, individually or in the aggregate, reasonably be expected to have a Material Adverse Effect or delay, prohibit or prevent the consummation of the transactions contemplated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Neither the issuance and sale of the Shares (nor the issuance and delivery of any Forward Settlement Shares)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including the Operating Partnership, pursuant to, (i) the organizational documents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in the case of clauses (ii) and (iii) only, for such conflicts, breaches, violations, liens, charges or encumbrances that would not reasonably be expected to result in a Material Adverse Effect and would not, individually or in the aggregate, reasonably be expected to have a material adverse effect on the performance of this Agreement or the consummation of any of the transactions contemplated hereby.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set forth in the Registration Statement, the Disclosure Package and the Prospectus, no holders of securities of the Company or the Operating Partnership have rights to the registration of such securities under the Registration Statement.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rFonts w:ascii="Times New Roman" w:hAnsi="Times New Roman"/>
          <w:color w:val="000000"/>
          <w:sz w:val="24"/>
        </w:rPr>
        <w:t>The consolidated financial statements and schedules of the Company and its consolidated subsidiaries incorporated by reference in the Prospectus and the Registration Statement, together with the related notes, present fairly, in all material respects, the financial condition, results of operations and cash flows of the Company as of the dates and for the periods indicated, comply, in all material respects, as to form with the applicable accounting requirements of the Act and have been prepared, in all material respects, in conformity with U.S. generally accepted accounting principles (“</w:t>
      </w:r>
      <w:r>
        <w:rPr>
          <w:rFonts w:ascii="Times New Roman" w:hAnsi="Times New Roman"/>
          <w:color w:val="000000"/>
          <w:sz w:val="24"/>
          <w:u w:val="single"/>
        </w:rPr>
        <w:t>GAAP</w:t>
      </w:r>
      <w:r>
        <w:rPr>
          <w:color w:val="000000"/>
        </w:rPr>
        <w:t>”</w:t>
      </w:r>
      <w:r>
        <w:rPr>
          <w:rFonts w:ascii="Times New Roman" w:hAnsi="Times New Roman"/>
          <w:color w:val="000000"/>
          <w:sz w:val="24"/>
        </w:rPr>
        <w:t xml:space="preserve">) applied on a consistent basis throughout the periods involved (except as otherwise noted therein). Any selected financial data incorporated by reference in the Prospectus and Registration Statement fairly present, in all material respects, on the basis stated in the Prospectus and the Registration Statement, the information included therein. Any pro forma financial statements of the Company and the related notes thereto included or incorporated by reference in the Registration Statement, the Disclosure Package and the Prospectus present fairly in all material respects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are appropriate in all material respects to give effect to the transactions and circumstances referred to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disclosed in the Registration Statement, the Disclosure Package and the Prospectus, no action, suit or proceeding by or before any court or governmental agency, authority or body or any arbitrator involving the Company or any of its subsidiaries or its or their property is pending or, to the best knowledge of the Company or the Operating Partnership, threatened that (i) would, individually or in the aggregate reasonably be expected to have a material adverse effect on the performance of this Agreement or the consummation of the transactions contemplated hereby or (ii) would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pPr>
      <w:r>
        <w:rPr>
          <w:rFonts w:ascii="Times New Roman" w:hAnsi="Times New Roman"/>
          <w:color w:val="000000"/>
          <w:sz w:val="24"/>
        </w:rPr>
        <w:t>(i) The Company or its subsidiaries has good and marketable title (fee or leasehold) to all of the real properties described in the Disclosure Package and the Prospectus as owned by them and the improvements located thereon (individually, a “</w:t>
      </w:r>
      <w:r>
        <w:rPr>
          <w:rFonts w:ascii="Times New Roman" w:hAnsi="Times New Roman"/>
          <w:color w:val="000000"/>
          <w:sz w:val="24"/>
          <w:u w:val="single"/>
        </w:rPr>
        <w:t>Property</w:t>
      </w:r>
      <w:r>
        <w:rPr>
          <w:color w:val="000000"/>
        </w:rPr>
        <w:t xml:space="preserve">” </w:t>
      </w:r>
      <w:r>
        <w:rPr>
          <w:rFonts w:ascii="Times New Roman" w:hAnsi="Times New Roman"/>
          <w:color w:val="000000"/>
          <w:sz w:val="24"/>
        </w:rPr>
        <w:t>and collectively, the “</w:t>
      </w:r>
      <w:r>
        <w:rPr>
          <w:rFonts w:ascii="Times New Roman" w:hAnsi="Times New Roman"/>
          <w:color w:val="000000"/>
          <w:sz w:val="24"/>
          <w:u w:val="single"/>
        </w:rPr>
        <w:t>Properties</w:t>
      </w:r>
      <w:r>
        <w:rPr>
          <w:color w:val="000000"/>
        </w:rPr>
        <w:t>”</w:t>
      </w:r>
      <w:r>
        <w:rPr>
          <w:rFonts w:ascii="Times New Roman" w:hAnsi="Times New Roman"/>
          <w:color w:val="000000"/>
          <w:sz w:val="24"/>
        </w:rPr>
        <w:t>) and any other real property owned by them, in each case, free and clear of all mortgages, pledges, liens, claims, security interests, restrictions or encumbrances of any kind, except for such mortgages, pledges, liens, claims, security interests, restrictions or encumbrances as (x) are described in the Registration Statement, the Disclosure Package and the Prospectus or (y) are Permitted Encumbrances; (ii) all liens, charges, encumbrances, claims or restrictions on or affecting any of the Properties or assets of the Company or any of its subsidiaries that are required to be disclosed in the Disclosure Package or the Prospectus are disclosed therein; (iii) each of the Properties complies with all applicable codes, laws and regulations (including, without limitation, building and zoning codes, laws and regulations and laws relating to access to the Properties), other than non-compliance that would not render a material portion of such Property unusable for its current or intended purpose; (iv) the Company has not received written notice of any and, to the Company’s knowledge, there are no pending or threatened, condemnation proceedings, zoning change or other proceeding or action that will in any material manner affect the size of, use of, improvements on, construction on or access to the Properties; (v) the mortgages and deeds of trust that encumber the Properties are not convertible into equity securities of the entity owning such Property and said mortgages and deeds of trust are not cross-defaulted or cross-collateralized with any property other than other Properties; and (vi) neither the Company nor any of its subsidiaries nor, to the knowledge of the Company, any tenant of any of the Properties, is in default under (x) any tenant lease (as lessor or lessee, as the case may be) relating to any of the Properties or (y) any of the mortgages or other security documents or other agreements encumbering or otherwise recorded against the Properties, whether with or without the passage of time or the giving of notice, or both, would constitute a default under any of such documents or agreements, where such default (in any of the above) would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Neither the Company nor any subsidiary is in violation of or default under (i) any provision of its organizational documents, except in the case of subsidiaries of the Company that are not significant subsidiaries of the Company as defined by Rule 1-02(w) of Regulation S-X for such violations or defaults that would not, individually or in the aggregate, result in a Material Adverse Effect, (ii) the terms of any indenture, contract,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only, for such violations or defaults that would not reasonably be expected to result in a Material Adverse Effect and would not, individually or in the aggregate, reasonably be expected to have a material adverse effect on the performance of this Agreement or the consummation of the transactions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PricewaterhouseCoopers LLP, who have certified certain financial statements of the Company and its consolidated subsidiaries and delivered their report with respect to the audited consolidated financial statements and schedules included in the Registration Statement, the Disclosure Package and the Prospectus, are independent public accountants with respect to the Company within the meaning of the Act and the applicable published rules and regulations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unpaid transfer taxes or other similar fees or charges under federal law or the laws of any state, or any political subdivision thereof, required to be paid in connection with the execution and delivery of this Agreement or the issuance by the Company or sale by the Company of the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Company and its subsidiaries has timely filed all U.S. federal income and other material federal, state, local and non-U.S. tax returns required to be filed by applicable law or has requested extensions thereof, and all such tax returns were in all material respects true, correct and complete. No audit, administrative proceedings or court proceedings are presently pending with regard to any material potential federal, state, local or non-U.S. tax of any nature, and the Company has no knowledge of any tax deficiencies which could, individually or in the aggregate, reasonably be expected to have a Material Adverse Effect. Each of the Company and its subsidiaries has paid (within the time and in the manner prescribed by law) all taxes of any nature which are due (whether or not shown on any tax returns), in each case except for those not yet delinquent and those being contested in good faith by appropriate proceedings diligently conducted for which the Company and/or each of the subsidiaries has established on its books and records adequate reserves in accordance with U.S. generally accepted accounting principles, or those that would not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Commencing with its taxable year ending December 31, 2015, the Company has been organized in conformity with the requirements for qualification and taxation as a REIT under the Code, and the Company’s method of operation as set forth in the Registration Statement, the Disclosure Package and the Prospectus enables it to meet the requirements for qualification and taxation as a REIT under the Code. All statements regarding the Company’s qualification and taxation as a REIT and descriptions of the Company’s organization and proposed method of operation (to the extent they relate to the availability of the Company’s qualification and taxation as a REIT) set forth in the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Registration Statement, the Disclosure Package and the Prospectus are true, complete and correct in all material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Operating Partnership has been properly classified as a partnership or disregarded entity, and not as a corporation or as a publicly traded partnership taxable as a corporation, for federal income tax purposes throughout the period from its formation through the date hereof; and each of the subsidiaries of the Operating Partnership that is a partnership or a limited liability company (other than an entity for which a taxable REIT subsidiary election has been made) has been properly classified either as a disregarded entity or as a partnership, and not as a corporation or as a publicly traded partnership taxable as a corporation, for federal income tax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labor dispute with the employees of the Company or any of its subsidiaries exists or, to the knowledge of the Company, is threatened or imminent, and the Company is not aware of any existing or imminent labor disturbance by the employees of any of its or its subsidiaries’ principal suppliers, contractors or tenants except, in each case, as would not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and its subsidiaries, taken as a whole, are insured by insurers of recognized financial responsibility against such losses and risks and in such amounts as are prudent and customary in the businesses in which they are engaged; all policies of insurance and fidelity or surety bonds, if any, insuring the Company or any of its subsidiaries or their respective businesses, Properties, employees, officers and directors are, to the knowledge of the Company, in full force and effect; the Company and its subsidiaries are in compliance with the terms of such policies and instruments in all material respects; and there are no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subsidiary of the Company is currently prohibited, directly or indirectly, (i) from paying any dividends to the Company, (ii) from making any other distribution on such subsidiary’s capital stock, (iii) from repaying to the Company any loans or advances to such subsidiary from the Company or (vi) from transferring any of such subsidiary’s property or assets to the Company or any other subsidiary of the Company, except, in each case, as described in or contemplated by the Registration Statement, the Disclosure Package and the Prospectus.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and its subsidiaries possess all licenses, certificates, permits and other authorizations issued by all applicable federal, state, local or foreign regulatory agencies or bodies necessary to conduct their respective businesses, except where the failure to possess such license, certificate, permit or other authorization would not reasonably be expected to have a material adverse effect on the applicable Property, and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Company nor any such subsidiary has received any notice of proceedings relating to the revocation or modification of any such certificate, authorization or permit which, if the subject of an unfavorable decision, ruling or finding, would be expected to have a material adverse effect on the applicable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XBRL included or incorporated by reference in the Registration Statement and the Prospectus is in compliance, in all material respects, with the Commission’s published rules, regulations and guidelines applicable thereto. The Company and its subsidiaries’ internal controls over financial reporting are effective. The Company and its subsidiaries are not aware of any material weakness in their internal controls over financial reporting.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and its subsidiaries maintain “disclosure controls and procedures” (as such term is defined in Rule 13a-15(e) under the Exchange Act) and such disclosure controls and procedures are effective.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the Company or any of its subsidiaries has taken, directly or indirectly, any action designed to or that would constitute or that could reasonably be expected to cause or result in, under the Exchange Act or otherwise, stabilization or manipulation of the price of any security of the Company to facilitate the sale or resale of the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(nn)</w:t>
      </w:r>
    </w:p>
    <w:p>
      <w:pPr>
        <w:pStyle w:val="TextBody"/>
        <w:bidi w:val="0"/>
        <w:spacing w:before="0" w:after="240"/>
        <w:jc w:val="both"/>
        <w:rPr/>
      </w:pPr>
      <w:r>
        <w:rPr>
          <w:rFonts w:ascii="Times New Roman" w:hAnsi="Times New Roman"/>
          <w:color w:val="000000"/>
          <w:sz w:val="24"/>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color w:val="000000"/>
          <w:sz w:val="24"/>
          <w:u w:val="single"/>
        </w:rPr>
        <w:t>Environmental Laws</w:t>
      </w:r>
      <w:r>
        <w:rPr>
          <w:color w:val="000000"/>
        </w:rPr>
        <w:t>”</w:t>
      </w:r>
      <w:r>
        <w:rPr>
          <w:rFonts w:ascii="Times New Roman" w:hAnsi="Times New Roman"/>
          <w:color w:val="000000"/>
          <w:sz w:val="24"/>
        </w:rPr>
        <w:t>) other than non-compliance that would not reasonably be expected to have a Material Adverse Effect, (ii) have received and are in compliance with all permits, licenses or other approvals required of them under applicable Environmental Laws to own the Properties and to conduct their respective businesses other than non-compliance that would not reasonably be expected to have a Material Adverse Effect and (iii) have not received notice of any actual or potential liability under any Environmental Law from any federal, state or local governmental authority. Neither the Company nor any of the subsidiaries has been named as a “potentially responsible party” under the Comprehensive Environmental Response, Compensation, and Liability Act of 1980, as amended. Costs and liabilities currently expected to be undertaken by the Company in response to Environmental Laws would not, singly or in the aggregate, reasonably be expected to have a Material Adverse Effect.</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(oo)</w:t>
      </w:r>
    </w:p>
    <w:p>
      <w:pPr>
        <w:pStyle w:val="TextBody"/>
        <w:bidi w:val="0"/>
        <w:spacing w:before="0" w:after="240"/>
        <w:jc w:val="both"/>
        <w:rPr/>
      </w:pPr>
      <w:r>
        <w:rPr>
          <w:rFonts w:ascii="Times New Roman" w:hAnsi="Times New Roman"/>
          <w:color w:val="000000"/>
          <w:sz w:val="24"/>
        </w:rPr>
        <w:t>None of the following events has occurred or exists: (i) a failure to fulfill the obligations, if any, under the minimum funding standards of Section 302 of the United States Employee Retirement Income Security Act of 1974, as amended (“</w:t>
      </w:r>
      <w:r>
        <w:rPr>
          <w:rFonts w:ascii="Times New Roman" w:hAnsi="Times New Roman"/>
          <w:color w:val="000000"/>
          <w:sz w:val="24"/>
          <w:u w:val="single"/>
        </w:rPr>
        <w:t>ERISA</w:t>
      </w:r>
      <w:r>
        <w:rPr>
          <w:color w:val="000000"/>
        </w:rPr>
        <w:t>”</w:t>
      </w:r>
      <w:r>
        <w:rPr>
          <w:rFonts w:ascii="Times New Roman" w:hAnsi="Times New Roman"/>
          <w:color w:val="000000"/>
          <w:sz w:val="24"/>
        </w:rPr>
        <w:t>), and the regulations and published interpretations thereunder with respect to a Plan,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or (iii) any breach of any contractual obligation, or any violation of law or applicable qualification standards, with respect to the employment or compensation of employees by the Company or any of its subsidiaries.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with respect to the Plan; or (iv) the filing of a claim by one or more employees or former employees of the Company or any of its subsidiaries related to their employment. For purposes of this paragraph, the term “Plan” means a plan (within the meaning of Section 3(3) of ERISA) subject to Title IV of ERISA with respect to which the Company or any of its subsidiaries may have any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the date hereof, the Company and its subsidiaries are in compliance with all provisions of the Sarbanes-Oxley Act of 2002 and rules and regulations applicable to them promulgated thereunder or are implementing the provisions thereof that are in effect and with which the Company and its subsidiaries are required to comply.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None of the Company or any of its subsidiaries or, to the knowledge of the Company, any director, officer, agent acting on behalf of the Company or any of its subsidiaries, employee or affiliate of the Company or any of its subsidiaries is aware of or has taken any action in connection with the Company’s business, directly or indirectly, that could result in a violation by such persons of the Foreign Corrupt Practices Act of 1977, as amended, and the rules and regulations thereunder or the U.K. Bribery Act 2010, as amended, the U.K. Criminal Finances Act 2017, as amended, or similar law of any other relevant jurisdiction; and none of the Company or any of its subsidiaries or, to the knowledge of the Company, any director, officer, agent acting on behalf of the Company or any of its subsidiaries, employee or affiliate of the Company or any of its subsidiaries is aware of or has taken any action in connection with the Company’s business, directly or indirectly, that could result in a sanction for violation by such persons of the Foreign Corrupt Practices Act of 1977, as amended, and the rules and regulations thereunder or the U.K. Bribery Act 2010 or similar law of any other relevant jurisdiction; and prohibition of noncompliance therewith is covered by the codes of conduct or other procedures instituted and maintained by the Company and its subsidiaries.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(rr)</w:t>
      </w:r>
    </w:p>
    <w:p>
      <w:pPr>
        <w:pStyle w:val="TextBody"/>
        <w:bidi w:val="0"/>
        <w:spacing w:before="0" w:after="240"/>
        <w:jc w:val="both"/>
        <w:rPr/>
      </w:pPr>
      <w:r>
        <w:rPr>
          <w:rFonts w:ascii="Times New Roman" w:hAnsi="Times New Roman"/>
          <w:color w:val="000000"/>
          <w:sz w:val="24"/>
        </w:rPr>
        <w:t>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 w:hAnsi="Times New Roman"/>
          <w:color w:val="000000"/>
          <w:sz w:val="24"/>
          <w:u w:val="single"/>
        </w:rPr>
        <w:t>Money Laundering Laws</w:t>
      </w:r>
      <w:r>
        <w:rPr>
          <w:color w:val="000000"/>
        </w:rPr>
        <w:t>”</w:t>
      </w:r>
      <w:r>
        <w:rPr>
          <w:rFonts w:ascii="Times New Roman" w:hAnsi="Times New Roman"/>
          <w:color w:val="000000"/>
          <w:sz w:val="24"/>
        </w:rPr>
        <w:t>) and no action, suit or proceeding by or before any court or governmental agency, authority or body or any arbitrator involving the Company or any of its subsidiaries with respect to the Money Laundering Laws is pending or, to the knowledge of the Company and the Operating Partnership, threatened.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(ss)</w:t>
      </w:r>
    </w:p>
    <w:p>
      <w:pPr>
        <w:pStyle w:val="TextBody"/>
        <w:bidi w:val="0"/>
        <w:spacing w:before="0" w:after="240"/>
        <w:jc w:val="both"/>
        <w:rPr/>
      </w:pPr>
      <w:r>
        <w:rPr>
          <w:rFonts w:ascii="Times New Roman" w:hAnsi="Times New Roman"/>
          <w:color w:val="000000"/>
          <w:sz w:val="24"/>
        </w:rPr>
        <w:t>None of the Company or any of its subsidiaries or, to the knowledge of the Company, any director, officer, agent acting on behalf of the Company or any of its subsidiaries, employee or affiliate of the Company or any of its subsidiaries (i) is currently subject to any sanctions administered or imposed by the United States (including any administered or enforced by the Office of Foreign Assets Control of the U.S. Treasury Department, the U.S. Department of State, or the Bureau of Industry and Security of the U.S. Department of Commerce), the United Nations Security Council, the European Union, or the United Kingdom (including sanctions administered or controlled by His Majesty’s Treasury) (collectively, “</w:t>
      </w:r>
      <w:r>
        <w:rPr>
          <w:rFonts w:ascii="Times New Roman" w:hAnsi="Times New Roman"/>
          <w:color w:val="000000"/>
          <w:sz w:val="24"/>
          <w:u w:val="single"/>
        </w:rPr>
        <w:t>Sanctions</w:t>
      </w:r>
      <w:r>
        <w:rPr>
          <w:color w:val="000000"/>
        </w:rPr>
        <w:t xml:space="preserve">” </w:t>
      </w:r>
      <w:r>
        <w:rPr>
          <w:rFonts w:ascii="Times New Roman" w:hAnsi="Times New Roman"/>
          <w:color w:val="000000"/>
          <w:sz w:val="24"/>
        </w:rPr>
        <w:t>and such persons, “</w:t>
      </w:r>
      <w:r>
        <w:rPr>
          <w:rFonts w:ascii="Times New Roman" w:hAnsi="Times New Roman"/>
          <w:color w:val="000000"/>
          <w:sz w:val="24"/>
          <w:u w:val="single"/>
        </w:rPr>
        <w:t>Sanctioned Persons</w:t>
      </w:r>
      <w:r>
        <w:rPr>
          <w:color w:val="000000"/>
        </w:rPr>
        <w:t>”</w:t>
      </w:r>
      <w:r>
        <w:rPr>
          <w:rFonts w:ascii="Times New Roman" w:hAnsi="Times New Roman"/>
          <w:color w:val="000000"/>
          <w:sz w:val="24"/>
        </w:rPr>
        <w:t>) or (ii) will, directly or indirectly, use the proceeds of this offering, or lend, contribute or otherwise make available such proceeds to any subsidiary, joint venture partner or other person in any manner that will result in a violation of any economic Sanctions by, or could result in the imposition of Sanctions against, any person (including any person participating in the offering, whether as underwriter, advisor, investor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(tt)</w:t>
      </w:r>
    </w:p>
    <w:p>
      <w:pPr>
        <w:pStyle w:val="TextBody"/>
        <w:bidi w:val="0"/>
        <w:spacing w:before="0" w:after="240"/>
        <w:jc w:val="both"/>
        <w:rPr/>
      </w:pPr>
      <w:r>
        <w:rPr>
          <w:rFonts w:ascii="Times New Roman" w:hAnsi="Times New Roman"/>
          <w:color w:val="000000"/>
          <w:sz w:val="24"/>
        </w:rPr>
        <w:t>None of the Company or any of its subsidiaries or, to the knowledge of the Company, any director, officer, agent acting on behalf of the Company or any of its subsidiaries, employee or affiliate of the Company or any of its subsidiaries, is a person that is, or is 50% or more owned or otherwise controlled by a person that is: (i) the subject of any Sanctions; or (ii) located, organized or resident in a country or territory that is, or whose government is, the subject of Sanctions that broadly prohibit dealings with that country or territory (at the time of this Agreement, Crimea Region of Ukraine, so-called Donetsk People’s Republic, Cuba, Iran, so-called Luhansk People’s Republic and North Korea) (collectively, “</w:t>
      </w:r>
      <w:r>
        <w:rPr>
          <w:rFonts w:ascii="Times New Roman" w:hAnsi="Times New Roman"/>
          <w:color w:val="000000"/>
          <w:sz w:val="24"/>
          <w:u w:val="single"/>
        </w:rPr>
        <w:t>Sanctioned Countries</w:t>
      </w:r>
      <w:r>
        <w:rPr>
          <w:color w:val="000000"/>
        </w:rPr>
        <w:t xml:space="preserve">” </w:t>
      </w:r>
      <w:r>
        <w:rPr>
          <w:rFonts w:ascii="Times New Roman" w:hAnsi="Times New Roman"/>
          <w:color w:val="000000"/>
          <w:sz w:val="24"/>
        </w:rPr>
        <w:t>and each, a “</w:t>
      </w:r>
      <w:r>
        <w:rPr>
          <w:rFonts w:ascii="Times New Roman" w:hAnsi="Times New Roman"/>
          <w:color w:val="000000"/>
          <w:sz w:val="24"/>
          <w:u w:val="single"/>
        </w:rPr>
        <w:t>Sanctioned Country</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(uu)</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Since April 24, 2019, none of the Company or any of its subsidiaries has engaged in any dealings or transactions with or for the benefit of a Sanctioned Person, or with or in a Sanctioned Country, nor does the Company or any of its subsidiaries have any plans to increase its dealings or transactions with Sanctioned Persons, or with or in Sanctioned Countries.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Exhibit 21.1 to the Company’s most recently filed Annual Report on Form 10-K includes the significant subsidiaries of the Company as defined by Rule 1-02(w) of Regulation S-X as of the date of the Company’s most recently filed Annual Report on Form 10-K.</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and its subsidiaries own or possess adequate rights to use all patents, patent applications, trademarks, service marks, trade names, trademark registrations, service mark registrations, copyrights, licenses and know-how (including trade secrets and other unpatented and/or unpatentable proprietary or confidential information, systems or procedures) used in the operation of the business as now operated, except where the failure to so own or possess such rights would not reasonably be expected to have a Material Adverse Effect. The Company and its subsidiaries have not received any notice of any claim of infringement, misappropriation or conflict with the asserted rights of others in connection with its patents, patent rights, licenses, inventions, trademarks, service marks, trade names, copyrights and know-how.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Company nor any of its subsidiaries nor any of its or their properties or assets has any immunity from the jurisdiction of any court or from any legal process (whether through service or notice, attachment prior to judgment, attachment in aid of execution or otherwise) under the laws of the States of Maryland, Delaware or New York or under the laws of their jurisdictions of formation or incorporation.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the date hereof, neither the Company nor the Operating Partnership has outstanding any debt securities rated by a “nationally recognized statistical rating organization” (as defined in Rule 436(g) under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(zz)</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Common Stock is an “actively traded security” excepted from the requirements of Rule 101 of Regulation M under the Exchange Act by subsection (c)(1) of such rule. </w:t>
      </w:r>
    </w:p>
    <w:p>
      <w:pPr>
        <w:pStyle w:val="TextBody"/>
        <w:bidi w:val="0"/>
        <w:spacing w:before="0" w:after="240"/>
        <w:jc w:val="both"/>
        <w:rPr>
          <w:rFonts w:ascii="Times New Roman" w:hAnsi="Times New Roman"/>
          <w:sz w:val="20"/>
        </w:rPr>
      </w:pPr>
      <w:r>
        <w:rPr>
          <w:rFonts w:ascii="Times New Roman" w:hAnsi="Times New Roman"/>
          <w:color w:val="000000"/>
          <w:sz w:val="24"/>
        </w:rPr>
        <w:t>(aaa) The Company and its subsidiaries own or have a valid right to access and use all material computer systems, networks, hardware, software, databases, websites, and equipment used to process, store, maintain and operate data, information, and functions used in connection with the business of the Company and its subsidiaries (the “</w:t>
      </w:r>
      <w:r>
        <w:rPr>
          <w:rFonts w:ascii="Times New Roman" w:hAnsi="Times New Roman"/>
          <w:color w:val="000000"/>
          <w:sz w:val="24"/>
          <w:u w:val="single"/>
        </w:rPr>
        <w:t>Company IT Systems</w:t>
      </w:r>
      <w:r>
        <w:rPr>
          <w:rFonts w:ascii="Times New Roman" w:hAnsi="Times New Roman"/>
          <w:color w:val="000000"/>
          <w:sz w:val="20"/>
        </w:rPr>
        <w:t>”</w:t>
      </w:r>
      <w:r>
        <w:rPr>
          <w:rFonts w:ascii="Times New Roman" w:hAnsi="Times New Roman"/>
          <w:color w:val="000000"/>
          <w:sz w:val="24"/>
        </w:rPr>
        <w:t>). The Company IT Systems (i) are adequate for, and operate and perform in all material respects as required in connection with, the operation of the business of the Company and its subsidiaries as currently conducted, and (ii) are, to the Company’s knowledge, free of any viruses, “back doors,” “Trojan horses,” “time bombs,” “worms,” “drop dead devices” or other software or hardware components that are designed to interrupt use of, permit unauthorized access to, or disable, damage or erase, any software material to the business of the Company or any of its subsidiaries, except in the case of (i) and (ii) as has been disclosed in the Registration Statement, the Disclosure Package and the Prospectus or as would not, individually or in the aggregate, reasonably be expected to have a Material Adverse Effect. The Company and its subsidiaries have implemented commercially reasonable backup, security and disaster recovery technology consistent in all material respects with applicable regulatory standards and customary industry practices. To the knowledge of the Company, no third party has breached or compromised the integrity or security of the Company IT Systems in a manner which would reasonably be expected to have, individually or in the aggregate, a Material Adverse Effect. The Company makes no representation in this Section 2(aaa) regarding the computer systems, networks, hardware, software, databases, websites, and equipment used by the Company’s third party operators and managers.</w:t>
      </w:r>
      <w:r>
        <w:rPr>
          <w:rFonts w:ascii="Times New Roman" w:hAnsi="Times New Roman"/>
          <w:color w:val="000000"/>
          <w:sz w:val="20"/>
        </w:rPr>
        <w:t xml:space="preserve">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certificate signed by any officer of the Company or the Operating Partnership and delivered to the Agent, the Forward Seller or the Forward Purchaser, or to counsel for the Agent, the Forward Seller or the Forward Purchaser, in connection with this Agreement, any Forward Contract or any Terms Agreement shall be deemed a representation and warranty by the Company or the Operating Partnership, respectively, as to matters covered thereby, to the Agent, the Forward Seller and the Forward Purchaser.</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3.</w:t>
      </w:r>
    </w:p>
    <w:p>
      <w:pPr>
        <w:pStyle w:val="TextBody"/>
        <w:bidi w:val="0"/>
        <w:spacing w:before="0" w:after="240"/>
        <w:jc w:val="both"/>
        <w:rPr/>
      </w:pPr>
      <w:r>
        <w:rPr>
          <w:rFonts w:ascii="Times New Roman" w:hAnsi="Times New Roman"/>
          <w:color w:val="000000"/>
          <w:sz w:val="24"/>
          <w:u w:val="single"/>
        </w:rPr>
        <w:t>Placements; Sale and Delivery of Shares; Settlement</w:t>
      </w:r>
      <w:r>
        <w:rPr>
          <w:rFonts w:ascii="Times New Roman" w:hAnsi="Times New Roman"/>
          <w:color w:val="000000"/>
          <w:sz w:val="24"/>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rPr>
        <w:t>On any Trading Day during the Commitment Period on which (i) the conditions set forth in Section 6 have been satisfied and (ii) solely with respect to any Forward, no event described in clause (x) or clause (y) of the proviso set forth in the definition of a Forward Hedge Selling Period shall have occurred, the Company may (x) in the case of an Issuance, deliver a notice to the Agent for the issuance and sale of Shares hereunder (each, a “</w:t>
      </w:r>
      <w:r>
        <w:rPr>
          <w:rFonts w:ascii="Times New Roman" w:hAnsi="Times New Roman"/>
          <w:color w:val="000000"/>
          <w:sz w:val="24"/>
          <w:u w:val="single"/>
        </w:rPr>
        <w:t>Placement</w:t>
      </w:r>
      <w:r>
        <w:rPr>
          <w:color w:val="000000"/>
        </w:rPr>
        <w:t>”</w:t>
      </w:r>
      <w:r>
        <w:rPr>
          <w:rFonts w:ascii="Times New Roman" w:hAnsi="Times New Roman"/>
          <w:color w:val="000000"/>
          <w:sz w:val="24"/>
        </w:rPr>
        <w:t>), (y) in the case of a Non-Contingent Forward or a Contingent Forward, deliver a notice to the Forward Seller and the Forward Purchaser, in each case, subject to paragraph (d) below, in the form of an email (or other method mutually agreed to in writing by the parties) containing the parameters in accordance with which it desires the Shares to be sold, in each case which notice shall specify whether it relates to an “Issuance,” a “Non-Contingent Forward” or a “Contingent Forward” and shall include, in the case of a Placement or a Non-Contingent Forward, the maximum number of Shares to be sold (the “</w:t>
      </w:r>
      <w:r>
        <w:rPr>
          <w:rFonts w:ascii="Times New Roman" w:hAnsi="Times New Roman"/>
          <w:color w:val="000000"/>
          <w:sz w:val="24"/>
          <w:u w:val="single"/>
        </w:rPr>
        <w:t>Placement Shares</w:t>
      </w:r>
      <w:r>
        <w:rPr>
          <w:color w:val="000000"/>
        </w:rPr>
        <w:t>”</w:t>
      </w:r>
      <w:r>
        <w:rPr>
          <w:rFonts w:ascii="Times New Roman" w:hAnsi="Times New Roman"/>
          <w:color w:val="000000"/>
          <w:sz w:val="24"/>
        </w:rPr>
        <w:t>), the time period during which sales are requested to be made, any limitation on the number of Shares that may be sold in any one day, and any minimum price per Share below which sales may not be made or a formula pursuant to which such minimum price shall be determined, as applicable, and, with respect to any Non-Contingent Forward or Contingent Forward, the terms specified in the Placement Notice for such Non-Contingent Forward or Contingent Forward (a notice under either clause (x) or clause (y), a “</w:t>
      </w:r>
      <w:r>
        <w:rPr>
          <w:rFonts w:ascii="Times New Roman" w:hAnsi="Times New Roman"/>
          <w:color w:val="000000"/>
          <w:sz w:val="24"/>
          <w:u w:val="single"/>
        </w:rPr>
        <w:t>Placement Notice</w:t>
      </w:r>
      <w:r>
        <w:rPr>
          <w:color w:val="000000"/>
        </w:rPr>
        <w:t>”</w:t>
      </w:r>
      <w:r>
        <w:rPr>
          <w:rFonts w:ascii="Times New Roman" w:hAnsi="Times New Roman"/>
          <w:color w:val="000000"/>
          <w:sz w:val="24"/>
        </w:rPr>
        <w:t xml:space="preserve">), a form of which containing such necessary parameters is attached hereto as </w:t>
      </w:r>
      <w:r>
        <w:rPr>
          <w:rFonts w:ascii="Times New Roman" w:hAnsi="Times New Roman"/>
          <w:b/>
          <w:color w:val="000000"/>
          <w:sz w:val="24"/>
          <w:u w:val="single"/>
        </w:rPr>
        <w:t>Exhibit A</w:t>
      </w:r>
      <w:r>
        <w:rPr>
          <w:rFonts w:ascii="Times New Roman" w:hAnsi="Times New Roman"/>
          <w:color w:val="000000"/>
          <w:sz w:val="24"/>
        </w:rPr>
        <w:t xml:space="preserve">. The Placement Notice shall originate from any of the individuals from the Company set forth on </w:t>
      </w:r>
      <w:r>
        <w:rPr>
          <w:rFonts w:ascii="Times New Roman" w:hAnsi="Times New Roman"/>
          <w:b/>
          <w:color w:val="000000"/>
          <w:sz w:val="24"/>
          <w:u w:val="single"/>
        </w:rPr>
        <w:t>Exhibit B</w:t>
      </w:r>
      <w:r>
        <w:rPr>
          <w:color w:val="000000"/>
        </w:rPr>
        <w:t xml:space="preserve"> </w:t>
      </w:r>
      <w:r>
        <w:rPr>
          <w:rFonts w:ascii="Times New Roman" w:hAnsi="Times New Roman"/>
          <w:color w:val="000000"/>
          <w:sz w:val="24"/>
        </w:rPr>
        <w:t xml:space="preserve">(with a copy to each of the other individuals from the Company set forth on such exhibit) and shall be addressed to each of the individuals from the Agent or the Forward Seller and the Forward Purchaser set forth on </w:t>
      </w:r>
      <w:r>
        <w:rPr>
          <w:rFonts w:ascii="Times New Roman" w:hAnsi="Times New Roman"/>
          <w:b/>
          <w:color w:val="000000"/>
          <w:sz w:val="24"/>
          <w:u w:val="single"/>
        </w:rPr>
        <w:t>Exhibit B</w:t>
      </w:r>
      <w:r>
        <w:rPr>
          <w:rFonts w:ascii="Times New Roman" w:hAnsi="Times New Roman"/>
          <w:color w:val="000000"/>
          <w:sz w:val="24"/>
        </w:rPr>
        <w:t xml:space="preserve">, as such </w:t>
      </w:r>
      <w:r>
        <w:rPr>
          <w:rFonts w:ascii="Times New Roman" w:hAnsi="Times New Roman"/>
          <w:b/>
          <w:color w:val="000000"/>
          <w:sz w:val="24"/>
          <w:u w:val="single"/>
        </w:rPr>
        <w:t>Exhibit B</w:t>
      </w:r>
      <w:r>
        <w:rPr>
          <w:color w:val="000000"/>
        </w:rPr>
        <w:t xml:space="preserve"> </w:t>
      </w:r>
      <w:r>
        <w:rPr>
          <w:rFonts w:ascii="Times New Roman" w:hAnsi="Times New Roman"/>
          <w:color w:val="000000"/>
          <w:sz w:val="24"/>
        </w:rPr>
        <w:t>may be amended by written notice from the Company, the Agent, the Forward Seller or the Forward Purchaser, as the case may be, from time to time.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0"/>
        <w:jc w:val="both"/>
        <w:rPr/>
      </w:pPr>
      <w:r>
        <w:rPr>
          <w:rFonts w:ascii="Times New Roman" w:hAnsi="Times New Roman"/>
          <w:color w:val="000000"/>
          <w:sz w:val="24"/>
        </w:rPr>
        <w:t xml:space="preserve">With respect to a Placement Notice for a Non-Contingent Forward, if the Forward Seller and the Forward Purchaser wish to accept such proposed terms included in the Placement Notice (which they may decline to do for any reason in their sole discretion) or, following discussion with the Company, wish to accept amended terms, the Forward Seller and the Forward Purchaser will promptly, and in any event prior to 4:30 p.m. (New York City time) on the Business Day immediately following the Business Day on which such Placement Notice was delivered to the Forward Seller and the Forward Purchaser, issue to the Company a notice by email (or other method mutually agreed to in writing by the parties) addressed to all of the individuals from the Company and the Forward Seller and the Forward Purchaser set forth on </w:t>
      </w:r>
      <w:r>
        <w:rPr>
          <w:rFonts w:ascii="Times New Roman" w:hAnsi="Times New Roman"/>
          <w:b/>
          <w:color w:val="000000"/>
          <w:sz w:val="24"/>
          <w:u w:val="single"/>
        </w:rPr>
        <w:t>Exhibit B</w:t>
      </w:r>
      <w:r>
        <w:rPr>
          <w:rFonts w:ascii="Times New Roman" w:hAnsi="Times New Roman"/>
          <w:color w:val="000000"/>
          <w:sz w:val="24"/>
        </w:rPr>
        <w:t xml:space="preserve">, setting forth the terms that the Forward Seller and the Forward Purchaser are willing to accept. Where the terms provided in the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Placement Notice are amended as provided for in the immediately preceding sentence, such terms will not be binding on the Company or the Forward Seller and the Forward Purchaser until the Company delivers to the Forward Seller and the Forward Purchaser an acceptance by email (or other method mutually agreed to in writing by the parties) of all of the terms of such Placement Notice, as amended (an “</w:t>
      </w:r>
      <w:r>
        <w:rPr>
          <w:rFonts w:ascii="Times New Roman" w:hAnsi="Times New Roman"/>
          <w:color w:val="000000"/>
          <w:sz w:val="24"/>
          <w:u w:val="single"/>
        </w:rPr>
        <w:t>Acceptance</w:t>
      </w:r>
      <w:r>
        <w:rPr>
          <w:color w:val="000000"/>
        </w:rPr>
        <w:t>”</w:t>
      </w:r>
      <w:r>
        <w:rPr>
          <w:rFonts w:ascii="Times New Roman" w:hAnsi="Times New Roman"/>
          <w:color w:val="000000"/>
          <w:sz w:val="24"/>
        </w:rPr>
        <w:t xml:space="preserve">), which email shall be addressed to all of the individuals from the Company and the Forward Seller and the Forward Purchaser set forth on </w:t>
      </w:r>
      <w:r>
        <w:rPr>
          <w:rFonts w:ascii="Times New Roman" w:hAnsi="Times New Roman"/>
          <w:b/>
          <w:color w:val="000000"/>
          <w:sz w:val="24"/>
          <w:u w:val="single"/>
        </w:rPr>
        <w:t>Exhibit B</w:t>
      </w:r>
      <w:r>
        <w:rPr>
          <w:rFonts w:ascii="Times New Roman" w:hAnsi="Times New Roman"/>
          <w:color w:val="000000"/>
          <w:sz w:val="24"/>
        </w:rPr>
        <w:t>. The Placement Notice (as amended by the corresponding Acceptance, if applicable) shall be effective upon receipt by the Company of the Forward Seller’s and the Forward Purchaser’s acceptance of the terms of the Placement Notice or upon receipt by the Forward Seller and the Forward Purchaser of the Company’s Acceptance, as the case may be, unless and until (1) the entire amount of the Placement Shares has been sold, (2) in accordance with the notice requirements set forth herein, the Company terminates the Placement Notice, (3) the Company issues a subsequent Placement Notice with parameters superseding those on the earlier dated Placement Notice (as amended by the corresponding Acceptance, if applicable), (4) this Agreement has been terminated under the provisions of Section 6 or 8 or (5) any party shall have suspended the sale of the Placement Shares in accordance with Section 3(v) below. With respect to a Non-Contingent Forward, it is expressly acknowledged and agreed that the Company and the Forward Seller and the Forward Purchaser will have no obligation whatsoever with respect to a Placement or any Placement Shares unless and until the Company delivers a Placement Notice to the Forward Seller and the Forward Purchaser and either (x) the Forward Seller and the Forward Purchaser accept the terms of such Placement Notice or (y) where the terms of such Placement Notice are amended by the Forward Seller or the Forward Purchaser, the Company accepts such amended terms by means of an Acceptance pursuant to the terms set forth above, and then only upon the terms specified in the Placement Notice (as amended by the corresponding Acceptance, if applicable), this Agreement and the applicable Master Forward Confirmation. In the event of a conflict between the terms of this Agreement and the terms of a Placement Notice with respect to a Non-Contingent Forward (as amended by the corresponding Acceptance, if applicable), the terms of such Placement Notice (as amended by the corresponding Acceptance, if applicable) will control.</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With respect to a Placement Notice for a Contingent Forward, the Contingent Forward Purchaser (acting in its sole discretion), if it wishes to do so, may quote, on the same Trading Day such Placement Notice is received, non-binding, indicative terms of such Contingent Forward, including the reference price, initial forward price, contingency premium, expected initial delta, maximum number of Shares underlying such Contingent Forward, contingency expiration schedule and any other relevant term (a “</w:t>
      </w:r>
      <w:r>
        <w:rPr>
          <w:rFonts w:ascii="Times New Roman" w:hAnsi="Times New Roman"/>
          <w:color w:val="000000"/>
          <w:sz w:val="24"/>
          <w:u w:val="single"/>
        </w:rPr>
        <w:t>Contingent Forward Quote</w:t>
      </w:r>
      <w:r>
        <w:rPr>
          <w:color w:val="000000"/>
        </w:rPr>
        <w:t>”</w:t>
      </w:r>
      <w:r>
        <w:rPr>
          <w:rFonts w:ascii="Times New Roman" w:hAnsi="Times New Roman"/>
          <w:color w:val="000000"/>
          <w:sz w:val="24"/>
        </w:rPr>
        <w:t xml:space="preserve">), in which case the Company (acting in its sole discretion), if it wishes to do so, may accept such terms proposed in such Contingent Forward Quote (as modified by agreement between the parties prior to such acceptance) by email notice (or other method mutually agreed to in writing by the Company and such Forward Purchaser) to such Forward Purchaser, and such Forward Purchaser (acting in its sole discretion), if it wishes to do so, may acknowledge such acceptance by email notice (or other method mutually agreed to in writing by the Company and such Forward Purchaser). A Placement Notice so accepted by the Company and acknowledged by such Forward Purchaser shall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deemed to constitute a Placement Notice and Acceptance for purposes of this Agreement, and the transaction resulting from such Acceptance shall be deemed to constitute a Forward for purposes of this Agreement.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(i) No Placement Notice may be delivered hereunder other than on a Trading Day during the Commitment Period, (ii) no Placement Notice may be delivered hereunder if the Selling Period specified therein would overlap in whole or in part with any Selling Period specified in any other Placement Notice (as amended by the corresponding Acceptance in the case of a Non-Contingent Forward or Contingent Forward, if applicable) delivered hereunder unless the Shares to be sold under all such previously delivered Placement Notices have all been sold, (iii) no Placement Notice may be delivered hereunder if any Selling Period specified therein would overlap in whole or in part with any Unwind Period under (and as defined in) any Forward Contract entered into between the Company and the Forward Purchaser and (iv) no Placement Notice specifying that it relates to a “Non-Contingent Forward” or a “Contingent Forward” may be delivered if such Placement Notice, together with all prior Placement Notices (as amended by the corresponding Acceptance in the case of a Non-Contingent Forward or Contingent Forward, if applicable) delivered by the Company relating to a “Non-Contingent Forward” or a “Contingent Forward” hereunder or any “Forward” under any Separate Distribution Agreements, would result in the sum of the number of Shares issued under all Forward Contracts (entered into in connection with any Distribution Agreements) that have settled, plus the aggregate Capped Number under all Forward Contracts (entered into in connection with any Distribution Agreements) then outstanding or to be entered into between the Company and the Forward Purchaser (or any forward purchaser in connection with any Separate Distribution Agreement) exceeding 19.99% of the number of shares of Common Stock outstanding as of the date of this Agreement.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color w:val="000000"/>
          <w:sz w:val="24"/>
        </w:rPr>
        <w:t xml:space="preserve">Notwithstanding any other provision of this Agreement, any notice required to be delivered with respect to an Issuance by the Company or an Agent pursuant to this Section 3 may be delivered by telephone (confirmed promptly by facsimile, email or other method mutually agreed to in writing by the parties, addressed to all of the individuals from the Company and such Agent set forth on </w:t>
      </w:r>
      <w:r>
        <w:rPr>
          <w:rFonts w:ascii="Times New Roman" w:hAnsi="Times New Roman"/>
          <w:b/>
          <w:color w:val="000000"/>
          <w:sz w:val="24"/>
          <w:u w:val="single"/>
        </w:rPr>
        <w:t>Exhibit B</w:t>
      </w:r>
      <w:r>
        <w:rPr>
          <w:color w:val="000000"/>
        </w:rPr>
        <w:t xml:space="preserve"> </w:t>
      </w:r>
      <w:r>
        <w:rPr>
          <w:rFonts w:ascii="Times New Roman" w:hAnsi="Times New Roman"/>
          <w:color w:val="000000"/>
          <w:sz w:val="24"/>
        </w:rPr>
        <w:t xml:space="preserve">(as such </w:t>
      </w:r>
      <w:r>
        <w:rPr>
          <w:rFonts w:ascii="Times New Roman" w:hAnsi="Times New Roman"/>
          <w:b/>
          <w:color w:val="000000"/>
          <w:sz w:val="24"/>
          <w:u w:val="single"/>
        </w:rPr>
        <w:t>Exhibit B</w:t>
      </w:r>
      <w:r>
        <w:rPr>
          <w:color w:val="000000"/>
        </w:rPr>
        <w:t xml:space="preserve"> </w:t>
      </w:r>
      <w:r>
        <w:rPr>
          <w:rFonts w:ascii="Times New Roman" w:hAnsi="Times New Roman"/>
          <w:color w:val="000000"/>
          <w:sz w:val="24"/>
        </w:rPr>
        <w:t>may be amended from time to time), which confirmation will be promptly acknowledged by the receiving party) or other method mutually agreed to in writing by the parties. Any Placement Notice for purposes of an Issuance can be provided in accordance with this Section 3(d).</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0"/>
        <w:jc w:val="both"/>
        <w:rPr/>
      </w:pPr>
      <w:r>
        <w:rPr>
          <w:rFonts w:ascii="Times New Roman" w:hAnsi="Times New Roman"/>
          <w:color w:val="000000"/>
          <w:sz w:val="24"/>
        </w:rPr>
        <w:t xml:space="preserve">Subject to the provisions of Section 3(n), upon the delivery of a Placement Notice to the Agent with respect to an Issuance, the Agent will use its commercially reasonable efforts, consistent with its normal trading and sales practices and applicable state and federal laws, rules and regulations and the rules of the NYSE, to sell the Issuance Shares up to the amount specified in and otherwise in accordance with the terms of such Placement Notice. The Agent will provide written confirmation by email (or other method mutually agreed to in writing by the Company) to all of the individuals at the Company set forth on </w:t>
      </w:r>
      <w:r>
        <w:rPr>
          <w:rFonts w:ascii="Times New Roman" w:hAnsi="Times New Roman"/>
          <w:b/>
          <w:color w:val="000000"/>
          <w:sz w:val="24"/>
          <w:u w:val="single"/>
        </w:rPr>
        <w:t>Exhibit B</w:t>
      </w:r>
      <w:r>
        <w:rPr>
          <w:color w:val="000000"/>
        </w:rPr>
        <w:t xml:space="preserve"> </w:t>
      </w:r>
      <w:r>
        <w:rPr>
          <w:rFonts w:ascii="Times New Roman" w:hAnsi="Times New Roman"/>
          <w:color w:val="000000"/>
          <w:sz w:val="24"/>
        </w:rPr>
        <w:t xml:space="preserve">(as such </w:t>
      </w:r>
      <w:r>
        <w:rPr>
          <w:rFonts w:ascii="Times New Roman" w:hAnsi="Times New Roman"/>
          <w:b/>
          <w:color w:val="000000"/>
          <w:sz w:val="24"/>
          <w:u w:val="single"/>
        </w:rPr>
        <w:t>Exhibit B</w:t>
      </w:r>
      <w:r>
        <w:rPr>
          <w:color w:val="000000"/>
        </w:rPr>
        <w:t xml:space="preserve"> </w:t>
      </w:r>
      <w:r>
        <w:rPr>
          <w:rFonts w:ascii="Times New Roman" w:hAnsi="Times New Roman"/>
          <w:color w:val="000000"/>
          <w:sz w:val="24"/>
        </w:rPr>
        <w:t xml:space="preserve">may be amended from time to time) no later than the opening of the Trading Day immediately following each Trading Day on which it has made sales of Issuance Shares hereunder setting forth the number of Issuance Shares sold on such day, the corresponding Sales Price, the compensation payable by the Company to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 xml:space="preserve">the Agent pursuant to this Section 3(e) with respect to such sales, and the Net Proceeds (as defined in Section 3(o)) payable to the Company, with an itemization of the deductions made by the Agent (as set forth in Section 3(o)) from the Gross Proceeds (as defined in Section 3(o)) (prior to deductions for transaction fees) that it receives from such sales. The amount of any commission, discount or other compensation to be paid by the Company to the Agent, when the Agent is acting as agent, in connection with the sale of the Issuance Shares shall be determined in accordance with the terms set forth on </w:t>
      </w:r>
      <w:r>
        <w:rPr>
          <w:rFonts w:ascii="Times New Roman" w:hAnsi="Times New Roman"/>
          <w:b/>
          <w:color w:val="000000"/>
          <w:sz w:val="24"/>
          <w:u w:val="single"/>
        </w:rPr>
        <w:t>Exhibit C</w:t>
      </w:r>
      <w:r>
        <w:rPr>
          <w:rFonts w:ascii="Times New Roman" w:hAnsi="Times New Roman"/>
          <w:color w:val="000000"/>
          <w:sz w:val="24"/>
        </w:rPr>
        <w:t>. The amount of any commission, discount or other compensation to be paid by the Company to the Agent, when the Agent is acting as principal, in connection with the sale of the Shares shall be as separately agreed in writing among the relevant parties hereto at the time of any such sales.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pPr>
      <w:r>
        <w:rPr>
          <w:rFonts w:ascii="Times New Roman" w:hAnsi="Times New Roman"/>
          <w:color w:val="000000"/>
          <w:sz w:val="24"/>
        </w:rPr>
        <w:t xml:space="preserve">Subject to the provisions of Section 3(q) and the applicable Forward Contract, upon the delivery of a Placement Notice (as amended by the corresponding Acceptance, if applicable) specifying that it relates to a “Non-Contingent Forward” or a “Contingent Forward,” the Forward Purchaser will use its commercially reasonable efforts to borrow or cause its affiliate to borrow, offer and sell Forward Hedge Shares through the Forward Seller to hedge the Forward, and the Forward Seller will use its commercially reasonable efforts consistent with its normal trading and sales practices to sell such Forward Hedge Shares up to, in the case of a Non-Contingent Forward, the Forward Hedge Amount specified in such Placement Notice (as amended by the corresponding Acceptance, if applicable) or, in the case of a Contingent Forward, the agreed maximum number of Shares underlying such Contingent Forward, and otherwise in accordance with the terms of such Placement Notice (as amended by the corresponding Acceptance, if applicable) and the applicable Forward Contract. The Forward Seller will provide written confirmation by email (or other method mutually agreed to in writing by the parties) to all of the individuals from the Company set forth on </w:t>
      </w:r>
      <w:r>
        <w:rPr>
          <w:rFonts w:ascii="Times New Roman" w:hAnsi="Times New Roman"/>
          <w:b/>
          <w:color w:val="000000"/>
          <w:sz w:val="24"/>
          <w:u w:val="single"/>
        </w:rPr>
        <w:t>Exhibit B</w:t>
      </w:r>
      <w:r>
        <w:rPr>
          <w:color w:val="000000"/>
        </w:rPr>
        <w:t xml:space="preserve"> </w:t>
      </w:r>
      <w:r>
        <w:rPr>
          <w:rFonts w:ascii="Times New Roman" w:hAnsi="Times New Roman"/>
          <w:color w:val="000000"/>
          <w:sz w:val="24"/>
        </w:rPr>
        <w:t xml:space="preserve">(as such </w:t>
      </w:r>
      <w:r>
        <w:rPr>
          <w:rFonts w:ascii="Times New Roman" w:hAnsi="Times New Roman"/>
          <w:b/>
          <w:color w:val="000000"/>
          <w:sz w:val="24"/>
          <w:u w:val="single"/>
        </w:rPr>
        <w:t>Exhibit B</w:t>
      </w:r>
      <w:r>
        <w:rPr>
          <w:color w:val="000000"/>
        </w:rPr>
        <w:t xml:space="preserve"> </w:t>
      </w:r>
      <w:r>
        <w:rPr>
          <w:rFonts w:ascii="Times New Roman" w:hAnsi="Times New Roman"/>
          <w:color w:val="000000"/>
          <w:sz w:val="24"/>
        </w:rPr>
        <w:t>may be amended from time to time) and to the Forward Purchaser no later than the opening of the Trading Day immediately following each Trading Day on which it has made sales of Forward Hedge Shares hereunder setting forth the number of Forward Hedge Shares sold on such day, the Forward Hedge Selling Commission in respect of such Forward Hedge Shares, the corresponding Sales Price and the Aggregate Forward Hedge Price payable to the Forward Purchaser in respect thereof.</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No later than the opening of the Trading Day immediately following the last Trading Day of each Forward Hedge Selling Period (or, if earlier, no later than the opening of the Trading Day immediately following the date on which any Forward Hedge Selling Period is suspended or terminated pursuant to Section 3(v) or the Forward Contract or this Agreement is terminated pursuant to Section 6 or Section 8 hereof), the Forward Purchaser shall execute and deliver to the Company a “Supplemental Confirmation” in respect of the Forward for such Forward Hedge Selling Period. In the case of a Non-Contingent Forward, such “Supplemental Confirmation” shall set forth the “Trade Date” for such Forward (which shall, subject to the terms of the applicable Master Forward Confirmation, be the last Trading Day of such Forward Hedge Selling Period), the “Effective Date” for such Forward (which shall, subject to the terms of the applicable Master Forward Confirmation, be the date one Settlement Cycle (as such term is defined in the applicable Master Forward Confirmation) immediately following the last Trading Day of such Forward Hedge Selling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Period), the initial “Number of Shares” for such Forward (which shall be the Actual Sold Forward Amount for such Forward Hedge Selling Period), the “Maturity Date” for such Forward (which shall, subject to the terms of the applicable Master Forward Confirmation, be the date set forth opposite the caption “Maturity Date” in the Placement Notice (as amended by the corresponding Acceptance, if applicable) for such Forward), the “Initial Forward Price” for such Forward, the “Spread” for such Forward (as set forth in the related Placement Notice (as amended by the corresponding Acceptance, if applicable)), the “Volume-Weighted Hedge Price” for such Forward, the “Threshold Price” for such Forward, the “Initial Stock Loan Rate” for such Forward (as set forth in the related Placement Notice (as amended by the corresponding Acceptance, if applicable)), the “Maximum Stock Loan Rate” for such Forward (as set forth in the related Placement Notice (as amended by the corresponding Acceptance, if applicable)), the “Forward Price Reduction Dates” for such Forward (which shall be each of the dates set forth below the caption “Forward Price Reduction Dates” in the Placement Notice (as amended by the corresponding Acceptance, if applicable) for such Forward) and the “Forward Price Reduction Amounts” corresponding to such Forward Price Reduction Dates (which shall be each amount set forth opposite each “Forward Price Reduction Date” and below the caption “Forward Price Reduction Amounts” in the Placement Notice (as amended by the corresponding Acceptance, if applicable) for such Forward) and the “Regular Dividend Amounts” for such Forward (which shall be each of the amount(s) set forth below the caption “Regular Dividend Amounts” in the Placement Notice (as amended by the corresponding Acceptance, if applicable) for such Forward). In the case of a Contingent Forward, such “Supplemental Confirmation” shall set forth the terms based on the agreed terms set forth in the related Acceptance.</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herein to the contrary, the Forward Purchaser’s obligation to use its commercially reasonable efforts to borrow or cause its affiliate to borrow all or any portion of the Forward Hedge Shares (and the Forward Seller’s obligation to use its commercially reasonable efforts consistent with its normal trading and sales practices to sell such portion of the Forward Hedge Shares) for any Forward hereunder in accordance with the terms of the relevant Placement Notice (as amended by the corresponding Acceptance, if applicable) shall be subject in all respects to the terms and conditions of the applicable Forward Contract, including, in the case of a Contingent Forward, the limitations applicable to contingent forward transactions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Under no circumstances shall the number and aggregate amount of the Shares sold pursuant to this Agreement and any Terms Agreement, together with all sales of Shares under each of the Separate Distribution Agreements (including any terms agreements thereunder) exceed (i) the Maximum Program Amount or (ii) the number and aggregate amount of the Shares authorized from time to time to be issued and sold under this Agreement and each Separate Distribution Agreement by the Board, or a duly authorized committee thereof, and notified to the Agent or the Forward Seller, as applicable,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agrees that any offer to sell, any solicitation of an offer to buy or any sales of Shares shall be effected by or through only one Agent, Forward Seller or Alternative Sales Agent on any single given day, and the Company shall in no event request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allow more than one Agent, Forward Seller or Alternative Sales Agent to sell Shares on the same day. In addition, the Company agrees that it will not sell, or instruct any other party to sell, any shares of Common Stock under any other sales agency agreements or other similar arrangements on such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party to this Agreement has reason to believe that the exemptive provisions set forth in Rule 101(c)(1) of Regulation M under the Exchange Act are not satisfied with respect to the Company or the Shares, it shall promptly notify every other party to this Agreement and sales of the Shares under this Agreement, any Terms Agreement, any Separate Distribution Agreement (including any terms agreement pursuant thereto) or any Forward Contract (including under any Separate Distribution Agreement) shall be suspended until that or other exemptive provisions have been satisfied in the judgment of each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other provision of this Agreement the Company shall not request the sale of any Shares that would be sold, and the Agent and the Forward Seller shall not be obligated to sell, during any period in which the Company is, or could be deemed to be, in possession of material non-public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rPr>
        <w:t>If the Company wishes to issue and sell the Shares pursuant to this Agreement through a Principal Transaction, it shall notify the Agent of the proposed terms of such Principal Transaction. If the Agent, acting as principal, wishes to accept such proposed terms (which it may decline to do for any reason in its sole discretion) or, following discussions with the Company wishes to accept amended terms, the Agent and the Company will enter into a Terms Agreement setting forth the terms of such Principal Transaction. The terms set forth in a Terms Agreement will not be binding on the Company or the Agent unless and until the Company and the Agent have each executed such Terms Agreement accepting all of the terms of such Terms Agreement. A Terms Agreement may specify certain provisions relating to the reoffering of such Shares by the Agent. The commitment of the Agent to purchase the Shares pursuant to any Terms Agreement shall be deemed to have been made on the basis of the representations and warranties of the Company herein contained and shall be subject to the terms and conditions herein set forth. Each Terms Agreement shall specify the number of the Shares to be purchased by the Agent pursuant thereto, the price to be paid to the Company for such Shares, any provisions relating to rights of, and default by, underwriters acting together with the Agent in the reoffering of the Shares, and the time and date (each such time and date being referred to herein as a “</w:t>
      </w:r>
      <w:r>
        <w:rPr>
          <w:rFonts w:ascii="Times New Roman" w:hAnsi="Times New Roman"/>
          <w:color w:val="000000"/>
          <w:sz w:val="24"/>
          <w:u w:val="single"/>
        </w:rPr>
        <w:t>Time of Delivery</w:t>
      </w:r>
      <w:r>
        <w:rPr>
          <w:color w:val="000000"/>
        </w:rPr>
        <w:t>”</w:t>
      </w:r>
      <w:r>
        <w:rPr>
          <w:rFonts w:ascii="Times New Roman" w:hAnsi="Times New Roman"/>
          <w:color w:val="000000"/>
          <w:sz w:val="24"/>
        </w:rPr>
        <w:t>) and place of delivery of and payment for such Shares. Such Terms Agreement shall also specify any requirements for opinions of counsel, accountants’ letters and officers’ certificates pursuant to Section 6 of this Agreement and any other information or documents required by the Agent. In the event of a conflict between the terms of this Agreement and the terms of a Terms Agreement, the terms of such Terms Agreement will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the basis of the representations and warranties herein contained and subject to the terms and conditions herein set forth, upon the Agent’s receipt of a Placement Notice specifying that it relates to an “Issuance,” and unless the sale of the Issuance Shares described therein has been suspended or otherwise terminated in accordance with the terms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this Agreement, the Agent, for the period specified in the Placement Notice will use its commercially reasonable efforts consistent with its normal trading and sales practices to sell such Issuance Shares up to the amount specified in, and otherwise in accordance with the terms of, such Placement Notice. The Company acknowledges and agrees that (i) there can be no assurance that the Agent will be successful in selling Issuance Shares, (ii) no Agent will incur any liability or obligation to the Company or any other person or entity if it does not sell Issuance Shares for any reason other than a failure by the Agent to use its commercially reasonable efforts consistent with its normal trading and sales practices and applicable law and regulations to sell such Issuance Shares as required under this Agreement and (iii) no Agent shall be under any obligation to purchase Issuance Shares on a principal basis pursuant to this Agreement, except as otherwise agreed by the Agent in a Terms Agreement and subject to Section 3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rFonts w:ascii="Times New Roman" w:hAnsi="Times New Roman"/>
          <w:color w:val="000000"/>
          <w:sz w:val="24"/>
        </w:rPr>
        <w:t>On each Issuance Settlement Date, the Shares sold through or to the Agent for settlement on such date shall be delivered by the Company to the Agent against payment of (i) the Net Proceeds from the sale of such Shares or (ii) as mutually agreed between the Company and the Agent, the Gross Proceeds from the sale of such Shares. The gross proceeds to the Company (the “</w:t>
      </w:r>
      <w:r>
        <w:rPr>
          <w:rFonts w:ascii="Times New Roman" w:hAnsi="Times New Roman"/>
          <w:color w:val="000000"/>
          <w:sz w:val="24"/>
          <w:u w:val="single"/>
        </w:rPr>
        <w:t>Gross Proceeds</w:t>
      </w:r>
      <w:r>
        <w:rPr>
          <w:color w:val="000000"/>
        </w:rPr>
        <w:t>”</w:t>
      </w:r>
      <w:r>
        <w:rPr>
          <w:rFonts w:ascii="Times New Roman" w:hAnsi="Times New Roman"/>
          <w:color w:val="000000"/>
          <w:sz w:val="24"/>
        </w:rPr>
        <w:t>) shall be equal to the aggregate offering price received by the Agent at which such Shares were sold. The net proceeds to the Company (the “</w:t>
      </w:r>
      <w:r>
        <w:rPr>
          <w:rFonts w:ascii="Times New Roman" w:hAnsi="Times New Roman"/>
          <w:color w:val="000000"/>
          <w:sz w:val="24"/>
          <w:u w:val="single"/>
        </w:rPr>
        <w:t>Net Proceeds</w:t>
      </w:r>
      <w:r>
        <w:rPr>
          <w:color w:val="000000"/>
        </w:rPr>
        <w:t>”</w:t>
      </w:r>
      <w:r>
        <w:rPr>
          <w:rFonts w:ascii="Times New Roman" w:hAnsi="Times New Roman"/>
          <w:color w:val="000000"/>
          <w:sz w:val="24"/>
        </w:rPr>
        <w:t xml:space="preserve">) shall be equal to the Gross Proceeds less (x) the Agent’s commission, discount or other compensation payable by the Company pursuant to Section 3 or pursuant to the relevant Terms Agreement and (y) any transaction fees imposed by any governmental or self-regulatory organization in respect of such sales;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color w:val="000000"/>
        </w:rPr>
        <w:t xml:space="preserve"> </w:t>
      </w:r>
      <w:r>
        <w:rPr>
          <w:rFonts w:ascii="Times New Roman" w:hAnsi="Times New Roman"/>
          <w:color w:val="000000"/>
          <w:sz w:val="24"/>
        </w:rPr>
        <w:t>that, with respect to clause (y), the Agent shall notify the Company as promptly as practicable if any such deduction will be required. In the event the Company and the Agent have mutually agreed to the delivery of Gross Proceeds at an Issuance Settlement Date, the Agent’s commission, discount or other compensation for such sales payable by the Company pursuant to Section 3 hereof or pursuant to the relevant Terms Agreement and any transaction fees imposed by any governmental or self-regulatory organization in respect of such sales shall be set forth and invoiced in a periodic statement from the Agent to the Company, payment to be made by the Company promptly after its receipt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or before each Issuance Settlement Date, the Company will, or will cause its transfer agent to, electronically transfer the Issuance Shares being sold by crediting the Agent’s or its designee’s account (provided the Agent shall have given the Company written notice of such designee prior to the Issuance Settlement Date) at The Depository Trust Company through its Deposit and Withdrawal at Custodian System or by such other means of delivery as may be mutually agreed upon by the relevant parties hereto which in all cases shall be freely tradable, transferable, registered shares in good deliverable form. On each Issuance Settlement Date, the Agent will deliver the related Net Proceeds or Gross Proceeds, as applicable, in same day funds to an account designated by the Company prior to the Issuance Settlement Date. The Company agrees that if the Company, or its transfer agent (if applicable), defaults in its obligation to deliver Issuance Shares on an Issuance Settlement Date, the Company agrees that in addition to and in no way limiting the rights and obligations set forth in Section 7 hereof, it will (i) hold the Agent harmless against any loss, claim, damage, or expense (including reasonable legal fees and expenses), as incurred, arising out of or in connection with such default by the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or its transfer agent (if applicable) and (ii) pay to the Agent any commission, discount, or other compensation to which it would otherwise have been entitled absent such default.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basis of the representations and warranties herein contained and subject to the terms and conditions in this Agreement and the applicable Forward Contract, upon the Forward Purchaser’s and the Forward Seller’s acceptance of the terms of a Placement Notice specifying that it relates to a “Non-Contingent Forward” or a “Contingent Forward” or upon receipt by the Forward Purchaser and the Forward Seller of an Acceptance, as the case may be, and unless the sale of the Forward Hedge Shares described therein has been declined, suspended, or otherwise terminated in accordance with the terms of this Agreement or the applicable Forward Contract, the Forward Purchaser will use its commercially reasonable efforts to borrow or cause its affiliate to borrow a number of Forward Hedge Shares sufficient, in the case of a Non-Contingent Forward, to have an aggregate Sales Price as close as reasonably practicable to, the Forward Hedge Amount specified in the Placement Notice (as amended by the corresponding Acceptance, if applicable) or, in the case of a Contingent Forward, to equal the agreed maximum number of Shares underlying such Contingent Forward, and the Forward Seller will use its commercially reasonable efforts consistent with its normal trading and sales practices to sell such Forward Hedge Shares and otherwise in accordance with the terms of such Placement Notice (as amended by the corresponding Acceptance, if applicable). Each of the Company and the Forward Purchaser acknowledges and agrees that (i) there can be no assurance that the Forward Purchaser or its affiliate will be successful in borrowing or that the Forward Seller will be successful in selling Forward Hedge Shares, (ii) the Forward Seller will not incur any liability or obligation to the Company, the Forward Purchaser, or any other person or entity if it does not sell Forward Hedge Shares borrowed by the Forward Purchaser or its affiliate for any reason other than a failure by the Forward Seller to use its commercially reasonable efforts consistent with its normal trading and sales practices to sell such Forward Hedge Shares as required under this Section 3, and (iii) the Forward Purchaser will not incur any liability or obligation to the Company, the Forward Seller, or any other person or entity if it or its affiliate does not borrow Forward Hedge Shares for any reason other than a failure by the Forward Purchaser to use its commercially reasonable efforts to borrow or cause its affiliate to borrow such Forward Hedge Shares as required under this Section 3. In acting hereunder, the Forward Seller will be acting as an agent for the Forward Purchaser and not as principal.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or before each Forward Hedge Settlement Date, the Forward Purchaser will, or will cause its transfer agent to, electronically transfer the Forward Hedge Shares being sold by crediting the Forward Seller or its designee’s account (provided the Forward Seller shall have given the Forward Purchaser written notice of such designee prior to the Forward Hedge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Forward Hedge Settlement Date, the Forward Seller will deliver the related Aggregate Forward Hedge Price to the Forward Purchaser in same day funds to an account designated by the Forward Purchaser prior to the relevant Forward Hedge Settlement Date.</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Shares shall be in such denominations and registered in such names as the Agent or the Forward Seller, as applicable, may request in writing at least one full Business Day before the Settlement Date. The Company or the Forward Purchaser, as applicable, shall deliver the Shares through the facilities of The Depository Trust Company as described in the preceding paragraphs unless the Agent or the Forward Seller, as applicable, shall otherwise instruct.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Shares may be offered and sold by any method permitted by law deemed to be an “at the market” offering as defined in Rule 415 under the Act, including without limitation sales made directly on the NYSE, on any other existing trading market for the Common Stock or to or through a market maker, or subject to the terms of the Placement Notice (as amended by the corresponding Acceptance in the case of a Non-Contingent Forward or Contingent Forward, if applicable), by any other method permitted by law, including but not limited to, privately negotiated transactions, which may include block trades.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rPr>
        <w:t>Notwithstanding any other provision of this Agreement, the Company shall not offer, sell or deliver, or request the offer or sale of, any Shares and, by notice to the Agent (in the case of an Issuance) or the Forward Seller and the Forward Purchaser (in the case of a Forward) given in writing (including by email correspondence or any other method mutually agreed to in writing by the parties), shall cancel any instructions for the offer or sale of any Shares, and none of the Agent, the Forward Seller or the Forward Purchaser, as the case may be, shall be obligated to offer or sell any Shares (i) at any time during the period commencing on and including the fifth Business Day prior to the time the Company issues a press release containing, or shall otherwise publicly announce, its earnings, revenues or other operating results for a fiscal period or periods (each, an “</w:t>
      </w:r>
      <w:r>
        <w:rPr>
          <w:rFonts w:ascii="Times New Roman" w:hAnsi="Times New Roman"/>
          <w:color w:val="000000"/>
          <w:sz w:val="24"/>
          <w:u w:val="single"/>
        </w:rPr>
        <w:t>Earnings Announcement</w:t>
      </w:r>
      <w:r>
        <w:rPr>
          <w:color w:val="000000"/>
        </w:rPr>
        <w:t>”</w:t>
      </w:r>
      <w:r>
        <w:rPr>
          <w:rFonts w:ascii="Times New Roman" w:hAnsi="Times New Roman"/>
          <w:color w:val="000000"/>
          <w:sz w:val="24"/>
        </w:rPr>
        <w:t>) through and including the time that is 24 hours after the time that the Company publicly issues such Earnings Announcement (the “</w:t>
      </w:r>
      <w:r>
        <w:rPr>
          <w:rFonts w:ascii="Times New Roman" w:hAnsi="Times New Roman"/>
          <w:color w:val="000000"/>
          <w:sz w:val="24"/>
          <w:u w:val="single"/>
        </w:rPr>
        <w:t>Issuance Time</w:t>
      </w:r>
      <w:r>
        <w:rPr>
          <w:color w:val="000000"/>
        </w:rPr>
        <w:t>”</w:t>
      </w:r>
      <w:r>
        <w:rPr>
          <w:rFonts w:ascii="Times New Roman" w:hAnsi="Times New Roman"/>
          <w:color w:val="000000"/>
          <w:sz w:val="24"/>
        </w:rPr>
        <w:t xml:space="preserve">) or (ii) during any other period in which the Company is, or could be deemed to be, in possession of material non-public information;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unless otherwise agreed between the Company and the Agent, the Forward Seller or the Forward Purchaser, as the case may be, for purposes of clause (i) above, such period shall be deemed to end at the relevant Issuance Time or Forward Hedge Selling Period,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rFonts w:ascii="Times New Roman" w:hAnsi="Times New Roman"/>
          <w:color w:val="000000"/>
          <w:sz w:val="24"/>
        </w:rPr>
        <w:t xml:space="preserve">The Company, the Agent, the Forward Seller or the Forward Purchaser may, upon notice to the other parties in writing (including by email correspondence or any other method mutually agreed to in writing by the parties) to each of the individuals of the other party set forth on </w:t>
      </w:r>
      <w:r>
        <w:rPr>
          <w:rFonts w:ascii="Times New Roman" w:hAnsi="Times New Roman"/>
          <w:b/>
          <w:color w:val="000000"/>
          <w:sz w:val="24"/>
          <w:u w:val="single"/>
        </w:rPr>
        <w:t>Exhibit B</w:t>
      </w:r>
      <w:r>
        <w:rPr>
          <w:color w:val="000000"/>
        </w:rPr>
        <w:t xml:space="preserve"> </w:t>
      </w:r>
      <w:r>
        <w:rPr>
          <w:rFonts w:ascii="Times New Roman" w:hAnsi="Times New Roman"/>
          <w:color w:val="000000"/>
          <w:sz w:val="24"/>
        </w:rPr>
        <w:t xml:space="preserve">(as such </w:t>
      </w:r>
      <w:r>
        <w:rPr>
          <w:rFonts w:ascii="Times New Roman" w:hAnsi="Times New Roman"/>
          <w:b/>
          <w:color w:val="000000"/>
          <w:sz w:val="24"/>
          <w:u w:val="single"/>
        </w:rPr>
        <w:t>Exhibit B</w:t>
      </w:r>
      <w:r>
        <w:rPr>
          <w:color w:val="000000"/>
        </w:rPr>
        <w:t xml:space="preserve"> </w:t>
      </w:r>
      <w:r>
        <w:rPr>
          <w:rFonts w:ascii="Times New Roman" w:hAnsi="Times New Roman"/>
          <w:color w:val="000000"/>
          <w:sz w:val="24"/>
        </w:rPr>
        <w:t xml:space="preserve">may be amended from time to time), suspend any sale of Shares and the applicable Selling Period shall immediately terminate;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such suspension and termination shall not affect or impair any party’s obligations with respect to any Shares sold hereunder prior to the receipt of such notice (including, in the case of any Forward Hedge Shares, the obligation to enter into the resulting Forward Contract). The Company agrees that no such notice shall be effective against the Agent, the Forward Seller or the Forward Purchaser unless it is made to one of the individuals named on </w:t>
      </w:r>
      <w:r>
        <w:rPr>
          <w:rFonts w:ascii="Times New Roman" w:hAnsi="Times New Roman"/>
          <w:b/>
          <w:color w:val="000000"/>
          <w:sz w:val="24"/>
          <w:u w:val="single"/>
        </w:rPr>
        <w:t>Exhibit B</w:t>
      </w:r>
      <w:r>
        <w:rPr>
          <w:color w:val="000000"/>
        </w:rPr>
        <w:t xml:space="preserve"> </w:t>
      </w:r>
      <w:r>
        <w:rPr>
          <w:rFonts w:ascii="Times New Roman" w:hAnsi="Times New Roman"/>
          <w:color w:val="000000"/>
          <w:sz w:val="24"/>
        </w:rPr>
        <w:t xml:space="preserve">(as such </w:t>
      </w:r>
      <w:r>
        <w:rPr>
          <w:rFonts w:ascii="Times New Roman" w:hAnsi="Times New Roman"/>
          <w:b/>
          <w:color w:val="000000"/>
          <w:sz w:val="24"/>
          <w:u w:val="single"/>
        </w:rPr>
        <w:t>Exhibit B</w:t>
      </w:r>
      <w:r>
        <w:rPr>
          <w:color w:val="000000"/>
        </w:rPr>
        <w:t xml:space="preserve"> </w:t>
      </w:r>
      <w:r>
        <w:rPr>
          <w:rFonts w:ascii="Times New Roman" w:hAnsi="Times New Roman"/>
          <w:color w:val="000000"/>
          <w:sz w:val="24"/>
        </w:rPr>
        <w:t xml:space="preserve">may be amended from time to time);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failure by the Company to deliver such notice shall in no way affect its right to suspend the sale of Shares hereunder. The Agent, the Forward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Seller and the Forward Purchaser agree that no such notice shall be effective against the Company unless it is made to one of the individuals named on </w:t>
      </w:r>
      <w:r>
        <w:rPr>
          <w:rFonts w:ascii="Times New Roman" w:hAnsi="Times New Roman"/>
          <w:b/>
          <w:color w:val="000000"/>
          <w:sz w:val="24"/>
          <w:u w:val="single"/>
        </w:rPr>
        <w:t>Exhibit B</w:t>
      </w:r>
      <w:r>
        <w:rPr>
          <w:color w:val="000000"/>
        </w:rPr>
        <w:t xml:space="preserve"> </w:t>
      </w:r>
      <w:r>
        <w:rPr>
          <w:rFonts w:ascii="Times New Roman" w:hAnsi="Times New Roman"/>
          <w:color w:val="000000"/>
          <w:sz w:val="24"/>
        </w:rPr>
        <w:t xml:space="preserve">(as such </w:t>
      </w:r>
      <w:r>
        <w:rPr>
          <w:rFonts w:ascii="Times New Roman" w:hAnsi="Times New Roman"/>
          <w:b/>
          <w:color w:val="000000"/>
          <w:sz w:val="24"/>
          <w:u w:val="single"/>
        </w:rPr>
        <w:t>Exhibit B</w:t>
      </w:r>
      <w:r>
        <w:rPr>
          <w:color w:val="000000"/>
        </w:rPr>
        <w:t xml:space="preserve"> </w:t>
      </w:r>
      <w:r>
        <w:rPr>
          <w:rFonts w:ascii="Times New Roman" w:hAnsi="Times New Roman"/>
          <w:color w:val="000000"/>
          <w:sz w:val="24"/>
        </w:rPr>
        <w:t xml:space="preserve">may be amended from time to time);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failure by the Agent, the Forward Seller or the Forward Purchaser to deliver such notice shall in no way affect such party’s right to suspend the sale of Shares hereunder.</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4.</w:t>
      </w:r>
    </w:p>
    <w:p>
      <w:pPr>
        <w:pStyle w:val="TextBody"/>
        <w:bidi w:val="0"/>
        <w:spacing w:before="0" w:after="240"/>
        <w:jc w:val="both"/>
        <w:rPr/>
      </w:pPr>
      <w:r>
        <w:rPr>
          <w:rFonts w:ascii="Times New Roman" w:hAnsi="Times New Roman"/>
          <w:color w:val="000000"/>
          <w:sz w:val="24"/>
          <w:u w:val="single"/>
        </w:rPr>
        <w:t>Agreements</w:t>
      </w:r>
      <w:r>
        <w:rPr>
          <w:rFonts w:ascii="Times New Roman" w:hAnsi="Times New Roman"/>
          <w:color w:val="000000"/>
          <w:sz w:val="24"/>
        </w:rPr>
        <w:t>. The Company covenants with each of the Agent, the Forward Seller and the Forward Purchaser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During any period when the delivery of a prospectus relating to the Shares is required (including in circumstances where such requirement may be satisfied pursuant to Rule 172) to be delivered under the Act in connection with the offering or sale of the Shares, the Company will not file any amendment of the Registration Statement or supplement related to the offering or sale of the Shares (including the Prospectus Supplement) to the Base Prospectus (excluding any documents incorporated by reference therein) or any Rule 462(b) Registration Statement unless the Company has furnished to the Agent, the Forward Seller and the Forward Purchaser a copy of such amendment or supplement for its review prior to filing and will not file any such proposed amendment or supplement to which the Agent, the Forward Seller or the Forward Purchaser reasonably objects. The Company has properly prepared the Prospectus Supplement, in a form approved by the Agent, the Forward Seller and the Forward Purchaser, and will file such Prospectus Supplement with the Commission pursuant to the applicable paragraph of Rule 424(b) on the date of this Agreement and will cause any supplement to the Prospectus to be properly completed, in a form approved by the Agent, the Forward Seller and the Forward Purchaser, and will file such supplement with the Commission pursuant to the applicable paragraph of Rule 424(b) within the time period prescribed thereby and will provide evidence satisfactory to the Agent, the Forward Seller and the Forward Purchaser of such timely filing. The Company will promptly advise the Agent, the Forward Seller and the Forward Purchaser (i) when the Prospectus, and any supplement thereto, shall have been filed (if required) with the Commission pursuant to Rule 424(b) or when any Rule 462(b) Registration Statement shall have been filed with the Commission, (ii) when, during any period when the delivery of a prospectus (whether physically or through compliance with Rule 172 or any similar rule) is required under the Act in connection with the offering or sale of the Shares, any amendment to the Registration Statement related to the offering and sale of the Shares shall have been filed or become effective (other than any documents incorporated by reference therein),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reasonable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filing an amendment to the Registration Statement or a new registration statement and using its reasonable best efforts to have such amendment or new registration statement declared effective as soon as practicable.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at any time on or after an Applicable Time but prior to the related Settlement Date or Time of Delivery,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Agent, the Forward Seller and the Forward Purchaser so that any use of the Disclosure Package may cease until it is amended or supplemented; (ii) amend or supplement the Disclosure Package to correct such statement or omission; and (iii) supply any amendment or supplement to the Agent, the Forward Seller and the Forward Purchaser in such quantities as the Agent, the Forward Seller and the Forward Purchaser may reasonably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During any period when the delivery of a prospectus relating to the Shares is required (including in circumstances where such requirement may be satisfied pursuant to Rule 172) to be delivered under the Act, any event occurs as a result of which the Prospectus as then supplemented would include any untrue statement of a material fact or omit to state any material fact necessary in order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 (i) notify the Agent, the Forward Seller and the Forward Purchaser of any such event, (ii) prepare and file with the Commission, subject to the second sentence of paragraph (a) of this Section 4, an amendment or supplement or new registration statement which will correct such statement or omission or effect such compliance, (iii) use its reasonable best efforts to have any amendment to the Registration Statement or new registration statement declared effective as soon as practicable in order to avoid any disruption in use of the Prospectus and (iv) supply any supplemented Prospectus to the Agent, the Forward Seller and the Forward Purchaser in such quantities as the Agent, the Forward Seller or the Forward Purchaser may reasonably request.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soon as practicable, the Company will make generally available to its security holders and to the Agent, the Forward Seller and the Forward Purchaser an earnings statement or statements of the Company and its subsidiaries which will satisfy the provisions of Section 11(a) of the Act and Rule 158.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will furnish to the Agent, the Forward Seller and the Forward Purchaser and counsel for the Agent, the Forward Seller and the Forward Purchaser, without charge, signed copies of the Registration Statement (including exhibits thereto) and, so long as delivery of a prospectus by the Agent, the Forward Seller, the Forward Purchaser or dealer may be required by the Act (including in circumstances where such requirement may be satisfied pursuant to Rule 172), as many copies of the Prospectus and each Issuer Free Writing Prospectus and any supplement thereto as the Agent, the Forward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Seller or the Forward Purchaser may reasonably request. The Company will pay the expenses of printing or other production of all documents relating to the offering.</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 xml:space="preserve">The Company will use its commercially reasonable efforts to arrange, if necessary, for the qualification of the Shares for sale under the laws of such jurisdictions as the Agent, the Forward Seller or the Forward Purchaser may designate and will maintain such qualifications in effect so long as required for the distribution of the Shares;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in no event shall the Company be obligated to qualify to do business in any jurisdiction where it is not now so qualified or to take any action that would subject it to service of process in suits, other than those arising out of the offering or sale of the Shares, or subject it or its subsidiaries to taxation, in each case, in any jurisdiction where it is not now so subject.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rPr>
        <w:t xml:space="preserve">The Company agrees that, unless it has or shall have obtained the prior written consent of the Agent or the Forward Seller, as applicable, and the Agent or the Forward Seller, as applicable, agrees with the Company that, unless it has or shall have obtained, as the case may be, the prior written consent of the Company, it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prior written consent of the parties hereto shall be deemed to have been given in respect of the Free Writing Prospectuses included in </w:t>
      </w:r>
      <w:r>
        <w:rPr>
          <w:rFonts w:ascii="Times New Roman" w:hAnsi="Times New Roman"/>
          <w:b/>
          <w:color w:val="000000"/>
          <w:sz w:val="24"/>
          <w:u w:val="single"/>
        </w:rPr>
        <w:t>Schedule I</w:t>
      </w:r>
      <w:r>
        <w:rPr>
          <w:color w:val="000000"/>
        </w:rPr>
        <w:t xml:space="preserve"> </w:t>
      </w:r>
      <w:r>
        <w:rPr>
          <w:rFonts w:ascii="Times New Roman" w:hAnsi="Times New Roman"/>
          <w:color w:val="000000"/>
          <w:sz w:val="24"/>
        </w:rPr>
        <w:t>hereto. Any such free writing prospectus consented to by the Agent or the Forward Seller, as applicable, or the Company, as the case may be, is hereinafter referred to as a “</w:t>
      </w:r>
      <w:r>
        <w:rPr>
          <w:rFonts w:ascii="Times New Roman" w:hAnsi="Times New Roman"/>
          <w:color w:val="000000"/>
          <w:sz w:val="24"/>
          <w:u w:val="single"/>
        </w:rPr>
        <w:t>Permitted Free Writing Prospectus</w:t>
      </w:r>
      <w:r>
        <w:rPr>
          <w:rFonts w:ascii="Times New Roman" w:hAnsi="Times New Roman"/>
          <w:color w:val="000000"/>
          <w:sz w:val="24"/>
        </w:rPr>
        <w:t xml:space="preserve">.” The Company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 keeping.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rPr>
        <w:t xml:space="preserve">During any period beginning on the date the Company delivers a Placement Notice and ending on the earlier of (i) the applicable Settlement Date related to such Placement Notice or (ii) the earlier withdrawal by the Company or rejection by the Agent or the Forward Seller of such Placement Notice, the Company will not offer, sell, contract to sell, pledge, or otherwise dispose of any other shares of Common Stock (other than Shares offered pursuant to the provisions of this Agreement) or any securities convertible into, or exercisable, or exchangeable for, shares of Common Stock; or publicly announce an intention to effect any such transaction without (i) giving the Agent, the Forward Seller and the Forward Purchaser at least three Business Days’ prior written notice specifying the nature of the proposed transaction and the date of such proposed transaction and (ii) the Agent, the Forward Seller and the Forward Purchaser suspending acting under this Agreement for such period of time requested by the Company or as deemed appropriate by the Agent, the Forward Seller and the Forward Purchaser in light of the proposed transaction;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Company may issue and sell Common Stock pursuant to this Agreement and any Terms Agreement, any Separate Distribution Agreement and any terms agreement pursuant thereto and any employee stock option plan,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stock ownership plan or dividend reinvestment plan of the Company and the Company may issue Common Stock issuable upon the conversion of securities of the Company or the Operating Partnership or the exercise of warrants; and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foregoing shall not be applicable if the Company has provided notice to the Agent, the Forward Seller and the Forward Purchaser of a suspension of sales hereunder pursuant to Section 3(v)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Company nor the Operating Partnership will (i)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Shares nor (ii) sell, bid for, purchase or pay any person (other than as contemplated by this Agreement, any Terms Agreement or any Separate Distribution Agreement and any terms agreement pursuant thereto) any compensation for soliciting purchases of the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will, at any time during the term of this Agreement, as supplemented from time to time, advise the Agent, the Forward Seller and the Forward Purchaser immediately after it shall have received notice or obtain knowledge thereof, of any information or fact that would alter or affect any opinion, certificate, letter and other document provided to the Agent, the Forward Seller or the Forward Purchaser pursuant to Section 6 herein.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rPr>
        <w:t xml:space="preserve">Upon commencement of the offering of the Shares under this Agreement or any Separate Distribution Agreement (and upon the recommencement of the offering of the Shares under this Agreement or any Separate Distribution Agreement following the termination of a suspension of sales hereunder or thereunder, as applicable), and each time that (i) the Registration Statement or the Prospectus shall be amended or supplemented (other than a prospectus supplement relating solely to the offering of securities other than the Shares), (ii) there is filed with the Commission an Annual Report on Form 10-K, a Quarterly Report on Form 10-Q, and any Current Report on Form 8-K that files financial statements that are incorporated by reference into the Registration Statement (other than, for the avoidance of doubt, all financial information “furnished” to the Commission pursuant to Item 2.02 or 7.01 of Form 8-K), (iii) the Company delivers Shares to the Agent as principal at the Time of Delivery pursuant to a Terms Agreement, or (iv) otherwise as the Agent may reasonably request;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each such date referred to in (i) and (ii) above may be a date within three (3) Business Days of such event or such later date as may be mutually agreed upon by the Company and the Agent, the Forward Seller and the Forward Purchaser, in each case so long as no Shares are to be offered or sold until such date or such later date, as applicable (such commencement or recommencement date and each such date referred to in (i), (ii), (iii) and (iv) above, a “</w:t>
      </w:r>
      <w:r>
        <w:rPr>
          <w:rFonts w:ascii="Times New Roman" w:hAnsi="Times New Roman"/>
          <w:color w:val="000000"/>
          <w:sz w:val="24"/>
          <w:u w:val="single"/>
        </w:rPr>
        <w:t>Representation Date</w:t>
      </w:r>
      <w:r>
        <w:rPr>
          <w:color w:val="000000"/>
        </w:rPr>
        <w:t>”</w:t>
      </w:r>
      <w:r>
        <w:rPr>
          <w:rFonts w:ascii="Times New Roman" w:hAnsi="Times New Roman"/>
          <w:color w:val="000000"/>
          <w:sz w:val="24"/>
        </w:rPr>
        <w:t xml:space="preserve">), the Company shall furnish or cause to be furnished to the Agent, the Forward Seller and the Forward Purchaser forthwith a certificate dated and delivered on the date of such Representation Date, in a form reasonably satisfactory to the Agent, the Forward Seller and the Forward Purchaser to the effect that the statements contained in the certificate referred to in this Section 4(k) and Section 6(d) of this Agreement which were last furnished to the Agent, the Forward Seller and the Forward Purchaser are true and correct at the time of such Representation Date, as though made at and as of such time (except that such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statements shall be deemed to relate to the Registration Statement and the Prospectus as amended and supplemented to such time) or, in lieu of such certificate, a certificate of the same tenor as the certificate referred to in said Section 6(d), modified as necessary to relate to the Registration Statement and the Prospectus as amended and supplemented to the time of delivery of such certificate. The requirement to provide a certificate under this Section 4(k) and the requirements of Section 4(l) through 4(p) shall be waived for any Representation Date occurring at a time at which no Placement Notice pursuant to Section 3 has been delivered by the Company or is pending, which waiver shall continue until the date the Company instructs the Agent or the Forward Seller to sell Shares pursuant to Section 3 (such date shall be considered a Representation Date),</w:t>
      </w:r>
      <w:r>
        <w:rPr>
          <w:color w:val="000000"/>
          <w:u w:val="single"/>
        </w:rPr>
        <w:t xml:space="preserv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no Shares are to be offered or sold until all deliverables required pursuant to this Section 4 and Section 6 are made.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rPr>
        <w:t>At each Representation Date, the Company shall furnish or cause to be furnished forthwith to the Agent, the Forward Seller and the Forward Purchaser and to counsel to the Agent, the Forward Seller and the Forward Purchaser a written opinion of Goodwin Procter LLP, counsel to the Company (“</w:t>
      </w:r>
      <w:r>
        <w:rPr>
          <w:rFonts w:ascii="Times New Roman" w:hAnsi="Times New Roman"/>
          <w:color w:val="000000"/>
          <w:sz w:val="24"/>
          <w:u w:val="single"/>
        </w:rPr>
        <w:t>Company Counsel</w:t>
      </w:r>
      <w:r>
        <w:rPr>
          <w:color w:val="000000"/>
        </w:rPr>
        <w:t>”</w:t>
      </w:r>
      <w:r>
        <w:rPr>
          <w:rFonts w:ascii="Times New Roman" w:hAnsi="Times New Roman"/>
          <w:color w:val="000000"/>
          <w:sz w:val="24"/>
        </w:rPr>
        <w:t xml:space="preserve">) or such other counsel reasonably satisfactory to the Agent, the Forward Seller and the Forward Purchaser, each dated and delivered on such Representation Date, in form and substance satisfactory to the Agent, the Forward Seller and the Forward Purchaser, of the same tenor as the opinions referred to in Section 6(b) of this Agreement, but modified as necessary to relate to the Registration Statement and the Prospectus as amended and supplemented to the time of delivery of such opinion.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At each Representation Date, Skadden, Arps, Slate, Meagher &amp; Flom LLP, counsel to the Agent, the Forward Seller and the Forward Purchaser, shall deliver a written opinion, dated and delivered on such Representation Date, in form and substance satisfactory to the Agent, the Forward Seller and the Forward Purchaser, of the same tenor as the opinions referred to in Section 6(c) of this Agreement but modified as necessary to relate to the Registration Statement and the Prospectus as amended and supplemented to the time of delivery of such opinion.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rPr>
        <w:t>At each Representation Date, the Company shall cause PricewaterhouseCoopers LLP (the “</w:t>
      </w:r>
      <w:r>
        <w:rPr>
          <w:rFonts w:ascii="Times New Roman" w:hAnsi="Times New Roman"/>
          <w:color w:val="000000"/>
          <w:sz w:val="24"/>
          <w:u w:val="single"/>
        </w:rPr>
        <w:t>Accountants</w:t>
      </w:r>
      <w:r>
        <w:rPr>
          <w:color w:val="000000"/>
        </w:rPr>
        <w:t>”</w:t>
      </w:r>
      <w:r>
        <w:rPr>
          <w:rFonts w:ascii="Times New Roman" w:hAnsi="Times New Roman"/>
          <w:color w:val="000000"/>
          <w:sz w:val="24"/>
        </w:rPr>
        <w:t>), or other independent accountants reasonably satisfactory to the Agent, the Forward Seller and the Forward Purchaser forthwith, to furnish the Agent, the Forward Seller and the Forward Purchaser a letter, dated on such Representation Date, in form satisfactory to the Agent, the Forward Seller and the Forward Purchaser, of the same tenor as the letter referred to in Section 6(e) of this Agreement but modified to relate to the Registration Statement and the Prospectus, as amended and supplemented to the date of such letter.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rPr>
        <w:t>At each Representation Date, the Company will conduct</w:t>
      </w:r>
      <w:r>
        <w:rPr>
          <w:color w:val="000000"/>
        </w:rPr>
        <w:t xml:space="preserve"> </w:t>
      </w:r>
      <w:r>
        <w:rPr>
          <w:rFonts w:ascii="Times New Roman" w:hAnsi="Times New Roman"/>
          <w:color w:val="000000"/>
          <w:sz w:val="24"/>
        </w:rPr>
        <w:t xml:space="preserve">a due diligence session, in form and substance satisfactory to the Agent, the Forward Seller and the Forward Purchaser, which shall include representatives of the management and the independent accountants of the Company. The Company shall cooperate timely with any reasonable due diligence request from or review conducted by the Agent, the Forward Seller or the Forward Purchaser, or their respective agents, from time to time in connection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with the transactions contemplated by this Agreement, including, without limitation, providing information and available documents and access to appropriate corporate officers and the Company’s agents during regular business hours and at the Company’s principal offices, and timely furnishing or causing to be furnished such certificates, letters and opinions from the Company, its officers and its agents, as the Agent, the Forward Seller and the Forward Purchaser may reasonably request.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rFonts w:ascii="Times New Roman" w:hAnsi="Times New Roman"/>
          <w:color w:val="000000"/>
          <w:sz w:val="24"/>
        </w:rPr>
        <w:t xml:space="preserve">At each Representation Date, the Company shall furnish or cause to be furnished to the Agent, the Forward Seller and the Forward Purchaser forthwith a certificate substantially in the form of </w:t>
      </w:r>
      <w:r>
        <w:rPr>
          <w:rFonts w:ascii="Times New Roman" w:hAnsi="Times New Roman"/>
          <w:b/>
          <w:color w:val="000000"/>
          <w:sz w:val="24"/>
          <w:u w:val="single"/>
        </w:rPr>
        <w:t>Annex II</w:t>
      </w:r>
      <w:r>
        <w:rPr>
          <w:color w:val="000000"/>
        </w:rPr>
        <w:t xml:space="preserve"> </w:t>
      </w:r>
      <w:r>
        <w:rPr>
          <w:rFonts w:ascii="Times New Roman" w:hAnsi="Times New Roman"/>
          <w:color w:val="000000"/>
          <w:sz w:val="24"/>
        </w:rPr>
        <w:t xml:space="preserve">hereto dated and delivered the date of such Representation Date, in form satisfactory to the Agent, the Forward Seller and the Forward Purchaser to the effect that the statements contained in such are true and correct at the time of such Representation Date, as though made at and as of such time.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consents to the Agent, the Forward Seller and the Forward Purchaser trading in the Common Stock for their respective accounts and for the accounts of their respective clients at the same time as sales of the Shares occur pursuant to this Agreement, any Terms Agreement or any Separate Distribution Agreement (including any terms agreement pursuant thereto).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will disclose in its Annual Reports on Form 10-K and Quarterly Reports on Form 10-Q, as applicable, the number of Shares sold under this Agreement and under each Separate Distribution Agreement and the Net Proceeds to the Company with respect to sales of Shares pursuant to this Agreement and each Separate Distribution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to the knowledge of the Company, the conditions set forth in Section 6(a) or 6(g) shall not be true and correct on the applicable Settlement Date, the Company will offer to any person who has agreed to purchase Shares from the Company as the result of an offer to purchase solicited by the Agent or the Forward Seller the right to refuse to purchase and pay for such Shares.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acceptance by the Company of an offer to purchase the Shares hereunder by an Agent acting as principal, and each execution and delivery by the Company of a Terms Agreement, shall be deemed to be an affirmation to the Agent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to relate to the Registration Statement and the Prospectus as amended and supplemented relating to such Shares).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ensure that there are at all times sufficient shares of Common Stock to provide for the issuance, free of any preemptive rights, out of its authorized but unissued shares of Common Stock, of the maximum aggregate number of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Shares authorized for issuance by the Board pursuant to the terms of this Agreement, any Forward Contract and any Separate Distribution Agreement (and any Forward Contract in connection therewith). During any Selling Period or period in which the Prospectus relating to the Shares is required to be delivered by the Agent, the Forward Seller or the Forward Purchaser under the Act with respect to a pending sale of the Shares (including in circumstances where such requirement may be satisfied pursuant to Rule 172 under the Act), the Company will use its commercially reasonable efforts to cause the relevant Shares to be listed on the NYSE, subject to official notice of issuance.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During any period when the delivery of a prospectus relating to the Shares is required (including in circumstances where such requirement may be satisfied pursuant to Rule 172) to be delivered under the Act, the Company will file all documents required to be filed with the Commission pursuant to the Exchange Act within the time periods required by the Exchange Act and the regulations thereunder.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cooperate with the Agent, the Forward Seller and the Forward Purchaser and use its reasonable efforts to permit the Shares to be eligible for clearance and settlement through the facilities of DTC.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will apply the Net Proceeds from the sale of the Shares in the manner set forth in the Prospectus.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promptly notify the Agent, the Forward Seller and any agent or forward seller under any Separate Distribution Agreement when the Maximum Program Amount has been sold pursuant to the Distribution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use commercially reasonable efforts to continue to qualify for taxation as a REIT under the Code unless the Board of Directors of the Company determines that it is no longer in the best interests of the Company to continue to qualify as a REIT.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pPr>
      <w:r>
        <w:rPr>
          <w:rFonts w:ascii="Times New Roman" w:hAnsi="Times New Roman"/>
          <w:color w:val="000000"/>
          <w:sz w:val="24"/>
        </w:rPr>
        <w:t xml:space="preserve">The Company and the Operating Partnership each acknowledge and agree that the Agent, the Forward Seller and the Forward Purchaser have informed the Company that the Agent, the Forward Seller and the Forward Purchaser may purchase and sell shares of Common Stock for their own account while this Agreement (or any Separate Distribution Agreement) is in effect to the extent permitted under the Act and the Exchange Act;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such trading does not violate any applicable laws, including applicable federal and state securities laws and all rules and regulations promulgated thereunder. The Company shall not be deemed to have authorized or consented to any such purchases or sales by the Agent, the Forward Seller or the Forward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During any Forward Hedge Selling Period, the Company shall provide the Agent, the Forward Seller and the Forward Purchaser notice as promptly as reasonably possible (and, in any event, at least three (3) Business Days) before it offers to sell, contracts to sell, sells, grants any option to sell or otherwise disposes of any shares of Common Stock (other than Shares offered pursuant to the provisions of this Agreement) or securities convertible into or exchangeable for Common Stock, warrants or any rights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to purchase or acquire Common Stock; </w:t>
      </w:r>
      <w:r>
        <w:rPr>
          <w:rFonts w:ascii="Times New Roman" w:hAnsi="Times New Roman"/>
          <w:color w:val="000000"/>
          <w:sz w:val="24"/>
          <w:u w:val="single"/>
        </w:rPr>
        <w:t>provided</w:t>
      </w:r>
      <w:r>
        <w:rPr>
          <w:rFonts w:ascii="Times New Roman" w:hAnsi="Times New Roman"/>
          <w:color w:val="000000"/>
          <w:sz w:val="24"/>
        </w:rPr>
        <w:t>, that such notice shall not be required in connection with (i) the issuance, grant or sale of Common Stock, options to purchase Common Stock or Common Stock issuable upon the exercise of options or other equity awards pursuant to any stock option, stock bonus or other stock or compensatory plan or arrangement described in the Prospectus, (ii) the issuance of securities in connection with an acquisition, merger or sale or purchase of assets described in the Prospectus, (iii) the issuance or sale of Common Stock pursuant to any dividend reinvestment plan that the Company may adopt from time to time provided the implementation of such is disclosed to the Agent, the Forward Seller and the Forward Purchaser in advance, (iv) the establishment of a trading plan pursuant to Rule 10b5-1 under the Exchange Act for the transfer of shares of Common Stock, provided the implementation of such is disclosed to the Agent, the Forward Seller and the Forward Purchaser in advance or (v) any shares of Common Stock issuable upon the exchange, conversion, or redemption of securities, including, but not limited to, operating partnership units in the Operating Partnership, as to which the Company is the general partner, or the exercise of warrants, options or other rights in effect or outstanding. To the extent requested in writing by the Company, the Agent, the Forward Seller and the Forward Purchaser shall keep notices provided under this Section 4(bb) confidential. In connection with entering into any Contingent Forward, the Company shall provide such additional notices and information, and shall comply with such limitations on overlapping unwind periods and other forward transactions, as are set forth in the applicable Forward Contract.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entering into any Forward, neither the Company nor any of its affiliates will acquire any long position (either directly or indirectly, including through a derivative transaction) with respect to shares of Common Stock.</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5.</w:t>
      </w:r>
    </w:p>
    <w:p>
      <w:pPr>
        <w:pStyle w:val="TextBody"/>
        <w:bidi w:val="0"/>
        <w:spacing w:before="0" w:after="240"/>
        <w:jc w:val="both"/>
        <w:rPr/>
      </w:pPr>
      <w:r>
        <w:rPr>
          <w:rFonts w:ascii="Times New Roman" w:hAnsi="Times New Roman"/>
          <w:color w:val="000000"/>
          <w:sz w:val="24"/>
          <w:u w:val="single"/>
        </w:rPr>
        <w:t>Payment of Expenses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and the Operating Partnership agree to pay the costs and expenses incident to the performance of their obligations under this Agreement, any Terms Agreement and any Forward Contract, whether or not the transactions contemplated hereby are consummated, including without limitation: (i) the preparation, printing or reproduction and filing with the Commission of the Registration Statement (including financial statements and exhibits thereto), the Prospectus and each Issuer Free Writing Prospectus, and each amendment or supplement to any of them; (ii) the printing (or reproduction) and delivery (including postage, air freight charges and charges for counting and packaging) of such copies of the Registration Statement, the Prospectus, and each Issuer Free Writing Prospectus, and all amendments or supplements to any of them,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of the Shares; (iv) the printing (or reproduction) and delivery of this Agreement, any blue sky memorandum and all other agreements or documents printed (or reproduced) and delivered in connection with the offering of the Shares; (v) the registration of the Shares under the Exchange Act and the listing of the Shares on NYSE; (vi) any registration or qualification of the Shares for offer and sale under the securities or blue sky laws of the several states (including filing fees and the reasonable fees and expenses of counsel for the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Agent, the Forward Seller, the Forward Purchaser and the Alternative Sales Agents relating to such registration and qualification, up to an aggregate $10,000); (vii) any filings required to be made with FINRA (including filing fees and the reasonable fees and expenses of counsel for the Agent, the Forward Seller, the Forward Purchaser and the Alternative Sales Agents (up to an aggregate $10,000 relating to such filings); (viii) the transportation and other expenses incurred by or on behalf of Company representatives in connection with presentations to prospective purchasers of the Shares (except that the cost of any aircraft chartered for use in such presentations shall be split evenly between the Company, on the one hand, and the Agent, the Forward Seller and the Forward Purchaser, collectively, on the other hand); (ix) the fees and expenses of the Company’s accountants and the fees and expenses of counsel (including local and special counsel) for the Company; (x) the fees and expenses of any transfer agent or register for the Shares and (xi) all other costs and expenses incident to the performance by the Company of its obligations hereunder;</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If an aggregate number of shares having at least an aggregate offering price of $10,000,000 have not been offered and sold under the Distribution Agreements by the eighteen month anniversary of the date of this Agreement (the “</w:t>
      </w:r>
      <w:r>
        <w:rPr>
          <w:rFonts w:ascii="Times New Roman" w:hAnsi="Times New Roman"/>
          <w:color w:val="000000"/>
          <w:sz w:val="24"/>
          <w:u w:val="single"/>
        </w:rPr>
        <w:t>Determination Date</w:t>
      </w:r>
      <w:r>
        <w:rPr>
          <w:color w:val="000000"/>
        </w:rPr>
        <w:t>”</w:t>
      </w:r>
      <w:r>
        <w:rPr>
          <w:rFonts w:ascii="Times New Roman" w:hAnsi="Times New Roman"/>
          <w:color w:val="000000"/>
          <w:sz w:val="24"/>
        </w:rPr>
        <w:t>), the Company shall reimburse the Agent, the Forward Seller, the Forward Purchaser and the Alternative Sales Agents for all of their reasonable documented out-of-pocket expenses, including the reasonable fees, disbursements and expenses of counsel for the Agent, the Forward Seller, the Forward Purchaser and the Alternative Sales Agents in connection with this Agreement and the Registration Statement and ongoing services in connection with the transactions contemplated hereunder of the Agent, the Forward Seller and the Forward Purchaser, incurred by them in connection with the offering contemplated by the Distribution Agreements (collectively, the “</w:t>
      </w:r>
      <w:r>
        <w:rPr>
          <w:rFonts w:ascii="Times New Roman" w:hAnsi="Times New Roman"/>
          <w:color w:val="000000"/>
          <w:sz w:val="24"/>
          <w:u w:val="single"/>
        </w:rPr>
        <w:t>Expenses</w:t>
      </w:r>
      <w:r>
        <w:rPr>
          <w:color w:val="00000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Company shall not be required to reimburse the Agent, the Forward Seller and the Forward Purchaser or any Alternative Sales Agents pursuant to this Section 5(b) for their Expenses in excess of $100,000 in the aggregate. The Expenses shall be due and payable by the Company to the Agent, the Forward Seller, the Forward Purchaser and each Alternative Sales Agent within sixty (60) days of the Determination Date. The Agent, the Forward Seller, the Forward Purchaser and the Alternative Sales Agents shall be solely responsible for allocating any fees received pursuant to this Section 5(b) among themselves. Except as expressly set forth in Section 5(a) or this Section 5(b), the Company shall not be responsible for any out-of-pocket or other expenses of the Agent, the Forward Seller and the Forward Purchaser in connection with the transactions contemplated by this Agreement.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6.</w:t>
      </w:r>
    </w:p>
    <w:p>
      <w:pPr>
        <w:pStyle w:val="TextBody"/>
        <w:bidi w:val="0"/>
        <w:spacing w:before="0" w:after="240"/>
        <w:jc w:val="both"/>
        <w:rPr/>
      </w:pPr>
      <w:r>
        <w:rPr>
          <w:rFonts w:ascii="Times New Roman" w:hAnsi="Times New Roman"/>
          <w:color w:val="000000"/>
          <w:sz w:val="24"/>
          <w:u w:val="single"/>
        </w:rPr>
        <w:t>Conditions to the Obligations of the Agent, the Forward Seller and the Forward Purchaser</w:t>
      </w:r>
      <w:r>
        <w:rPr>
          <w:rFonts w:ascii="Times New Roman" w:hAnsi="Times New Roman"/>
          <w:color w:val="000000"/>
          <w:sz w:val="24"/>
        </w:rPr>
        <w:t>. The obligations of the Agent and the Forward Seller hereunder with respect to a Placement, the obligations of the Forward Purchaser hereunder with respect to the borrowing of Forward Hedge Shares in connection with a Placement and the obligations of the Agent under any Term Agreement shall be subject to (i) the accuracy of the representations and warranties on the part of the Company and the Operating Partnership contained herein as of the date of this Agreement or the Execution Time, as applicable, each Representation Date, and as of each Applicable Time, Settlement Date and Time of Delivery, (ii) the performance by the Company and the Operating Partnership of their obligations hereunder and (iii) the following additional conditions:</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filed with the Commission the Prospectus on or prior to the date of this Agreement and any subsequent Base Prospectus or Prospectus Supplement prior to each Applicable Time and related Settlement Date, as applicable, in each case in the manner and within the time period required by Rule 424(b) with respect to any sale of Shares;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The Company shall have requested and caused Company Counsel to furnish to the Agent, the Forward Seller and the Forward Purchaser, on every date specified in Section 4(l) of this Agreement, opinions collectively covering the opinions the form of which are attached as </w:t>
      </w:r>
      <w:r>
        <w:rPr>
          <w:rFonts w:ascii="Times New Roman" w:hAnsi="Times New Roman"/>
          <w:b/>
          <w:color w:val="000000"/>
          <w:sz w:val="24"/>
          <w:u w:val="single"/>
        </w:rPr>
        <w:t>Exhibit D</w:t>
      </w:r>
      <w:r>
        <w:rPr>
          <w:rFonts w:ascii="Times New Roman" w:hAnsi="Times New Roman"/>
          <w:color w:val="000000"/>
          <w:sz w:val="24"/>
        </w:rPr>
        <w:t xml:space="preserve">, dated as of such date and addressed to the Agent, the Forward Seller and the Forward Purchaser, as applicable. The Company shall have requested and caused Company Counsel, to furnish to the Agent, the Forward Seller and the Forward Purchaser, on every date specified in Section 4(l) of this Agreement, tax opinions, collectively covering the opinions the form of which are attached as </w:t>
      </w:r>
      <w:r>
        <w:rPr>
          <w:rFonts w:ascii="Times New Roman" w:hAnsi="Times New Roman"/>
          <w:b/>
          <w:color w:val="000000"/>
          <w:sz w:val="24"/>
          <w:u w:val="single"/>
        </w:rPr>
        <w:t>Exhibit E</w:t>
      </w:r>
      <w:r>
        <w:rPr>
          <w:rFonts w:ascii="Times New Roman" w:hAnsi="Times New Roman"/>
          <w:color w:val="000000"/>
          <w:sz w:val="24"/>
        </w:rPr>
        <w:t>, dated as of such date and addressed to the Agent, the Forward Seller and the Forward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Agent, the Forward Seller and the Forward Purchaser shall have received from Skadden, Arps, Slate, Meagher &amp; Flom LLP, counsel for the Agent, the Forward Seller and the Forward Purchaser, on every date specified in Section 4(m) of this Agreement, such opinion or opinions, dated as of such date and addressed to the Agent, the Forward Seller and the Forward Purchaser, with respect to the issuance and sale of the Shares, the Registration Statement, the Disclosure Package, the Prospectus (together with any supplement thereto) and other related matters as the Agent, the Forward Seller and the Forward Purchaser may reasonably require, and the Company and the Operating Partnership shall have furnished to such counsel such documents as they reasonably request for the purpose of enabling them to pass upon such matters.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furnished or caused to be furnished to the Agent, the Forward Seller and the Forward Purchaser, on every date specified in Section 4(k) of this Agreement, a certificate of the Company and the Operating Partnership, signed by the Chief Executive Officer and the principal financial or accounting officer of the Company and the general partner of the Operating Partnership, dated as of such date, to the effect that the signers of such certificate have carefully examined the Registration Statement, the Disclosure Package and the Prospectus and any supplements or amendments thereto and this Agreement and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representations and warranties of the Company and the Operating Partnership in this Agreement are true and correct on and as of such date except those related to a specific date with the same effect as if made on such date and the Company and the Operating Partnership has complied with all the agreements and satisfied all the conditions on its part to be performed or satisfied hereunder at or prior to such date;</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stop order suspending the effectiveness of the Registration Statement or any notice objecting to its use has been issued and no proceedings for that purpose have been instituted or, to the Company’s knowledge or the Operating Partnership, threatened;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since the date of the most recent financial statements included or incorporated by reference in the Disclosure Package, there has been no Material Adverse Effect, except as set forth in or contemplated in the Disclosure Package.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The Company shall have requested and caused the Accountants to have furnished to the Agent, the Forward Seller and the Forward Purchaser, on every date specified in Section 4(n) hereof and to the extent requested by the Agent, the Forward Seller and the Forward Purchaser in connection with any offering of the Shares, letters (which may refer to letters previously delivered to the Agent, the Forward Seller and the Forward Purchaser), dated as of such date, in form and substance satisfactory to the Agent, the Forward Seller and the Forward Purchaser, which letters shall cover, without limitation, the various financial statements and disclosures contained or incorporated by reference in the Registration Statement and the Prospectus and other matters ordinarily covered by accountants’ “comfort letters” to underwriters in connection with registered public offerings as contemplated in the Statement on Auditing Standards No. 72, as well as confirming that they have performed a review of any unaudited interim financial information of the Company included or incorporated by reference in the Registration Statement and the Prospectus</w:t>
      </w:r>
      <w:r>
        <w:rPr>
          <w:color w:val="000000"/>
        </w:rPr>
        <w:t xml:space="preserve"> </w:t>
      </w:r>
      <w:r>
        <w:rPr>
          <w:rFonts w:ascii="Times New Roman" w:hAnsi="Times New Roman"/>
          <w:color w:val="000000"/>
          <w:sz w:val="24"/>
        </w:rPr>
        <w:t>in accordance with Statement on Auditing Standards No. 100.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References to the Prospectus in this paragraph (e) include any supplement thereto at the date of the letter.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 xml:space="preserve">The Company shall have furnished or caused to be furnished to the Agent, the Forward Seller and the Forward Purchaser, on every date specified in Section 4(p) of this Agreement, a certificate of the Company, signed by the principal financial or accounting officer of the Company, dated as of such date, substantially in the form of </w:t>
      </w:r>
      <w:r>
        <w:rPr>
          <w:rFonts w:ascii="Times New Roman" w:hAnsi="Times New Roman"/>
          <w:b/>
          <w:color w:val="000000"/>
          <w:sz w:val="24"/>
          <w:u w:val="single"/>
        </w:rPr>
        <w:t>Annex II</w:t>
      </w:r>
      <w:r>
        <w:rPr>
          <w:color w:val="000000"/>
        </w:rPr>
        <w:t xml:space="preserve"> </w:t>
      </w:r>
      <w:r>
        <w:rPr>
          <w:rFonts w:ascii="Times New Roman" w:hAnsi="Times New Roman"/>
          <w:color w:val="000000"/>
          <w:sz w:val="24"/>
        </w:rPr>
        <w: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Since the respective dates as of which information is disclosed in the Registration Statement, the Disclosure Package and the Prospectus, except as otherwise stated therein, there shall not have been (i) any change or decrease specified in the letter or letters referred to in paragraph (e) of this Section 6 or (ii) any material and adverse change, or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Disclosure Package (exclusive of any amendment or supplement thereto) the effect of which, in any case referred to in clause (i) or (ii) above, in the sole judgment of the Agent, the Forward Seller or the Forward Purchaser, makes it impractical or inadvisable to proceed with the offering or delivery of the Shares as contemplated by the Registration Statement (exclusive of any amendment thereof), the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Disclosure Package and the Prospectus (exclusive of any amendment or supplement thereto).</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Intentionally omitted.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FINRA shall not have raised any objection with respect to the fairness and reasonableness of the terms and arrangements under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Shares shall have been listed and admitted and authorized for trading on the NYSE, and satisfactory evidence of such actions shall have been provided to the Agent, the Forward Seller and the Forward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to each Settlement Date and Time of Delivery, as applicable, the Company shall have furnished to the Agent, the Forward Seller and the Forward Purchaser such further information, certificates and documents as the Agent, the Forward Seller and the Forward Purchaser may reasonably request.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(l)</w:t>
      </w:r>
    </w:p>
    <w:p>
      <w:pPr>
        <w:pStyle w:val="TextBody"/>
        <w:bidi w:val="0"/>
        <w:jc w:val="both"/>
        <w:rPr>
          <w:rFonts w:ascii="Times New Roman" w:hAnsi="Times New Roman"/>
          <w:color w:val="000000"/>
          <w:sz w:val="24"/>
        </w:rPr>
      </w:pPr>
      <w:r>
        <w:rPr>
          <w:rFonts w:ascii="Times New Roman" w:hAnsi="Times New Roman"/>
          <w:color w:val="000000"/>
          <w:sz w:val="24"/>
        </w:rPr>
        <w:t>All filings with the Commission required by Rule 424 under the Act to have been filed prior to the issuance of any Placement Notice hereunder or the date of any Terms Agreement shall have been made within the applicable time period prescribed for such filing by Rule 424.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no event may the Company issue a Placement Notice to sell an Issuance Amount or a Forward Hedge Amount, as the case may be, or deliver an Acceptance with respect to a Contingent Forward, to the extent that the sum of (i) the Sales Price of the requested Issuance Amount or Forward Hedge Amount, as applicable, or, in the case of a Contingent Forward, the product of the maximum number of Shares underlying such Contingent Forward and the initial forward price agreed in the related Acceptance, (ii) the aggregate Sales Price of all Shares issued or sold (including all Forward Hedge Shares sold) under all previous Issuances and Forwards effected pursuant to the Distribution Agreements and (iii) the aggregate amount sold under any Terms Agreements (including under any terms agreements under any Separate Distribution Agreements) would exceed the Maximum Program Amount.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Agent, the Forward Seller and the Forward Purchaser and counsel for the Agent, the Forward Seller and the Forward Purchaser, this Agreement and all obligations of the Agent, the Forward Seller and the Forward Purchaser hereunder may be canceled at, or at any time prior to, any Settlement Date or Time of Delivery, as applicable, by the Agent, the Forward Seller and the Forward Purchaser solely with respect to the Agent, the Forward Seller or the Forward Purchaser and the Agent’s, the Forward Seller’s or the Forward Purchaser’s obligations. Notice of such cancellation shall be given to the Company in writing or by telephone or facsimile confirmed in writing.</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7.</w:t>
      </w:r>
    </w:p>
    <w:p>
      <w:pPr>
        <w:pStyle w:val="TextBody"/>
        <w:bidi w:val="0"/>
        <w:spacing w:before="0" w:after="240"/>
        <w:jc w:val="both"/>
        <w:rPr/>
      </w:pPr>
      <w:r>
        <w:rPr>
          <w:rFonts w:ascii="Times New Roman" w:hAnsi="Times New Roman"/>
          <w:color w:val="000000"/>
          <w:sz w:val="24"/>
          <w:u w:val="single"/>
        </w:rPr>
        <w:t>Indemnification and Contribution</w:t>
      </w:r>
      <w:r>
        <w:rPr>
          <w:rFonts w:ascii="Times New Roman" w:hAnsi="Times New Roman"/>
          <w:color w:val="000000"/>
          <w:sz w:val="24"/>
        </w:rPr>
        <w:t xml:space="preserve">.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Company and the Operating Partnership jointly and severally agree to indemnify and hold harmless the Agent, the Forward Seller and the Forward Purchaser, the directors, officers, employees, affiliates and agents of the Agent, the Forward Seller and the Forward Purchaser and each person who controls any of the Agent, the Forward Seller or the Forward Purchaser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 the Prospectus Supplement, the Prospectus, or any Issuer Free Writing Prospectus or in any amendment thereof or supplement thereto or arise out of or are based upon the omission or alleged omission to state therein a material fact required to be stated therein or necessary in order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none of the Company or the Operating Partnership will be liable in any such case to the extent that any such loss, claim, damage or liability arises out of or is based upon any such untrue statement or alleged untrue statement or omission or alleged omission made therein in reliance upon and in conformity with information furnished in writing to the Company by or on behalf of the Agent, the Forward Seller and the Forward Purchaser specifically for inclusion therein. This indemnity agreement will be in addition to any liability that the Company or the Operating Partnership may otherwise have.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Agent, the Forward Seller and the Forward Purchaser, severally and not jointly, agree to indemnify and hold harmless the Company, the Operating Partnership, each of its directors, each of its officers who signs the Registration Statement, and each person who controls the Company or the Operating Partnership within the meaning of either the Act or the Exchange Act, to the same extent as the foregoing indemnity from the Company and the Operating Partnership to the Agent, the Forward Seller and the Forward Purchaser, but only with reference to written information relating to the Agent, the Forward Seller and the Forward Purchaser furnished to the Company by the Agent, the Forward Seller and the Forward Purchaser specifically for inclusion in the documents referred to in the foregoing indemnity. This indemnity agreement will be in addition to any liability which the Agent, the Forward Seller or the Forward Purchaser may otherwise have. Each of the Company and the Operating Partnership acknowledges that the name and contact information of the Agent, the Forward Seller and the Forward Purchaser in the Prospectus Supplement and the Prospectus constitute the only information furnished in writing by or on behalf of the Agent, the Forward Seller and the Forward Purchaser for inclusion in the Prospectus Supplement, the Prospectus or any Issuer Free Writing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It is understood and agreed that the indemnifying party shall not, in connection with any proceeding or related proceedings in the same jurisdiction, be liable for the fees and expenses of more than one separate firm (in addition to any local counsel) for all indemnified parties. Except as expressly provided in this Section 7, the indemnifying party shall not be liable for any settlement of any proceeding effected without its written consent (which consent shall not be unreasonably withheld), but if settled with such consent or if there be a final judgment for the plaintiff, the indemnifying party agrees to indemnify each indemnified party from and against any loss or liability by reason of such settlement or judgment;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at any time an indemnified party shall have requested an indemnifying party to reimburse the indemnified party for fees and expenses of counsel as contemplated by this Section 7(c), the indemnifying party agrees that it shall be liable for any settlement of any proceeding effected without its written consent if (1) such settlement is entered into more than 60 days after receipt by such indemnifying party of the aforesaid request; (2) such indemnifying party shall have received notice of the terms of such settlement at least 45 days prior to such settlement being entered into and (3) such indemnifying party shall not have reimbursed the indemnified party in accordance with such request prior to the date of such settlement.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w:t>
      </w:r>
      <w:r>
        <w:rPr>
          <w:color w:val="000000"/>
        </w:rPr>
        <w:t xml:space="preserve">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release of each indemnified party from all liability arising out of such claim, action, suit or proceeding and (ii) does not include an admission of fault.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In the event that the indemnity provided in paragraph (a), (b) or (c) of this Section 7 is unavailable to or insufficient to hold harmless an indemnified party for any reason, the Company and the Operating Partnership, jointly and severally, and the Agent, the Forward Seller or the Forward Purchaser, severally, agree to contribute to the aggregate losses, claims, damages and liabilities (including legal or other expenses reasonably incurred by such indemnified party in connection with investigating or defending the same) (collectively, the “</w:t>
      </w:r>
      <w:r>
        <w:rPr>
          <w:rFonts w:ascii="Times New Roman" w:hAnsi="Times New Roman"/>
          <w:color w:val="000000"/>
          <w:sz w:val="24"/>
          <w:u w:val="single"/>
        </w:rPr>
        <w:t>Losses</w:t>
      </w:r>
      <w:r>
        <w:rPr>
          <w:color w:val="000000"/>
        </w:rPr>
        <w:t>”</w:t>
      </w:r>
      <w:r>
        <w:rPr>
          <w:rFonts w:ascii="Times New Roman" w:hAnsi="Times New Roman"/>
          <w:color w:val="000000"/>
          <w:sz w:val="24"/>
        </w:rPr>
        <w:t>) to which the Company, the Operating Partnership and the Agent, the Forward Seller or the Forward Purchaser may be subject in such proportion as is appropriate to reflect the relative benefits received by the Company and the Operating Partnership on the one hand and by the Agent, the Forward Seller or the Forward Purchaser on the other from the offering of the Shares. If the allocation provided by the immediately preceding sentence is unavailable for any reason, the Company and the Operating Partnership, jointly and severally, and the Agent, the Forward Seller or the Forward Purchaser, severally, shall contribute in such proportion as is appropriate to reflect not only such relative benefits but also the relative fault of the Company and the Operating Partnership, on the one hand, and the Agent, the Forward Seller or the Forward Purchaser, on the other, with respect to the statements or omissions which resulted in such Losses, as well as any other relevant equitable considerations. Benefits received by the Company and the Operating Partnership, on the one hand, and the Agent, the Forward Seller or the Forward Purchaser, on the other, shall be deemed to be in the same proportions as (a) in the case of the Company and the Operating Partnership, (x) the total Net Proceeds from the offering of the Issuance Shares for each Issuance under this Agreement or a Terms Agreement (before deducting expenses) received by the Company and the Operating Partnership bear to the aggregate Sales Price of the Issuance Shares, or (y) the Actual Sold Forward Amount for each Forward under this Agreement, multiplied by the Forward Hedge Price for such Forward, plus any “Contingency Premium” (as defined in the Forward Contract for a Contingent Forward) received by the Company) (the “</w:t>
      </w:r>
      <w:r>
        <w:rPr>
          <w:rFonts w:ascii="Times New Roman" w:hAnsi="Times New Roman"/>
          <w:color w:val="000000"/>
          <w:sz w:val="24"/>
          <w:u w:val="single"/>
        </w:rPr>
        <w:t>Net Forward Proceeds</w:t>
      </w:r>
      <w:r>
        <w:rPr>
          <w:color w:val="000000"/>
        </w:rPr>
        <w:t>”</w:t>
      </w:r>
      <w:r>
        <w:rPr>
          <w:rFonts w:ascii="Times New Roman" w:hAnsi="Times New Roman"/>
          <w:color w:val="000000"/>
          <w:sz w:val="24"/>
        </w:rPr>
        <w:t>), bears to the sum of the Net Forward Proceeds and the Actual Forward Commission (as defined below) (such sum, the “</w:t>
      </w:r>
      <w:r>
        <w:rPr>
          <w:rFonts w:ascii="Times New Roman" w:hAnsi="Times New Roman"/>
          <w:color w:val="000000"/>
          <w:sz w:val="24"/>
          <w:u w:val="single"/>
        </w:rPr>
        <w:t>Gross Forward Amount</w:t>
      </w:r>
      <w:r>
        <w:rPr>
          <w:color w:val="000000"/>
        </w:rPr>
        <w:t>”</w:t>
      </w:r>
      <w:r>
        <w:rPr>
          <w:rFonts w:ascii="Times New Roman" w:hAnsi="Times New Roman"/>
          <w:color w:val="000000"/>
          <w:sz w:val="24"/>
        </w:rPr>
        <w:t>), (b) in the case of the Agent, the total commissions received by the Agent bear to the aggregate Sales Price of the Issuance Shares, (c) in the case of the Forward Seller, the Actual Sold Forward Amount for each Forward under this Agreement, multiplied by the Forward Hedge Selling Commission for such Forward (the “</w:t>
      </w:r>
      <w:r>
        <w:rPr>
          <w:rFonts w:ascii="Times New Roman" w:hAnsi="Times New Roman"/>
          <w:color w:val="000000"/>
          <w:sz w:val="24"/>
          <w:u w:val="single"/>
        </w:rPr>
        <w:t>Actual Forward Commission</w:t>
      </w:r>
      <w:r>
        <w:rPr>
          <w:color w:val="000000"/>
        </w:rPr>
        <w:t>”</w:t>
      </w:r>
      <w:r>
        <w:rPr>
          <w:rFonts w:ascii="Times New Roman" w:hAnsi="Times New Roman"/>
          <w:color w:val="000000"/>
          <w:sz w:val="24"/>
        </w:rPr>
        <w:t xml:space="preserve">), bear to the Gross Forward Amount, and (d) in the case of the Forward Purchaser, the aggregate net Spread (as such term is defined in the related Forward Contract for each Forward and net of any related stock borrow costs or other costs or expenses actually incurred) for each Forward executed in connection with this Agreement bears to the Gross Forward Amount. The relative fault shall be determined by reference to, among other things, whether the untrue or alleged untrue statement of a material fact or the omission or alleged omission to state a material fact relates to information provided by the Company and the Operating Partnership, on the one hand, or the Agent, the Forward Seller and the Forward Purchaser, on the other, and the intent of the parties and their relative knowledge, access to information and opportunity to correct or prevent such untrue statement or omission. The Company,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Operating Partnership, the Agent, the Forward Seller and the Forward Purchaser agree that it would not be just and equitable if contributions pursuant to this Section 7 were to be determined by pro rata allocation (even if the Agent, the Forward Seller and the Forward Purchaser were treated as one entity for such purpose) or by any other method of allocation that does not take into account the equitable considerations referred to herein. Notwithstanding the foregoing provisions of this Section 7, (i) neither the Agent nor the Forward Seller shall be required to contribute any amount in excess of the amount by which the commissions with respect to the offering of the Issuance Shares or the aggregate Forward Hedge Selling Commissions, as the case may be, received by it under this Agreement exceeds the amount of any damages which the Agent or the Forward Seller has otherwise been required to pay by reason of such untrue or alleged untrue statement or omission or alleged omission, and (ii) the Forward Purchaser shall in no event be required to contribute any amount in excess of the amount by which the aggregate net Spread (as such term is defined in the relevant Forward Contract and net of any related stock borrow costs or other costs or expenses actually incurred) for all Forward Contracts entered into pursuant to this Agreement exceeds the amount of any damages the Forward Purchaser has otherwise been required to pay by reason of such untrue or alleged untrue statement or omission or alleged omission. No person guilty of fraudulent misrepresentations (within the meaning of Section 11(f) of the Act) shall be entitled to contribution from any person who was not guilty of such fraudulent misrepresentation. For purposes of this Section 7, any person who controls the Agent, the Forward Seller or the Forward Purchaser within the meaning of either the Act or the Exchange Act, and any affiliates, officers, directors, partners, employees or agents thereof, will have the same rights to contribution as the Agent, the Forward Seller or the Forward Purchaser, as applicable, and any person who controls the Company or the Operating Partnership within the meaning of either the Act or the Exchange Act, each director of the Company, and each officer of the Company who signed the Registration Statement will have the same rights to contribution as the Company and the Operating Partnership, subject in each case to the provisions hereof.</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8.</w:t>
      </w:r>
    </w:p>
    <w:p>
      <w:pPr>
        <w:pStyle w:val="TextBody"/>
        <w:bidi w:val="0"/>
        <w:spacing w:before="0" w:after="240"/>
        <w:jc w:val="both"/>
        <w:rPr/>
      </w:pPr>
      <w:r>
        <w:rPr>
          <w:rFonts w:ascii="Times New Roman" w:hAnsi="Times New Roman"/>
          <w:color w:val="000000"/>
          <w:sz w:val="24"/>
          <w:u w:val="single"/>
        </w:rPr>
        <w:t>Termination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(i) if Shares have been sold through the Agent or the Forward Seller, then Section 4(t) shall remain in full force and effect, (ii) with respect to any pending sale through the Agent or the Forward Seller, the obligations of the Company and the Operating Partnership, including in respect of compensation of the Agent, the Forward Seller and the Forward Purchaser, shall remain in full force and effect notwithstanding the termination and (iii) the provisions of Sections 2, 5, 7, 9, 10, 12 and 14 of this Agreement shall remain in full force and effect notwithstanding such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Agent, the Forward Seller or the Forward Purchaser may terminate this Agreement solely with respect to itself, by notice to the Company at any time. Any such termination shall have no effect on the obligations of any other party under this Agreement. Any such termination shall be without liability of any party to any other party except that the provisions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of Sections 2, 5, 7, 9, 10, 12 and 14 of this Agreement shall remain in full force and effect notwithstanding such termination.</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earlier terminated pursuant to this Section 8, this Agreement shall automatically terminate on the date that the aggregate offering price of the Shares sold pursuant to the Distribution Agreements and any Terms Agreements (including under any term agreements under any Separate Distribution Agreements) equals the Maximum Program Amount, provided that if a “Supplemental Confirmation” required to be executed pursuant to Section 3(g) of this Agreement has not been executed on or prior to such date, then the provisions of this Agreement as they relate to the Forward for the relevant Forward Hedge Selling Period shall survive such termination until such “Supplemental Confirmation” has been executed or deemed effective pursuant to such Forward.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This Agreement shall remain in full force and effect unless terminated pursuant to Sections 8(a), (b) or (c) above or otherwise by mutual agreement of the parties;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any such termination by mutual agreement shall in all cases be deemed to provide that Sections 2, 5, 7, 9, 10, 12 and 14 shall remain in full force and effect.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Any termination of this Agreement (other than pursuant to Section 8(c)) shall be effective on the date specified in such notice of termination;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such termination shall not be effective until the close of business on the date of receipt of such notice by the Agent, Forward Seller, Forward Purchaser or the Company, as the case may be. If such termination shall occur prior to the Settlement Date or Time of Delivery for any sale of the Shares, such sale shall settle on the Issuance Settlement Date. For the avoidance of doubt, any termination shall not affect or impair any party’s obligations with respect to any Shares sold hereunder prior to the occurrence thereof (including, in the case of any Forward Hedge Shares, the obligation to enter into the “Supplemental Confirmation” in respect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In the case of any purchase of Shares by the Agent pursuant to a Terms Agreement, the obligations of the Agent pursuant to such Terms Agreement shall be subject to termination, in the absolute discretion of the Agent, by notice given to the Company prior to the Time of Delivery relating to such Shares, if at any time prior to such delivery and payment (i) trading in the Company’s Common Stock shall have been suspended by the Commission or the NYSE or trading in securities generally on the NYSE shall have been suspended or limited or minimum prices shall have been established on such exchange, (ii) a banking moratorium shall have been declared either by federal or New York State authorities, (iii) a material disruption has occurred in commercial banking or securities settlement or clearance services in the United States or (iv) there shall have occurred any outbreak or escalation of hostilities, declaration by the United States of a national emergency or war, or other calamity or crisis the effect of which on financial markets is such as to make it, in the sole judgment of the Agent, impractical or inadvisable to proceed with the offering or delivery of the Shares as contemplated by the Prospectus (exclusive of any amendment or supplement thereto)</w:t>
      </w:r>
      <w:r>
        <w:rPr>
          <w:color w:val="000000"/>
        </w:rPr>
        <w:t xml:space="preserve">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9.</w:t>
      </w:r>
    </w:p>
    <w:p>
      <w:pPr>
        <w:pStyle w:val="TextBody"/>
        <w:bidi w:val="0"/>
        <w:spacing w:before="0" w:after="240"/>
        <w:jc w:val="both"/>
        <w:rPr/>
      </w:pPr>
      <w:r>
        <w:rPr>
          <w:rFonts w:ascii="Times New Roman" w:hAnsi="Times New Roman"/>
          <w:color w:val="000000"/>
          <w:sz w:val="24"/>
          <w:u w:val="single"/>
        </w:rPr>
        <w:t>Representations and Indemnities to Survive</w:t>
      </w:r>
      <w:r>
        <w:rPr>
          <w:rFonts w:ascii="Times New Roman" w:hAnsi="Times New Roman"/>
          <w:color w:val="000000"/>
          <w:sz w:val="24"/>
        </w:rPr>
        <w:t xml:space="preserve">. The respective agreements, representations, warranties, indemnities and other statements of the Company or its officers or of the Operating Partnership and of the Agent, the Forward Seller and the Forward Purchaser set forth in or made pursuant to this Agreement will remain in full force and effect, regardless of any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investigation made by the Agent, the Forward Seller and the Forward Purchaser or the Company or the Operating Partnership or any of the officers, directors, employees, affiliates, agents or controlling persons referred to in Section 7 hereof, and will survive delivery of and payment for the Shares and the settlement of any Forwards.</w:t>
      </w:r>
      <w:r>
        <w:rPr>
          <w:color w:val="000000"/>
        </w:rPr>
        <w:t xml:space="preserve">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10.</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All communications hereunder will be in writing and effective only on receipt, and will be mailed or delivered: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the Agent or the Forward Seller, to [●], with a copy to Skadden, Arps, Slate, Meagher &amp; Flom LLP, One Manhattan West, New York, New York 10001, Attention: Michael J. Hong.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the Forward Purchaser, to [●], with a copy to Skadden, Arps, Slate, Meagher &amp; Flom LLP, One Manhattan West, New York, New York 10001, Attention: Michael J. Hong.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sent to the Company or the Operating Partnership, will be mailed to Easterly Government Properties, Inc., 2001 K Street NW, Suite 775 North, Washington, D.C. 20006, Attention: Allison E. Marino, with a copy to Goodwin Procter LLP, 100 Northern Avenue, Boston, Massachusetts 02210, Attention: Mark S. Opper and William T. Goldberg.</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11.</w:t>
      </w:r>
    </w:p>
    <w:p>
      <w:pPr>
        <w:pStyle w:val="TextBody"/>
        <w:bidi w:val="0"/>
        <w:spacing w:before="0" w:after="240"/>
        <w:jc w:val="both"/>
        <w:rPr/>
      </w:pPr>
      <w:r>
        <w:rPr>
          <w:rFonts w:ascii="Times New Roman" w:hAnsi="Times New Roman"/>
          <w:color w:val="000000"/>
          <w:sz w:val="24"/>
          <w:u w:val="single"/>
        </w:rPr>
        <w:t>Successors</w:t>
      </w:r>
      <w:r>
        <w:rPr>
          <w:rFonts w:ascii="Times New Roman" w:hAnsi="Times New Roman"/>
          <w:color w:val="000000"/>
          <w:sz w:val="24"/>
        </w:rPr>
        <w:t>. This Agreement will inure to the benefit of and be binding upon the parties hereto and their respective successors and the officers, directors, employees or agents, and no other person will have any right or obligation hereunder.</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12.</w:t>
      </w:r>
    </w:p>
    <w:p>
      <w:pPr>
        <w:pStyle w:val="TextBody"/>
        <w:bidi w:val="0"/>
        <w:spacing w:before="0" w:after="240"/>
        <w:jc w:val="both"/>
        <w:rPr/>
      </w:pPr>
      <w:r>
        <w:rPr>
          <w:rFonts w:ascii="Times New Roman" w:hAnsi="Times New Roman"/>
          <w:color w:val="000000"/>
          <w:sz w:val="24"/>
          <w:u w:val="single"/>
        </w:rPr>
        <w:t>No Fiduciary Duty</w:t>
      </w:r>
      <w:r>
        <w:rPr>
          <w:rFonts w:ascii="Times New Roman" w:hAnsi="Times New Roman"/>
          <w:color w:val="000000"/>
          <w:sz w:val="24"/>
        </w:rPr>
        <w:t xml:space="preserve">. Each of the Company and the Operating Partnership hereby acknowledges and agrees that (a) the purchase and sale of the Shares pursuant to this Agreement is an arm’s-length commercial transaction between the Company, on the one hand, and the Agent, the Forward Seller and the Forward Purchaser (and any affiliate through which the Agent, the Forward Seller or the Forward Purchaser may be acting), on the other, (b) the Agent, the Forward Seller and the Forward Purchaser are acting solely as agent and/or as principal in connection with the public offering of the Shares and in connection with each transaction contemplated by this Agreement, any Terms Agreement and the Master Forward Confirmation and the process leading to such transactions, and no fiduciary or advisory relationship between the Company or any of its respective affiliates, stockholders (or other equity holders), creditors or employees or any other party, on the one hand, and the Agent, the Forward Seller and the Forward Purchaser, on the other hand, has been or will be created in respect of any of the transactions contemplated by this Agreement, any Terms Agreement and the Master Forward Confirmation, irrespective of whether or not the Agent, the Forward Seller or the Forward Purchaser has advised or is advising the Company on other matters, and none of the Agent, the Forward Seller or the Forward Purchaser has any obligation to the Company with respect to the transactions contemplated by this Agreement, any Terms Agreement or the Master Forward Confirmation except the obligations expressly set forth herein and therein, (c) it is capable of evaluating and understanding, and understands and accepts, the terms, risks and conditions of the transactions contemplated by this Agreement, any Terms Agreement and the Master Forward Confirmation, (d) none of the Agent, the Forward Seller or the Forward Purchaser has provided any legal, accounting, regulatory or tax advice with respect to the transactions contemplated by this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any Terms Agreement or the Master Forward Confirmation and it has consulted its own legal, accounting, regulatory and tax advisors to the extent it has deemed appropriate, (e) it is aware that the Agent, the Forward Seller and the Forward Purchaser and their respective affiliates are engaged in a broad range of transactions which may involve interests that differ from those of the Company and the Agent, the Forward Seller and the Forward Purchaser have no obligation to disclose such interests and transactions to the Company by virtue of any fiduciary, advisory or agency relationship or otherwise, (f) the Sales Price of the Shares sold pursuant to this Agreement, any Terms Agreement or any Forward Contract will not be established by the Agent, the Forward Seller or the Forward Purchaser, (g) it waives, to the fullest extent permitted by law, any claims it may have against the Agent, the Forward Seller and the Forward Purchaser for breach of fiduciary duty or alleged breach of fiduciary duty in connection with the sale of Shares under this Agreement, any Terms Agreement and the Master Forward Confirmation and agrees that none of the Agent, the Forward Seller or the Forward Purchaser shall have any liability (whether direct or indirect, in contract, tort or otherwise) to it in respect of such a fiduciary duty claim or to any person asserting a fiduciary duty claim on its behalf or in right of it or the Company, employees or creditors of Company and (h) the Company’s engagement of the Agent and the Forward Seller in connection with the offering and the process leading up to the offering is as independent contractors and not in any other capacity. Furthermore, each of the Company and the Operating Partnership agrees that it is solely responsible for making its own judgments in connection with the offering (irrespective of whether the Agent, the Forward Seller or the Forward Purchaser have advised or are currently advising the Company or the Operating Partnership on related or other matters). Each of the Company and the Operating Partnership agrees that it will not claim that any of the Agent, the Forward Seller or the Forward Purchaser has rendered advisory services of any nature or respect, or owe an agency, fiduciary or similar duty to the Company or the Operating Partnership, as applicable, in connection with such transaction or the process leading thereto.</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13.</w:t>
      </w:r>
    </w:p>
    <w:p>
      <w:pPr>
        <w:pStyle w:val="TextBody"/>
        <w:bidi w:val="0"/>
        <w:spacing w:before="0" w:after="240"/>
        <w:jc w:val="both"/>
        <w:rPr/>
      </w:pPr>
      <w:r>
        <w:rPr>
          <w:rFonts w:ascii="Times New Roman" w:hAnsi="Times New Roman"/>
          <w:color w:val="000000"/>
          <w:sz w:val="24"/>
          <w:u w:val="single"/>
        </w:rPr>
        <w:t>Integration</w:t>
      </w:r>
      <w:r>
        <w:rPr>
          <w:rFonts w:ascii="Times New Roman" w:hAnsi="Times New Roman"/>
          <w:color w:val="000000"/>
          <w:sz w:val="24"/>
        </w:rPr>
        <w:t>. This Agreement and any Terms Agreement supersede all prior agreements and understandings (whether written or oral) between the Company, the Operating Partnership and the Agent, the Forward Seller and the Forward Purchaser, or any of them, with respect to the subject matter hereof, including the applicable Original Distribution Agreement. None of this Agreement, any Terms Agreement or any term hereof or thereof may be amended except pursuant to a written instrument executed by the Company and the Agent, the Forward Seller and the Forward Purchaser. In the event that any one or more of the provisions contained herein or in any Terms Agreement,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or in the relevant Terms Agreement shall be construed as if such invalid, illegal or unenforceable term or provision was not contained herein or therein, but only to the extent that giving effect to such provision and the remainder of the terms and provisions hereof or thereof shall be in accordance with the intent of the parties as reflected in this Agreement and in any Terms Agreement. In the event of a conflict between the terms of this Agreement and the terms of a Terms Agreement, the terms of such Terms Agreement shall control.</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14.</w:t>
      </w:r>
    </w:p>
    <w:p>
      <w:pPr>
        <w:pStyle w:val="TextBody"/>
        <w:bidi w:val="0"/>
        <w:spacing w:before="0" w:after="240"/>
        <w:jc w:val="both"/>
        <w:rPr/>
      </w:pPr>
      <w:r>
        <w:rPr>
          <w:rFonts w:ascii="Times New Roman" w:hAnsi="Times New Roman"/>
          <w:color w:val="000000"/>
          <w:sz w:val="24"/>
          <w:u w:val="single"/>
        </w:rPr>
        <w:t>Recognition of the U.S. Special Resolution Regimes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the Agent, the Forward Seller or the Forward Purchaser becomes subject to a proceeding under a U.S. Special Resolution Regime, the transfer from the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Agent, the Forward Seller or the Forward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the Agent, the Forward Seller or the Forward Purchaser that is a Covered Entity or a BHC Act Affiliate of the Agent, the Forward Seller or the Forward Purchaser becomes subject to a proceeding under a U.S. Special Resolution Regime, Default Rights under this Agreement that may be exercised against the Agent, the Forward Seller or the Forward Purchaser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0" w:after="240"/>
        <w:jc w:val="both"/>
        <w:rPr>
          <w:rFonts w:ascii="Times New Roman" w:hAnsi="Times New Roman"/>
          <w:sz w:val="20"/>
        </w:rPr>
      </w:pPr>
      <w:r>
        <w:rPr>
          <w:rFonts w:ascii="Times New Roman" w:hAnsi="Times New Roman"/>
          <w:color w:val="000000"/>
          <w:sz w:val="24"/>
        </w:rPr>
        <w:t>As used in this Section 14,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and “U.S. Special Resolution Regime” means each of (i) the Federal Deposit Insurance Act and the regulations promulgated thereunder and (ii) Title II of the Dodd-Frank Wall Street Reform and Consumer Protection Act and the regulations promulgated thereunder.</w:t>
      </w:r>
      <w:r>
        <w:rPr>
          <w:rFonts w:ascii="Times New Roman" w:hAnsi="Times New Roman"/>
          <w:color w:val="000000"/>
          <w:sz w:val="20"/>
        </w:rPr>
        <w:t xml:space="preserve">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15.</w:t>
      </w:r>
    </w:p>
    <w:p>
      <w:pPr>
        <w:pStyle w:val="TextBody"/>
        <w:bidi w:val="0"/>
        <w:spacing w:before="0" w:after="240"/>
        <w:jc w:val="both"/>
        <w:rPr/>
      </w:pPr>
      <w:r>
        <w:rPr>
          <w:rFonts w:ascii="Times New Roman" w:hAnsi="Times New Roman"/>
          <w:color w:val="000000"/>
          <w:sz w:val="24"/>
          <w:u w:val="single"/>
        </w:rPr>
        <w:t>Applicable Law</w:t>
      </w:r>
      <w:r>
        <w:rPr>
          <w:rFonts w:ascii="Times New Roman" w:hAnsi="Times New Roman"/>
          <w:color w:val="000000"/>
          <w:sz w:val="24"/>
        </w:rPr>
        <w:t>. This Agreement and any Terms Agreement will be governed by and construed in accordance with the laws of the State of New York applicable to contracts made and to be performed within the State of New York.</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16.</w:t>
      </w:r>
    </w:p>
    <w:p>
      <w:pPr>
        <w:pStyle w:val="TextBody"/>
        <w:bidi w:val="0"/>
        <w:spacing w:before="0" w:after="240"/>
        <w:jc w:val="both"/>
        <w:rPr/>
      </w:pPr>
      <w:r>
        <w:rPr>
          <w:rFonts w:ascii="Times New Roman" w:hAnsi="Times New Roman"/>
          <w:color w:val="000000"/>
          <w:sz w:val="24"/>
          <w:u w:val="single"/>
        </w:rPr>
        <w:t>Waiver of Jury Trial</w:t>
      </w:r>
      <w:r>
        <w:rPr>
          <w:rFonts w:ascii="Times New Roman" w:hAnsi="Times New Roman"/>
          <w:color w:val="000000"/>
          <w:sz w:val="24"/>
        </w:rPr>
        <w:t xml:space="preserve">. </w:t>
      </w:r>
      <w:r>
        <w:rPr>
          <w:rFonts w:ascii="Times New Roman" w:hAnsi="Times New Roman"/>
          <w:b/>
          <w:caps/>
          <w:color w:val="000000"/>
          <w:sz w:val="24"/>
        </w:rPr>
        <w:t>The Company, the Operating Partnership, the Agent, the Forward Seller and the Forward Purchaser each hereby irrevocably waives, to the fullest extent permitted by applicable law, any and all right to trial by jury in any legal proceeding arising out of or relating to this Agreement, the Forward Contracts, any Terms Agreement or the transactions contemplated hereby or thereby.</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17.</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any Forward Contract and any Terms Agreement may be signed in one or more counterparts, each of which shall constitute an original and all of which together shall constitute one and the same agreement. Counterparts may be delivered via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18.</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section headings used in this Agreement and any Terms Agreement are for convenience only and shall not affect the construction hereof.</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19.</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 The terms that follow, when used in this Agreement and any Terms Agreement, shall have the meanings indicated.</w:t>
      </w:r>
    </w:p>
    <w:p>
      <w:pPr>
        <w:pStyle w:val="TextBody"/>
        <w:bidi w:val="0"/>
        <w:spacing w:before="0" w:after="240"/>
        <w:jc w:val="both"/>
        <w:rPr/>
      </w:pPr>
      <w:r>
        <w:rPr>
          <w:color w:val="000000"/>
        </w:rPr>
        <w:t>“</w:t>
      </w:r>
      <w:r>
        <w:rPr>
          <w:rFonts w:ascii="Times New Roman" w:hAnsi="Times New Roman"/>
          <w:color w:val="000000"/>
          <w:sz w:val="24"/>
          <w:u w:val="single"/>
        </w:rPr>
        <w:t>Act</w:t>
      </w:r>
      <w:r>
        <w:rPr>
          <w:rFonts w:ascii="Times New Roman" w:hAnsi="Times New Roman"/>
          <w:color w:val="000000"/>
          <w:sz w:val="20"/>
        </w:rPr>
        <w:t xml:space="preserve">” </w:t>
      </w:r>
      <w:r>
        <w:rPr>
          <w:rFonts w:ascii="Times New Roman" w:hAnsi="Times New Roman"/>
          <w:color w:val="000000"/>
          <w:sz w:val="24"/>
        </w:rPr>
        <w:t>shall mean the Securities Act of 1933, as amended, and the rules and regulations of the Commission promulgated thereunder.</w:t>
      </w:r>
    </w:p>
    <w:p>
      <w:pPr>
        <w:pStyle w:val="TextBody"/>
        <w:bidi w:val="0"/>
        <w:spacing w:before="0" w:after="240"/>
        <w:jc w:val="both"/>
        <w:rPr/>
      </w:pPr>
      <w:r>
        <w:rPr>
          <w:color w:val="000000"/>
        </w:rPr>
        <w:t>“</w:t>
      </w:r>
      <w:r>
        <w:rPr>
          <w:rFonts w:ascii="Times New Roman" w:hAnsi="Times New Roman"/>
          <w:color w:val="000000"/>
          <w:sz w:val="24"/>
          <w:u w:val="single"/>
        </w:rPr>
        <w:t>Actual Sold Forward Amount</w:t>
      </w:r>
      <w:r>
        <w:rPr>
          <w:rFonts w:ascii="Times New Roman" w:hAnsi="Times New Roman"/>
          <w:color w:val="000000"/>
          <w:sz w:val="20"/>
        </w:rPr>
        <w:t xml:space="preserve">” </w:t>
      </w:r>
      <w:r>
        <w:rPr>
          <w:rFonts w:ascii="Times New Roman" w:hAnsi="Times New Roman"/>
          <w:color w:val="000000"/>
          <w:sz w:val="24"/>
        </w:rPr>
        <w:t>means, for any Forward Hedge Selling Period (as defined below) for any Forward (as defined below) or any portion thereof, as the context may require, the number of Forward Hedge Shares that the Forward Seller has sold during such Forward Hedge Selling Period or any portion thereof, respectively.</w:t>
      </w:r>
    </w:p>
    <w:p>
      <w:pPr>
        <w:pStyle w:val="TextBody"/>
        <w:bidi w:val="0"/>
        <w:spacing w:before="0" w:after="240"/>
        <w:jc w:val="both"/>
        <w:rPr/>
      </w:pPr>
      <w:r>
        <w:rPr>
          <w:color w:val="000000"/>
        </w:rPr>
        <w:t>“</w:t>
      </w:r>
      <w:r>
        <w:rPr>
          <w:rFonts w:ascii="Times New Roman" w:hAnsi="Times New Roman"/>
          <w:color w:val="000000"/>
          <w:sz w:val="24"/>
          <w:u w:val="single"/>
        </w:rPr>
        <w:t>Aggregate Forward Hedge Price</w:t>
      </w:r>
      <w:r>
        <w:rPr>
          <w:rFonts w:ascii="Times New Roman" w:hAnsi="Times New Roman"/>
          <w:color w:val="000000"/>
          <w:sz w:val="20"/>
        </w:rPr>
        <w:t xml:space="preserve">” </w:t>
      </w:r>
      <w:r>
        <w:rPr>
          <w:rFonts w:ascii="Times New Roman" w:hAnsi="Times New Roman"/>
          <w:color w:val="000000"/>
          <w:sz w:val="24"/>
        </w:rPr>
        <w:t>means, with respect to a Forward Hedge Selling Period (or a portion thereof, as applicable) for a (i) Non-Contingent Forward, the product of the Actual Sold Forward Amount during such period and the Forward Hedge Price during such period and (ii) Contingent Forward, the product of the Actual Sold Forward Amount during such period and the Forward Hedge Price during such period.</w:t>
      </w:r>
    </w:p>
    <w:p>
      <w:pPr>
        <w:pStyle w:val="TextBody"/>
        <w:bidi w:val="0"/>
        <w:spacing w:before="0" w:after="240"/>
        <w:jc w:val="both"/>
        <w:rPr/>
      </w:pPr>
      <w:r>
        <w:rPr>
          <w:color w:val="000000"/>
        </w:rPr>
        <w:t>“</w:t>
      </w:r>
      <w:r>
        <w:rPr>
          <w:rFonts w:ascii="Times New Roman" w:hAnsi="Times New Roman"/>
          <w:color w:val="000000"/>
          <w:sz w:val="24"/>
          <w:u w:val="single"/>
        </w:rPr>
        <w:t>Applicable Time</w:t>
      </w:r>
      <w:r>
        <w:rPr>
          <w:rFonts w:ascii="Times New Roman" w:hAnsi="Times New Roman"/>
          <w:color w:val="000000"/>
          <w:sz w:val="20"/>
        </w:rPr>
        <w:t xml:space="preserve">” </w:t>
      </w:r>
      <w:r>
        <w:rPr>
          <w:rFonts w:ascii="Times New Roman" w:hAnsi="Times New Roman"/>
          <w:color w:val="000000"/>
          <w:sz w:val="24"/>
        </w:rPr>
        <w:t>shall mean, with respect to any Shares, the time of sale of such Shares pursuant to this Agreement or any relevant Terms Agreement.</w:t>
      </w:r>
    </w:p>
    <w:p>
      <w:pPr>
        <w:pStyle w:val="TextBody"/>
        <w:bidi w:val="0"/>
        <w:spacing w:before="0" w:after="240"/>
        <w:jc w:val="both"/>
        <w:rPr/>
      </w:pPr>
      <w:r>
        <w:rPr>
          <w:color w:val="000000"/>
        </w:rPr>
        <w:t>“</w:t>
      </w:r>
      <w:r>
        <w:rPr>
          <w:rFonts w:ascii="Times New Roman" w:hAnsi="Times New Roman"/>
          <w:color w:val="000000"/>
          <w:sz w:val="24"/>
          <w:u w:val="single"/>
        </w:rPr>
        <w:t>Base Prospectus</w:t>
      </w:r>
      <w:r>
        <w:rPr>
          <w:rFonts w:ascii="Times New Roman" w:hAnsi="Times New Roman"/>
          <w:color w:val="000000"/>
          <w:sz w:val="20"/>
        </w:rPr>
        <w:t xml:space="preserve">” </w:t>
      </w:r>
      <w:r>
        <w:rPr>
          <w:rFonts w:ascii="Times New Roman" w:hAnsi="Times New Roman"/>
          <w:color w:val="000000"/>
          <w:sz w:val="24"/>
        </w:rPr>
        <w:t>shall mean the base prospectus referred to in Section 2(b) above contained in the Registration Statement at the Execution Time.</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shall mean any day other than a Saturday, a Sunday or a legal holiday or a day on which banking institutions or trust companies are authorized or obligated by law to close in New York City.</w:t>
      </w:r>
    </w:p>
    <w:p>
      <w:pPr>
        <w:pStyle w:val="TextBody"/>
        <w:bidi w:val="0"/>
        <w:spacing w:before="0" w:after="240"/>
        <w:jc w:val="both"/>
        <w:rPr/>
      </w:pPr>
      <w:r>
        <w:rPr>
          <w:color w:val="000000"/>
        </w:rPr>
        <w:t>“</w:t>
      </w:r>
      <w:r>
        <w:rPr>
          <w:rFonts w:ascii="Times New Roman" w:hAnsi="Times New Roman"/>
          <w:color w:val="000000"/>
          <w:sz w:val="24"/>
          <w:u w:val="single"/>
        </w:rPr>
        <w:t>Capped Number</w:t>
      </w:r>
      <w:r>
        <w:rPr>
          <w:rFonts w:ascii="Times New Roman" w:hAnsi="Times New Roman"/>
          <w:color w:val="000000"/>
          <w:sz w:val="20"/>
        </w:rPr>
        <w:t xml:space="preserve">” </w:t>
      </w:r>
      <w:r>
        <w:rPr>
          <w:rFonts w:ascii="Times New Roman" w:hAnsi="Times New Roman"/>
          <w:color w:val="000000"/>
          <w:sz w:val="24"/>
        </w:rPr>
        <w:t>with respect to any Forward Contract has the meaning set forth in such Forward Contract.</w:t>
      </w:r>
    </w:p>
    <w:p>
      <w:pPr>
        <w:pStyle w:val="TextBody"/>
        <w:bidi w:val="0"/>
        <w:spacing w:before="0" w:after="240"/>
        <w:jc w:val="both"/>
        <w:rPr/>
      </w:pPr>
      <w:r>
        <w:rPr>
          <w:color w:val="000000"/>
        </w:rPr>
        <w:t>“</w:t>
      </w:r>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shall mean the United States Internal Revenue Code of 1986, as amended, or any successor thereto.</w:t>
      </w:r>
    </w:p>
    <w:p>
      <w:pPr>
        <w:pStyle w:val="TextBody"/>
        <w:bidi w:val="0"/>
        <w:spacing w:before="0" w:after="240"/>
        <w:jc w:val="both"/>
        <w:rPr/>
      </w:pPr>
      <w:r>
        <w:rPr>
          <w:color w:val="000000"/>
        </w:rPr>
        <w:t>“</w:t>
      </w:r>
      <w:r>
        <w:rPr>
          <w:rFonts w:ascii="Times New Roman" w:hAnsi="Times New Roman"/>
          <w:color w:val="000000"/>
          <w:sz w:val="24"/>
          <w:u w:val="single"/>
        </w:rPr>
        <w:t>Commission</w:t>
      </w:r>
      <w:r>
        <w:rPr>
          <w:rFonts w:ascii="Times New Roman" w:hAnsi="Times New Roman"/>
          <w:color w:val="000000"/>
          <w:sz w:val="20"/>
        </w:rPr>
        <w:t xml:space="preserve">” </w:t>
      </w:r>
      <w:r>
        <w:rPr>
          <w:rFonts w:ascii="Times New Roman" w:hAnsi="Times New Roman"/>
          <w:color w:val="000000"/>
          <w:sz w:val="24"/>
        </w:rPr>
        <w:t>shall mean the Securities and Exchange Commission.</w:t>
      </w:r>
    </w:p>
    <w:p>
      <w:pPr>
        <w:pStyle w:val="TextBody"/>
        <w:bidi w:val="0"/>
        <w:spacing w:before="0" w:after="240"/>
        <w:jc w:val="both"/>
        <w:rPr/>
      </w:pPr>
      <w:r>
        <w:rPr>
          <w:color w:val="000000"/>
        </w:rPr>
        <w:t>“</w:t>
      </w:r>
      <w:r>
        <w:rPr>
          <w:rFonts w:ascii="Times New Roman" w:hAnsi="Times New Roman"/>
          <w:color w:val="000000"/>
          <w:sz w:val="24"/>
          <w:u w:val="single"/>
        </w:rPr>
        <w:t>Commitment Period</w:t>
      </w:r>
      <w:r>
        <w:rPr>
          <w:rFonts w:ascii="Times New Roman" w:hAnsi="Times New Roman"/>
          <w:color w:val="000000"/>
          <w:sz w:val="20"/>
        </w:rPr>
        <w:t xml:space="preserve">” </w:t>
      </w:r>
      <w:r>
        <w:rPr>
          <w:rFonts w:ascii="Times New Roman" w:hAnsi="Times New Roman"/>
          <w:color w:val="000000"/>
          <w:sz w:val="24"/>
        </w:rPr>
        <w:t>means the period commencing on the date of this Agreement and expiring on the date this Agreement is terminated pursuant to Section 8.</w:t>
      </w:r>
    </w:p>
    <w:p>
      <w:pPr>
        <w:pStyle w:val="TextBody"/>
        <w:bidi w:val="0"/>
        <w:spacing w:before="0" w:after="240"/>
        <w:jc w:val="both"/>
        <w:rPr/>
      </w:pPr>
      <w:r>
        <w:rPr>
          <w:color w:val="000000"/>
        </w:rPr>
        <w:t>“</w:t>
      </w:r>
      <w:r>
        <w:rPr>
          <w:rFonts w:ascii="Times New Roman" w:hAnsi="Times New Roman"/>
          <w:color w:val="000000"/>
          <w:sz w:val="24"/>
          <w:u w:val="single"/>
        </w:rPr>
        <w:t>Contingent Forward</w:t>
      </w:r>
      <w:r>
        <w:rPr>
          <w:rFonts w:ascii="Times New Roman" w:hAnsi="Times New Roman"/>
          <w:color w:val="000000"/>
          <w:sz w:val="20"/>
        </w:rPr>
        <w:t xml:space="preserve">” </w:t>
      </w:r>
      <w:r>
        <w:rPr>
          <w:rFonts w:ascii="Times New Roman" w:hAnsi="Times New Roman"/>
          <w:color w:val="000000"/>
          <w:sz w:val="24"/>
        </w:rPr>
        <w:t>means any Forward that is a contingent forward transaction entered into with the Forward Purchaser pursuant to the applicable Forward Contract.</w:t>
      </w:r>
    </w:p>
    <w:p>
      <w:pPr>
        <w:pStyle w:val="TextBody"/>
        <w:bidi w:val="0"/>
        <w:spacing w:before="0" w:after="240"/>
        <w:jc w:val="both"/>
        <w:rPr/>
      </w:pPr>
      <w:r>
        <w:rPr>
          <w:color w:val="000000"/>
        </w:rPr>
        <w:t>“</w:t>
      </w:r>
      <w:r>
        <w:rPr>
          <w:rFonts w:ascii="Times New Roman" w:hAnsi="Times New Roman"/>
          <w:color w:val="000000"/>
          <w:sz w:val="24"/>
          <w:u w:val="single"/>
        </w:rPr>
        <w:t>Contingent Forward Quote</w:t>
      </w:r>
      <w:r>
        <w:rPr>
          <w:rFonts w:ascii="Times New Roman" w:hAnsi="Times New Roman"/>
          <w:color w:val="000000"/>
          <w:sz w:val="20"/>
        </w:rPr>
        <w:t xml:space="preserve">” </w:t>
      </w:r>
      <w:r>
        <w:rPr>
          <w:rFonts w:ascii="Times New Roman" w:hAnsi="Times New Roman"/>
          <w:color w:val="000000"/>
          <w:sz w:val="24"/>
        </w:rPr>
        <w:t>has the meaning set forth in Section 3(b).</w:t>
      </w:r>
    </w:p>
    <w:p>
      <w:pPr>
        <w:pStyle w:val="TextBody"/>
        <w:bidi w:val="0"/>
        <w:spacing w:before="0" w:after="240"/>
        <w:jc w:val="both"/>
        <w:rPr/>
      </w:pPr>
      <w:r>
        <w:rPr>
          <w:color w:val="000000"/>
        </w:rPr>
        <w:t>“</w:t>
      </w:r>
      <w:r>
        <w:rPr>
          <w:rFonts w:ascii="Times New Roman" w:hAnsi="Times New Roman"/>
          <w:color w:val="000000"/>
          <w:sz w:val="24"/>
          <w:u w:val="single"/>
        </w:rPr>
        <w:t>Disclosure Package</w:t>
      </w:r>
      <w:r>
        <w:rPr>
          <w:rFonts w:ascii="Times New Roman" w:hAnsi="Times New Roman"/>
          <w:color w:val="000000"/>
          <w:sz w:val="20"/>
        </w:rPr>
        <w:t xml:space="preserve">” </w:t>
      </w:r>
      <w:r>
        <w:rPr>
          <w:rFonts w:ascii="Times New Roman" w:hAnsi="Times New Roman"/>
          <w:color w:val="000000"/>
          <w:sz w:val="24"/>
        </w:rPr>
        <w:t xml:space="preserve">shall mean (i) the Base Prospectus, (ii) the Prospectus Supplement, (iii) the Issuer Free Writing Prospectuses, if any, identified in </w:t>
      </w:r>
      <w:r>
        <w:rPr>
          <w:rFonts w:ascii="Times New Roman" w:hAnsi="Times New Roman"/>
          <w:b/>
          <w:color w:val="000000"/>
          <w:sz w:val="24"/>
          <w:u w:val="single"/>
        </w:rPr>
        <w:t>Schedule I</w:t>
      </w:r>
      <w:r>
        <w:rPr>
          <w:rFonts w:ascii="Times New Roman" w:hAnsi="Times New Roman"/>
          <w:color w:val="000000"/>
          <w:sz w:val="20"/>
        </w:rPr>
        <w:t xml:space="preserve"> </w:t>
      </w:r>
      <w:r>
        <w:rPr>
          <w:rFonts w:ascii="Times New Roman" w:hAnsi="Times New Roman"/>
          <w:color w:val="000000"/>
          <w:sz w:val="24"/>
        </w:rPr>
        <w:t>hereto, (iv) the public offering price of Shares sold at the relevant Applicable Time as specified in a Terms Agreement and (v) any other Free Writing Prospectus that the parties hereto shall hereafter expressly agree in writing to treat as part of the Disclosure Package.</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Effective Date</w:t>
      </w:r>
      <w:r>
        <w:rPr>
          <w:rFonts w:ascii="Times New Roman" w:hAnsi="Times New Roman"/>
          <w:color w:val="000000"/>
          <w:sz w:val="20"/>
        </w:rPr>
        <w:t xml:space="preserve">” </w:t>
      </w:r>
      <w:r>
        <w:rPr>
          <w:rFonts w:ascii="Times New Roman" w:hAnsi="Times New Roman"/>
          <w:color w:val="000000"/>
          <w:sz w:val="24"/>
        </w:rPr>
        <w:t>shall mean each date and time that the Registration Statement, any post-effective amendment or amendments thereto and any Rule 462(b) Registration Statement became or becomes effective.</w:t>
      </w:r>
    </w:p>
    <w:p>
      <w:pPr>
        <w:pStyle w:val="TextBody"/>
        <w:bidi w:val="0"/>
        <w:spacing w:before="0" w:after="240"/>
        <w:jc w:val="both"/>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shall mean the Securities Exchange Act of 1934, as amended, and the rules and regulations of the Commission promulgated thereunder.</w:t>
      </w:r>
    </w:p>
    <w:p>
      <w:pPr>
        <w:pStyle w:val="TextBody"/>
        <w:bidi w:val="0"/>
        <w:spacing w:before="0" w:after="240"/>
        <w:jc w:val="both"/>
        <w:rPr/>
      </w:pPr>
      <w:r>
        <w:rPr>
          <w:color w:val="000000"/>
        </w:rPr>
        <w:t>“</w:t>
      </w:r>
      <w:r>
        <w:rPr>
          <w:rFonts w:ascii="Times New Roman" w:hAnsi="Times New Roman"/>
          <w:color w:val="000000"/>
          <w:sz w:val="24"/>
          <w:u w:val="single"/>
        </w:rPr>
        <w:t>Execution Time</w:t>
      </w:r>
      <w:r>
        <w:rPr>
          <w:rFonts w:ascii="Times New Roman" w:hAnsi="Times New Roman"/>
          <w:color w:val="000000"/>
          <w:sz w:val="20"/>
        </w:rPr>
        <w:t xml:space="preserve">” </w:t>
      </w:r>
      <w:r>
        <w:rPr>
          <w:rFonts w:ascii="Times New Roman" w:hAnsi="Times New Roman"/>
          <w:color w:val="000000"/>
          <w:sz w:val="24"/>
        </w:rPr>
        <w:t>shall mean the date and time that this Agreement is executed and delivered by the parties hereto.</w:t>
      </w:r>
    </w:p>
    <w:p>
      <w:pPr>
        <w:pStyle w:val="TextBody"/>
        <w:bidi w:val="0"/>
        <w:jc w:val="both"/>
        <w:rPr/>
      </w:pPr>
      <w:r>
        <w:rPr>
          <w:color w:val="000000"/>
        </w:rPr>
        <w:t>“</w:t>
      </w:r>
      <w:r>
        <w:rPr>
          <w:rFonts w:ascii="Times New Roman" w:hAnsi="Times New Roman"/>
          <w:color w:val="000000"/>
          <w:sz w:val="24"/>
          <w:u w:val="single"/>
        </w:rPr>
        <w:t>Forward</w:t>
      </w:r>
      <w:r>
        <w:rPr>
          <w:rFonts w:ascii="Times New Roman" w:hAnsi="Times New Roman"/>
          <w:color w:val="000000"/>
          <w:sz w:val="20"/>
        </w:rPr>
        <w:t xml:space="preserve">” </w:t>
      </w:r>
      <w:r>
        <w:rPr>
          <w:rFonts w:ascii="Times New Roman" w:hAnsi="Times New Roman"/>
          <w:color w:val="000000"/>
          <w:sz w:val="24"/>
        </w:rPr>
        <w:t>means a Non-Contingent Forward or a Contingent Forward, as the context requires.</w:t>
      </w:r>
    </w:p>
    <w:p>
      <w:pPr>
        <w:pStyle w:val="TextBody"/>
        <w:bidi w:val="0"/>
        <w:jc w:val="both"/>
        <w:rPr/>
      </w:pPr>
      <w:r>
        <w:rPr>
          <w:color w:val="000000"/>
        </w:rPr>
        <w:t>“</w:t>
      </w:r>
      <w:r>
        <w:rPr>
          <w:rFonts w:ascii="Times New Roman" w:hAnsi="Times New Roman"/>
          <w:color w:val="000000"/>
          <w:sz w:val="24"/>
          <w:u w:val="single"/>
        </w:rPr>
        <w:t>Forward Contract</w:t>
      </w:r>
      <w:r>
        <w:rPr>
          <w:rFonts w:ascii="Times New Roman" w:hAnsi="Times New Roman"/>
          <w:color w:val="000000"/>
          <w:sz w:val="20"/>
        </w:rPr>
        <w:t xml:space="preserve">” </w:t>
      </w:r>
      <w:r>
        <w:rPr>
          <w:rFonts w:ascii="Times New Roman" w:hAnsi="Times New Roman"/>
          <w:color w:val="000000"/>
          <w:sz w:val="24"/>
        </w:rPr>
        <w:t>means, for each Forward, the contract evidencing such Forward between the Company and the Forward Purchaser, which shall be comprised of the applicable Master Forward Confirmation and the related “Supplemental Confirmation” (as defined in such Master Forward Confirmation) for such Forward.</w:t>
      </w:r>
    </w:p>
    <w:p>
      <w:pPr>
        <w:pStyle w:val="TextBody"/>
        <w:bidi w:val="0"/>
        <w:spacing w:before="0" w:after="240"/>
        <w:jc w:val="both"/>
        <w:rPr/>
      </w:pPr>
      <w:r>
        <w:rPr>
          <w:color w:val="000000"/>
        </w:rPr>
        <w:t>“</w:t>
      </w:r>
      <w:r>
        <w:rPr>
          <w:rFonts w:ascii="Times New Roman" w:hAnsi="Times New Roman"/>
          <w:color w:val="000000"/>
          <w:sz w:val="24"/>
          <w:u w:val="single"/>
        </w:rPr>
        <w:t>Forward Hedge Amount</w:t>
      </w:r>
      <w:r>
        <w:rPr>
          <w:rFonts w:ascii="Times New Roman" w:hAnsi="Times New Roman"/>
          <w:color w:val="000000"/>
          <w:sz w:val="20"/>
        </w:rPr>
        <w:t xml:space="preserve">” </w:t>
      </w:r>
      <w:r>
        <w:rPr>
          <w:rFonts w:ascii="Times New Roman" w:hAnsi="Times New Roman"/>
          <w:color w:val="000000"/>
          <w:sz w:val="24"/>
        </w:rPr>
        <w:t>means, for any Non-Contingent Forward, the amount specified as such in the Placement Notice for such Forward (as amended by the corresponding Acceptance, if applicable), which amount shall be the target aggregate Sales Price of the Forward Hedge Shares to be sold by the Forward Seller in respect of such Forward, subject to the terms and conditions of this Agreement.</w:t>
      </w:r>
    </w:p>
    <w:p>
      <w:pPr>
        <w:pStyle w:val="TextBody"/>
        <w:bidi w:val="0"/>
        <w:jc w:val="both"/>
        <w:rPr/>
      </w:pPr>
      <w:r>
        <w:rPr>
          <w:color w:val="000000"/>
        </w:rPr>
        <w:t>“</w:t>
      </w:r>
      <w:r>
        <w:rPr>
          <w:rFonts w:ascii="Times New Roman" w:hAnsi="Times New Roman"/>
          <w:color w:val="000000"/>
          <w:sz w:val="24"/>
          <w:u w:val="single"/>
        </w:rPr>
        <w:t>Forward Hedge Price</w:t>
      </w:r>
      <w:r>
        <w:rPr>
          <w:rFonts w:ascii="Times New Roman" w:hAnsi="Times New Roman"/>
          <w:color w:val="000000"/>
          <w:sz w:val="20"/>
        </w:rPr>
        <w:t xml:space="preserve">” </w:t>
      </w:r>
      <w:r>
        <w:rPr>
          <w:rFonts w:ascii="Times New Roman" w:hAnsi="Times New Roman"/>
          <w:color w:val="000000"/>
          <w:sz w:val="24"/>
        </w:rPr>
        <w:t>means, (x) for any Non-Contingent Forward Contract, the product of (i) one hundred percent (100%) minus the Forward Hedge Selling Commission Rate and (ii) the Volume-Weighted Hedge Price for such Non-Contingent Forward Contract and (y) for any Contingent Forward, the product of (i) one hundred percent (100%) minus the Forward Hedge Selling Commission Rate and (ii) the volume-weighted average price per Share of the Forward Hedge Shares sold by the Forward Seller.</w:t>
      </w:r>
    </w:p>
    <w:p>
      <w:pPr>
        <w:pStyle w:val="TextBody"/>
        <w:bidi w:val="0"/>
        <w:jc w:val="both"/>
        <w:rPr/>
      </w:pPr>
      <w:r>
        <w:rPr>
          <w:color w:val="000000"/>
        </w:rPr>
        <w:t>“</w:t>
      </w:r>
      <w:r>
        <w:rPr>
          <w:rFonts w:ascii="Times New Roman" w:hAnsi="Times New Roman"/>
          <w:color w:val="000000"/>
          <w:sz w:val="24"/>
          <w:u w:val="single"/>
        </w:rPr>
        <w:t>Forward Hedge Selling Commission</w:t>
      </w:r>
      <w:r>
        <w:rPr>
          <w:rFonts w:ascii="Times New Roman" w:hAnsi="Times New Roman"/>
          <w:color w:val="000000"/>
          <w:sz w:val="20"/>
        </w:rPr>
        <w:t xml:space="preserve">” </w:t>
      </w:r>
      <w:r>
        <w:rPr>
          <w:rFonts w:ascii="Times New Roman" w:hAnsi="Times New Roman"/>
          <w:color w:val="000000"/>
          <w:sz w:val="24"/>
        </w:rPr>
        <w:t>means, (x) for any Non-Contingent Forward Contract, the product of (i) the Forward Hedge Selling Commission Rate and (ii) the Volume-Weighted Hedge Price for such Non-Contingent Forward Contract and (y) for any Contingent Forward, the product of (i) the Forward Hedge Selling Commission Rate and (ii) the volume-weighted average price per Share of the Forward Hedge Shares sold by the Forward Seller.</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Forward Hedge Selling Commission Rate</w:t>
      </w:r>
      <w:r>
        <w:rPr>
          <w:rFonts w:ascii="Times New Roman" w:hAnsi="Times New Roman"/>
          <w:color w:val="000000"/>
          <w:sz w:val="20"/>
        </w:rPr>
        <w:t xml:space="preserve">” </w:t>
      </w:r>
      <w:r>
        <w:rPr>
          <w:rFonts w:ascii="Times New Roman" w:hAnsi="Times New Roman"/>
          <w:color w:val="000000"/>
          <w:sz w:val="24"/>
        </w:rPr>
        <w:t xml:space="preserve">means, for any Forward Contract, a rate of any commission, discount or other compensation to be paid by the Company to the Forward Seller in connection with the sale of the Forward Hedge Shares, which shall be determined in accordance with the terms set forth on </w:t>
      </w:r>
      <w:r>
        <w:rPr>
          <w:rFonts w:ascii="Times New Roman" w:hAnsi="Times New Roman"/>
          <w:b/>
          <w:color w:val="000000"/>
          <w:sz w:val="24"/>
          <w:u w:val="single"/>
        </w:rPr>
        <w:t>Exhibit C</w:t>
      </w:r>
      <w:r>
        <w:rPr>
          <w:rFonts w:ascii="Times New Roman" w:hAnsi="Times New Roman"/>
          <w:color w:val="000000"/>
          <w:sz w:val="20"/>
        </w:rPr>
        <w:t xml:space="preserve"> </w:t>
      </w:r>
      <w:r>
        <w:rPr>
          <w:rFonts w:ascii="Times New Roman" w:hAnsi="Times New Roman"/>
          <w:color w:val="000000"/>
          <w:sz w:val="24"/>
        </w:rPr>
        <w:t>and recorded in the applicable Placement Notice (as amended by the corresponding Acceptance, if applicable).</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Forward Hedge Selling Period</w:t>
      </w:r>
      <w:r>
        <w:rPr>
          <w:rFonts w:ascii="Times New Roman" w:hAnsi="Times New Roman"/>
          <w:color w:val="000000"/>
          <w:sz w:val="20"/>
        </w:rPr>
        <w:t xml:space="preserve">” </w:t>
      </w:r>
      <w:r>
        <w:rPr>
          <w:rFonts w:ascii="Times New Roman" w:hAnsi="Times New Roman"/>
          <w:color w:val="000000"/>
          <w:sz w:val="24"/>
        </w:rPr>
        <w:t>means, subject to Section 3(c) hereof, (i) in the case of a Non-Contingent Forward, the period of such number of consecutive Trading Days (as determined by the Company in the Company’s sole discretion and specified in the</w:t>
      </w:r>
      <w:r>
        <w:rPr>
          <w:rFonts w:ascii="Times New Roman" w:hAnsi="Times New Roman"/>
          <w:color w:val="000000"/>
          <w:sz w:val="20"/>
        </w:rPr>
        <w:t xml:space="preserve">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applicable Placement Notice (as amended by the corresponding Acceptance, if applicable) specifying that it relates to a Non-Contingent Forward), beginning on the date specified in the applicable Placement Notice (as amended by the corresponding Acceptance, if applicable) or, if such date is not a Trading Day, the next Trading Day following such date and ending on the last such Trading Day or such earlier date on which the Forward Seller shall have completed the sale of Forward Hedge Shares in connection with the applicable Forward and (ii) in the case of a Contingent Forward, the period beginning on the date of an Acceptance with respect to such Contingent Forward and ending on the earlier of (x) the Sales Period Outside Date (as defined in the Master Forward Confirmation) and (y) the date that the Forward Seller has finished selling the maximum number of Shares underlying such Contingent Forward;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prior to the scheduled end of any Forward Hedge Selling Period (x) any event occurs that would permit the Forward Purchaser to designate a “Scheduled Trading Day” as an “Early Valuation Date,” “Early Termination Date” or “Termination Settlement Date” (as each such term is defined in the applicable Master Forward Confirmation) under, and pursuant to the provisions of, the applicable Master Forward Confirmation or (y) a “Bankruptcy Termination Event” (as such term is defined in the applicable Master Forward Confirmation) occurs, then the Forward Hedge Selling Period shall, upon the Forward Seller becoming aware of such occurrence, immediately terminate as of the first such occurrence. Any Forward Hedge Selling Period then in effect shall immediately terminate upon the termination of this Agreement pursuant to Section 6 or Section 8 hereof and as set forth in Sections 3(b) and 3(v) hereof.</w:t>
      </w:r>
    </w:p>
    <w:p>
      <w:pPr>
        <w:pStyle w:val="TextBody"/>
        <w:bidi w:val="0"/>
        <w:jc w:val="both"/>
        <w:rPr/>
      </w:pPr>
      <w:r>
        <w:rPr>
          <w:color w:val="000000"/>
        </w:rPr>
        <w:t>“</w:t>
      </w:r>
      <w:r>
        <w:rPr>
          <w:rFonts w:ascii="Times New Roman" w:hAnsi="Times New Roman"/>
          <w:color w:val="000000"/>
          <w:sz w:val="24"/>
          <w:u w:val="single"/>
        </w:rPr>
        <w:t>Forward Hedge Settlement Date</w:t>
      </w:r>
      <w:r>
        <w:rPr>
          <w:rFonts w:ascii="Times New Roman" w:hAnsi="Times New Roman"/>
          <w:color w:val="000000"/>
          <w:sz w:val="20"/>
        </w:rPr>
        <w:t xml:space="preserve">” </w:t>
      </w:r>
      <w:r>
        <w:rPr>
          <w:rFonts w:ascii="Times New Roman" w:hAnsi="Times New Roman"/>
          <w:color w:val="000000"/>
          <w:sz w:val="24"/>
        </w:rPr>
        <w:t>means, for any Forward Contract, unless specified in the applicable Placement Notice (as amended by the corresponding Acceptance, if applicable), the first (1st) Trading Day (as defined below) (or such earlier day as is industry practice for regular-way trading) following a date on which sales of any Forward Hedge Shares are made.</w:t>
      </w:r>
    </w:p>
    <w:p>
      <w:pPr>
        <w:pStyle w:val="TextBody"/>
        <w:bidi w:val="0"/>
        <w:jc w:val="both"/>
        <w:rPr/>
      </w:pPr>
      <w:r>
        <w:rPr>
          <w:color w:val="000000"/>
        </w:rPr>
        <w:t>“</w:t>
      </w:r>
      <w:r>
        <w:rPr>
          <w:rFonts w:ascii="Times New Roman" w:hAnsi="Times New Roman"/>
          <w:color w:val="000000"/>
          <w:sz w:val="24"/>
          <w:u w:val="single"/>
        </w:rPr>
        <w:t>Forward Hedge Shares</w:t>
      </w:r>
      <w:r>
        <w:rPr>
          <w:rFonts w:ascii="Times New Roman" w:hAnsi="Times New Roman"/>
          <w:color w:val="000000"/>
          <w:sz w:val="20"/>
        </w:rPr>
        <w:t xml:space="preserve">” </w:t>
      </w:r>
      <w:r>
        <w:rPr>
          <w:rFonts w:ascii="Times New Roman" w:hAnsi="Times New Roman"/>
          <w:color w:val="000000"/>
          <w:sz w:val="24"/>
        </w:rPr>
        <w:t>means all Common Stock borrowed by the Forward Purchaser or its affiliate and offered and sold by the Forward Seller or its affiliate in connection with any Forward that has occurred or may occur in accordance with the terms and conditions of this Agreement. Where the context requires, the term “Forward Hedge Shares” as used herein shall include the definition of the same under the Separate Distribution Agreements.</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Forward Purchaser</w:t>
      </w:r>
      <w:r>
        <w:rPr>
          <w:rFonts w:ascii="Times New Roman" w:hAnsi="Times New Roman"/>
          <w:color w:val="000000"/>
          <w:sz w:val="20"/>
        </w:rPr>
        <w:t xml:space="preserve">” </w:t>
      </w:r>
      <w:r>
        <w:rPr>
          <w:rFonts w:ascii="Times New Roman" w:hAnsi="Times New Roman"/>
          <w:color w:val="000000"/>
          <w:sz w:val="24"/>
        </w:rPr>
        <w:t>has the meaning set forth in the introductory paragraph of this Agreement. If a Forward Purchaser has not been identified in the introductory paragraph of this Agreement, the Company agrees that all provisions of this Agreement related to the Forward Purchaser are not applicable hereunder.</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Forward Seller</w:t>
      </w:r>
      <w:r>
        <w:rPr>
          <w:rFonts w:ascii="Times New Roman" w:hAnsi="Times New Roman"/>
          <w:color w:val="000000"/>
          <w:sz w:val="20"/>
        </w:rPr>
        <w:t xml:space="preserve">” </w:t>
      </w:r>
      <w:r>
        <w:rPr>
          <w:rFonts w:ascii="Times New Roman" w:hAnsi="Times New Roman"/>
          <w:color w:val="000000"/>
          <w:sz w:val="24"/>
        </w:rPr>
        <w:t>has the meaning set forth in the introductory paragraph of this Agreement. If a Forward Seller has not been identified in the introductory paragraph of this Agreement, the Company agrees that all provisions of this Agreement related to the Forward Seller are not applicable hereunder.</w:t>
      </w:r>
    </w:p>
    <w:p>
      <w:pPr>
        <w:pStyle w:val="TextBody"/>
        <w:bidi w:val="0"/>
        <w:jc w:val="both"/>
        <w:rPr/>
      </w:pPr>
      <w:r>
        <w:rPr/>
        <w:t>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color w:val="000000"/>
        </w:rPr>
        <w:t>“</w:t>
      </w:r>
      <w:r>
        <w:rPr>
          <w:rFonts w:ascii="Times New Roman" w:hAnsi="Times New Roman"/>
          <w:color w:val="000000"/>
          <w:sz w:val="24"/>
          <w:u w:val="single"/>
        </w:rPr>
        <w:t>Forward Settlement Shares</w:t>
      </w:r>
      <w:r>
        <w:rPr>
          <w:rFonts w:ascii="Times New Roman" w:hAnsi="Times New Roman"/>
          <w:color w:val="000000"/>
          <w:sz w:val="20"/>
        </w:rPr>
        <w:t xml:space="preserve">” </w:t>
      </w:r>
      <w:r>
        <w:rPr>
          <w:rFonts w:ascii="Times New Roman" w:hAnsi="Times New Roman"/>
          <w:color w:val="000000"/>
          <w:sz w:val="24"/>
        </w:rPr>
        <w:t>means any shares of Common Stock issued by the Company pursuant to the Company’s election (or deemed election) of “net share” settlement or “physical” settlement of any Forward Contract.</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Free Writing Prospectus</w:t>
      </w:r>
      <w:r>
        <w:rPr>
          <w:rFonts w:ascii="Times New Roman" w:hAnsi="Times New Roman"/>
          <w:color w:val="000000"/>
          <w:sz w:val="20"/>
        </w:rPr>
        <w:t xml:space="preserve">” </w:t>
      </w:r>
      <w:r>
        <w:rPr>
          <w:rFonts w:ascii="Times New Roman" w:hAnsi="Times New Roman"/>
          <w:color w:val="000000"/>
          <w:sz w:val="24"/>
        </w:rPr>
        <w:t>shall mean a free writing prospectus, as defined in Rule 405.</w:t>
      </w:r>
    </w:p>
    <w:p>
      <w:pPr>
        <w:pStyle w:val="TextBody"/>
        <w:bidi w:val="0"/>
        <w:spacing w:before="0" w:after="240"/>
        <w:jc w:val="both"/>
        <w:rPr/>
      </w:pPr>
      <w:r>
        <w:rPr>
          <w:color w:val="000000"/>
        </w:rPr>
        <w:t>“</w:t>
      </w:r>
      <w:r>
        <w:rPr>
          <w:rFonts w:ascii="Times New Roman" w:hAnsi="Times New Roman"/>
          <w:color w:val="000000"/>
          <w:sz w:val="24"/>
          <w:u w:val="single"/>
        </w:rPr>
        <w:t>Issuance</w:t>
      </w:r>
      <w:r>
        <w:rPr>
          <w:rFonts w:ascii="Times New Roman" w:hAnsi="Times New Roman"/>
          <w:color w:val="000000"/>
          <w:sz w:val="20"/>
        </w:rPr>
        <w:t xml:space="preserve">” </w:t>
      </w:r>
      <w:r>
        <w:rPr>
          <w:rFonts w:ascii="Times New Roman" w:hAnsi="Times New Roman"/>
          <w:color w:val="000000"/>
          <w:sz w:val="24"/>
        </w:rPr>
        <w:t>means each occasion the Company elects to exercise its right to enter into a Terms Agreement or deliver a Placement Notice that does not involve a Forward and that specifies that it relates to an “Issuance” and, pursuant to a Placement Notice, requires the Agent to use its commercially reasonable efforts consistent with its normal trading and sales practices to sell the Issuance Shares as specified in such Placement Notice, subject to the terms and conditions of this Agreement.</w:t>
      </w:r>
    </w:p>
    <w:p>
      <w:pPr>
        <w:pStyle w:val="TextBody"/>
        <w:bidi w:val="0"/>
        <w:spacing w:before="0" w:after="240"/>
        <w:jc w:val="both"/>
        <w:rPr/>
      </w:pPr>
      <w:r>
        <w:rPr>
          <w:color w:val="000000"/>
        </w:rPr>
        <w:t>“</w:t>
      </w:r>
      <w:r>
        <w:rPr>
          <w:rFonts w:ascii="Times New Roman" w:hAnsi="Times New Roman"/>
          <w:color w:val="000000"/>
          <w:sz w:val="24"/>
          <w:u w:val="single"/>
        </w:rPr>
        <w:t>Issuance Amount</w:t>
      </w:r>
      <w:r>
        <w:rPr>
          <w:rFonts w:ascii="Times New Roman" w:hAnsi="Times New Roman"/>
          <w:color w:val="000000"/>
          <w:sz w:val="20"/>
        </w:rPr>
        <w:t xml:space="preserve">” </w:t>
      </w:r>
      <w:r>
        <w:rPr>
          <w:rFonts w:ascii="Times New Roman" w:hAnsi="Times New Roman"/>
          <w:color w:val="000000"/>
          <w:sz w:val="24"/>
        </w:rPr>
        <w:t>means, for any Issuance, the amount specified as such in the Placement Notice or Terms Agreement for such Issuance, which amount, in the case of an Issuance pursuant to a Placement Notice, shall be the target aggregate Sales Price of the Issuance Shares to be sold by the Agent, subject to the terms and conditions of this Agreement.</w:t>
      </w:r>
    </w:p>
    <w:p>
      <w:pPr>
        <w:pStyle w:val="TextBody"/>
        <w:bidi w:val="0"/>
        <w:spacing w:before="0" w:after="240"/>
        <w:jc w:val="both"/>
        <w:rPr/>
      </w:pPr>
      <w:r>
        <w:rPr>
          <w:color w:val="000000"/>
        </w:rPr>
        <w:t>“</w:t>
      </w:r>
      <w:r>
        <w:rPr>
          <w:rFonts w:ascii="Times New Roman" w:hAnsi="Times New Roman"/>
          <w:color w:val="000000"/>
          <w:sz w:val="24"/>
          <w:u w:val="single"/>
        </w:rPr>
        <w:t>Issuance Selling Period</w:t>
      </w:r>
      <w:r>
        <w:rPr>
          <w:rFonts w:ascii="Times New Roman" w:hAnsi="Times New Roman"/>
          <w:color w:val="000000"/>
          <w:sz w:val="20"/>
        </w:rPr>
        <w:t xml:space="preserve">” </w:t>
      </w:r>
      <w:r>
        <w:rPr>
          <w:rFonts w:ascii="Times New Roman" w:hAnsi="Times New Roman"/>
          <w:color w:val="000000"/>
          <w:sz w:val="24"/>
        </w:rPr>
        <w:t>means the period of such number of consecutive Trading Days (as determined by the Company in the Company’s sole discretion and specified in the applicable Placement Notice specifying that it relates to an “Issuance”) beginning on the date specified in the applicable Placement Notice or, if such date is not a Trading Day, the next Trading Day following such date.</w:t>
      </w:r>
    </w:p>
    <w:p>
      <w:pPr>
        <w:pStyle w:val="TextBody"/>
        <w:bidi w:val="0"/>
        <w:spacing w:before="0" w:after="240"/>
        <w:jc w:val="both"/>
        <w:rPr/>
      </w:pPr>
      <w:r>
        <w:rPr>
          <w:color w:val="000000"/>
        </w:rPr>
        <w:t>“</w:t>
      </w:r>
      <w:r>
        <w:rPr>
          <w:rFonts w:ascii="Times New Roman" w:hAnsi="Times New Roman"/>
          <w:color w:val="000000"/>
          <w:sz w:val="24"/>
          <w:u w:val="single"/>
        </w:rPr>
        <w:t>Issuance Settlement Date</w:t>
      </w:r>
      <w:r>
        <w:rPr>
          <w:rFonts w:ascii="Times New Roman" w:hAnsi="Times New Roman"/>
          <w:color w:val="000000"/>
          <w:sz w:val="20"/>
        </w:rPr>
        <w:t xml:space="preserve">” </w:t>
      </w:r>
      <w:r>
        <w:rPr>
          <w:rFonts w:ascii="Times New Roman" w:hAnsi="Times New Roman"/>
          <w:color w:val="000000"/>
          <w:sz w:val="24"/>
        </w:rPr>
        <w:t>means, unless otherwise specified in the applicable Placement Notice or Terms Agreement, the first (1st) Trading Day (or such earlier day as is industry practice for regular-way trading) following a date on which sales of any Issuance Shares are made.</w:t>
      </w:r>
    </w:p>
    <w:p>
      <w:pPr>
        <w:pStyle w:val="TextBody"/>
        <w:bidi w:val="0"/>
        <w:spacing w:before="0" w:after="240"/>
        <w:jc w:val="both"/>
        <w:rPr/>
      </w:pPr>
      <w:r>
        <w:rPr>
          <w:color w:val="000000"/>
        </w:rPr>
        <w:t>“</w:t>
      </w:r>
      <w:r>
        <w:rPr>
          <w:rFonts w:ascii="Times New Roman" w:hAnsi="Times New Roman"/>
          <w:color w:val="000000"/>
          <w:sz w:val="24"/>
          <w:u w:val="single"/>
        </w:rPr>
        <w:t>Issuance Shares</w:t>
      </w:r>
      <w:r>
        <w:rPr>
          <w:rFonts w:ascii="Times New Roman" w:hAnsi="Times New Roman"/>
          <w:color w:val="000000"/>
          <w:sz w:val="20"/>
        </w:rPr>
        <w:t xml:space="preserve">” </w:t>
      </w:r>
      <w:r>
        <w:rPr>
          <w:rFonts w:ascii="Times New Roman" w:hAnsi="Times New Roman"/>
          <w:color w:val="000000"/>
          <w:sz w:val="24"/>
        </w:rPr>
        <w:t>means all shares of Common Stock issued or issuable pursuant to an Issuance that has occurred or may occur in accordance with the terms and conditions of this Agreement. Where the context requires, the term “Issuance Shares” as used herein, shall include the definition of the same under the Separate Distribution Agreements.</w:t>
      </w:r>
    </w:p>
    <w:p>
      <w:pPr>
        <w:pStyle w:val="TextBody"/>
        <w:bidi w:val="0"/>
        <w:spacing w:before="0" w:after="240"/>
        <w:jc w:val="both"/>
        <w:rPr/>
      </w:pPr>
      <w:r>
        <w:rPr>
          <w:color w:val="000000"/>
        </w:rPr>
        <w:t>“</w:t>
      </w:r>
      <w:r>
        <w:rPr>
          <w:rFonts w:ascii="Times New Roman" w:hAnsi="Times New Roman"/>
          <w:color w:val="000000"/>
          <w:sz w:val="24"/>
          <w:u w:val="single"/>
        </w:rPr>
        <w:t>Issuer Free Writing Prospectus</w:t>
      </w:r>
      <w:r>
        <w:rPr>
          <w:rFonts w:ascii="Times New Roman" w:hAnsi="Times New Roman"/>
          <w:color w:val="000000"/>
          <w:sz w:val="20"/>
        </w:rPr>
        <w:t xml:space="preserve">” </w:t>
      </w:r>
      <w:r>
        <w:rPr>
          <w:rFonts w:ascii="Times New Roman" w:hAnsi="Times New Roman"/>
          <w:color w:val="000000"/>
          <w:sz w:val="24"/>
        </w:rPr>
        <w:t>shall mean an issuer free writing prospectus, as defined in Rule 433.</w:t>
      </w:r>
    </w:p>
    <w:p>
      <w:pPr>
        <w:pStyle w:val="TextBody"/>
        <w:bidi w:val="0"/>
        <w:spacing w:before="0" w:after="240"/>
        <w:jc w:val="both"/>
        <w:rPr/>
      </w:pPr>
      <w:r>
        <w:rPr>
          <w:color w:val="000000"/>
        </w:rPr>
        <w:t>“</w:t>
      </w:r>
      <w:r>
        <w:rPr>
          <w:rFonts w:ascii="Times New Roman" w:hAnsi="Times New Roman"/>
          <w:color w:val="000000"/>
          <w:sz w:val="24"/>
          <w:u w:val="single"/>
        </w:rPr>
        <w:t>Master Forward Confirmation</w:t>
      </w:r>
      <w:r>
        <w:rPr>
          <w:rFonts w:ascii="Times New Roman" w:hAnsi="Times New Roman"/>
          <w:color w:val="000000"/>
          <w:sz w:val="20"/>
        </w:rPr>
        <w:t xml:space="preserve">” </w:t>
      </w:r>
      <w:r>
        <w:rPr>
          <w:rFonts w:ascii="Times New Roman" w:hAnsi="Times New Roman"/>
          <w:color w:val="000000"/>
          <w:sz w:val="24"/>
        </w:rPr>
        <w:t xml:space="preserve">means (i) with respect to any Non-Contingent Forward, the Master Confirmation for Non-Contingent Forwards substantially in the form attached hereto as </w:t>
      </w:r>
      <w:r>
        <w:rPr>
          <w:rFonts w:ascii="Times New Roman" w:hAnsi="Times New Roman"/>
          <w:b/>
          <w:color w:val="000000"/>
          <w:sz w:val="24"/>
          <w:u w:val="single"/>
        </w:rPr>
        <w:t>Exhibit F</w:t>
      </w:r>
      <w:r>
        <w:rPr>
          <w:rFonts w:ascii="Times New Roman" w:hAnsi="Times New Roman"/>
          <w:color w:val="000000"/>
          <w:sz w:val="24"/>
        </w:rPr>
        <w:t xml:space="preserve">, dated as of the date hereof, by and among the Company and the Forward Purchaser, including all provisions incorporated by reference therein and (ii) with respect to any Contingent Forward, the Master Confirmation for Contingent Forward Transactions substantially in the form attached hereto as </w:t>
      </w:r>
      <w:r>
        <w:rPr>
          <w:rFonts w:ascii="Times New Roman" w:hAnsi="Times New Roman"/>
          <w:b/>
          <w:color w:val="000000"/>
          <w:sz w:val="24"/>
          <w:u w:val="single"/>
        </w:rPr>
        <w:t>Exhibit G</w:t>
      </w:r>
      <w:r>
        <w:rPr>
          <w:rFonts w:ascii="Times New Roman" w:hAnsi="Times New Roman"/>
          <w:color w:val="000000"/>
          <w:sz w:val="24"/>
        </w:rPr>
        <w:t>, dated as of the date hereof, by and among the Company and the Forward Purchaser, including all provisions incorporated by reference therein.</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Maximum Program Amount</w:t>
      </w:r>
      <w:r>
        <w:rPr>
          <w:rFonts w:ascii="Times New Roman" w:hAnsi="Times New Roman"/>
          <w:color w:val="000000"/>
          <w:sz w:val="20"/>
        </w:rPr>
        <w:t xml:space="preserve">” </w:t>
      </w:r>
      <w:r>
        <w:rPr>
          <w:rFonts w:ascii="Times New Roman" w:hAnsi="Times New Roman"/>
          <w:color w:val="000000"/>
          <w:sz w:val="24"/>
        </w:rPr>
        <w:t>shall mean Shares with an aggregate gross sales price of $300,000,000 (or, if less, the aggregate amount of Shares registered under the Registration Statement), $214,982,308 of which remains available as of the date of this Agreement.</w:t>
      </w:r>
    </w:p>
    <w:p>
      <w:pPr>
        <w:pStyle w:val="TextBody"/>
        <w:bidi w:val="0"/>
        <w:spacing w:before="0" w:after="240"/>
        <w:jc w:val="both"/>
        <w:rPr/>
      </w:pPr>
      <w:r>
        <w:rPr>
          <w:color w:val="000000"/>
        </w:rPr>
        <w:t>“</w:t>
      </w:r>
      <w:r>
        <w:rPr>
          <w:rFonts w:ascii="Times New Roman" w:hAnsi="Times New Roman"/>
          <w:color w:val="000000"/>
          <w:sz w:val="24"/>
          <w:u w:val="single"/>
        </w:rPr>
        <w:t>Non-Contingent Forward</w:t>
      </w:r>
      <w:r>
        <w:rPr>
          <w:rFonts w:ascii="Times New Roman" w:hAnsi="Times New Roman"/>
          <w:color w:val="000000"/>
          <w:sz w:val="20"/>
        </w:rPr>
        <w:t xml:space="preserve">” </w:t>
      </w:r>
      <w:r>
        <w:rPr>
          <w:rFonts w:ascii="Times New Roman" w:hAnsi="Times New Roman"/>
          <w:color w:val="000000"/>
          <w:sz w:val="24"/>
        </w:rPr>
        <w:t>means any Forward other than a Contingent Forward.</w:t>
      </w:r>
    </w:p>
    <w:p>
      <w:pPr>
        <w:pStyle w:val="TextBody"/>
        <w:bidi w:val="0"/>
        <w:spacing w:before="0" w:after="240"/>
        <w:jc w:val="both"/>
        <w:rPr/>
      </w:pPr>
      <w:r>
        <w:rPr>
          <w:color w:val="000000"/>
        </w:rPr>
        <w:t>“</w:t>
      </w:r>
      <w:r>
        <w:rPr>
          <w:rFonts w:ascii="Times New Roman" w:hAnsi="Times New Roman"/>
          <w:color w:val="000000"/>
          <w:sz w:val="24"/>
          <w:u w:val="single"/>
        </w:rPr>
        <w:t>Operating Partnership</w:t>
      </w:r>
      <w:r>
        <w:rPr>
          <w:rFonts w:ascii="Times New Roman" w:hAnsi="Times New Roman"/>
          <w:color w:val="000000"/>
          <w:sz w:val="20"/>
        </w:rPr>
        <w:t xml:space="preserve">” </w:t>
      </w:r>
      <w:r>
        <w:rPr>
          <w:rFonts w:ascii="Times New Roman" w:hAnsi="Times New Roman"/>
          <w:color w:val="000000"/>
          <w:sz w:val="24"/>
        </w:rPr>
        <w:t>shall mean Easterly Government Properties LP, a Delaware limited partnership.</w:t>
      </w:r>
    </w:p>
    <w:p>
      <w:pPr>
        <w:pStyle w:val="TextBody"/>
        <w:bidi w:val="0"/>
        <w:spacing w:before="0" w:after="240"/>
        <w:jc w:val="both"/>
        <w:rPr/>
      </w:pPr>
      <w:r>
        <w:rPr>
          <w:color w:val="000000"/>
        </w:rPr>
        <w:t>“</w:t>
      </w:r>
      <w:r>
        <w:rPr>
          <w:rFonts w:ascii="Times New Roman" w:hAnsi="Times New Roman"/>
          <w:color w:val="000000"/>
          <w:sz w:val="24"/>
          <w:u w:val="single"/>
        </w:rPr>
        <w:t>Permitted Encumbrances</w:t>
      </w:r>
      <w:r>
        <w:rPr>
          <w:rFonts w:ascii="Times New Roman" w:hAnsi="Times New Roman"/>
          <w:color w:val="000000"/>
          <w:sz w:val="20"/>
        </w:rPr>
        <w:t xml:space="preserve">” </w:t>
      </w:r>
      <w:r>
        <w:rPr>
          <w:rFonts w:ascii="Times New Roman" w:hAnsi="Times New Roman"/>
          <w:color w:val="000000"/>
          <w:sz w:val="24"/>
        </w:rPr>
        <w:t>shall mean each of the following: (i) mechanics’, carriers’, workers’, repairers’, materialmen’s, warehousemen’s and other similar liens and encumbrances for construction in progress or which have otherwise arisen in the ordinary course of business; (ii) liens for taxes not yet delinquent or being contested in good faith and for which there are adequate reserves on the financial statements of the owner of the applicable Property; (iii)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course business of the Company or any of its subsidiaries; and (iv) liens arising under conditional sales contracts and equipment leases with third parties entered into in the ordinary course of business.</w:t>
      </w:r>
    </w:p>
    <w:p>
      <w:pPr>
        <w:pStyle w:val="TextBody"/>
        <w:bidi w:val="0"/>
        <w:spacing w:before="0" w:after="240"/>
        <w:jc w:val="both"/>
        <w:rPr/>
      </w:pPr>
      <w:r>
        <w:rPr>
          <w:color w:val="000000"/>
        </w:rPr>
        <w:t>“</w:t>
      </w:r>
      <w:r>
        <w:rPr>
          <w:rFonts w:ascii="Times New Roman" w:hAnsi="Times New Roman"/>
          <w:color w:val="000000"/>
          <w:sz w:val="24"/>
          <w:u w:val="single"/>
        </w:rPr>
        <w:t>Prospectus</w:t>
      </w:r>
      <w:r>
        <w:rPr>
          <w:rFonts w:ascii="Times New Roman" w:hAnsi="Times New Roman"/>
          <w:color w:val="000000"/>
          <w:sz w:val="20"/>
        </w:rPr>
        <w:t xml:space="preserve">” </w:t>
      </w:r>
      <w:r>
        <w:rPr>
          <w:rFonts w:ascii="Times New Roman" w:hAnsi="Times New Roman"/>
          <w:color w:val="000000"/>
          <w:sz w:val="24"/>
        </w:rPr>
        <w:t>shall mean the Base Prospectus, as supplemented by the Prospectus Supplement.</w:t>
      </w:r>
    </w:p>
    <w:p>
      <w:pPr>
        <w:pStyle w:val="TextBody"/>
        <w:bidi w:val="0"/>
        <w:spacing w:before="0" w:after="240"/>
        <w:jc w:val="both"/>
        <w:rPr/>
      </w:pPr>
      <w:r>
        <w:rPr>
          <w:color w:val="000000"/>
        </w:rPr>
        <w:t>“</w:t>
      </w:r>
      <w:r>
        <w:rPr>
          <w:rFonts w:ascii="Times New Roman" w:hAnsi="Times New Roman"/>
          <w:color w:val="000000"/>
          <w:sz w:val="24"/>
          <w:u w:val="single"/>
        </w:rPr>
        <w:t>Prospectus Supplement</w:t>
      </w:r>
      <w:r>
        <w:rPr>
          <w:rFonts w:ascii="Times New Roman" w:hAnsi="Times New Roman"/>
          <w:color w:val="000000"/>
          <w:sz w:val="20"/>
        </w:rPr>
        <w:t xml:space="preserve">” </w:t>
      </w:r>
      <w:r>
        <w:rPr>
          <w:rFonts w:ascii="Times New Roman" w:hAnsi="Times New Roman"/>
          <w:color w:val="000000"/>
          <w:sz w:val="24"/>
        </w:rPr>
        <w:t>shall mean the most recent prospectus supplement relating to the Shares that was first filed pursuant to Rule 424(b) as of the date of this Agreement.</w:t>
      </w:r>
    </w:p>
    <w:p>
      <w:pPr>
        <w:pStyle w:val="TextBody"/>
        <w:bidi w:val="0"/>
        <w:spacing w:before="0" w:after="240"/>
        <w:jc w:val="both"/>
        <w:rPr/>
      </w:pPr>
      <w:r>
        <w:rPr>
          <w:color w:val="000000"/>
        </w:rPr>
        <w:t>“</w:t>
      </w:r>
      <w:r>
        <w:rPr>
          <w:rFonts w:ascii="Times New Roman" w:hAnsi="Times New Roman"/>
          <w:color w:val="000000"/>
          <w:sz w:val="24"/>
          <w:u w:val="single"/>
        </w:rPr>
        <w:t>Registration Statement</w:t>
      </w:r>
      <w:r>
        <w:rPr>
          <w:rFonts w:ascii="Times New Roman" w:hAnsi="Times New Roman"/>
          <w:color w:val="000000"/>
          <w:sz w:val="20"/>
        </w:rPr>
        <w:t xml:space="preserve">” </w:t>
      </w:r>
      <w:r>
        <w:rPr>
          <w:rFonts w:ascii="Times New Roman" w:hAnsi="Times New Roman"/>
          <w:color w:val="000000"/>
          <w:sz w:val="24"/>
        </w:rPr>
        <w:t>shall mean the registration statement referred to in Section 2(b)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REIT</w:t>
      </w:r>
      <w:r>
        <w:rPr>
          <w:rFonts w:ascii="Times New Roman" w:hAnsi="Times New Roman"/>
          <w:color w:val="000000"/>
          <w:sz w:val="20"/>
        </w:rPr>
        <w:t xml:space="preserve">” </w:t>
      </w:r>
      <w:r>
        <w:rPr>
          <w:rFonts w:ascii="Times New Roman" w:hAnsi="Times New Roman"/>
          <w:color w:val="000000"/>
          <w:sz w:val="24"/>
        </w:rPr>
        <w:t>shall mean a real estate investment trust under the Code.</w:t>
      </w:r>
    </w:p>
    <w:p>
      <w:pPr>
        <w:pStyle w:val="TextBody"/>
        <w:bidi w:val="0"/>
        <w:spacing w:before="0" w:after="240"/>
        <w:jc w:val="both"/>
        <w:rPr/>
      </w:pPr>
      <w:r>
        <w:rPr>
          <w:color w:val="000000"/>
        </w:rPr>
        <w:t>“</w:t>
      </w:r>
      <w:r>
        <w:rPr>
          <w:rFonts w:ascii="Times New Roman" w:hAnsi="Times New Roman"/>
          <w:color w:val="000000"/>
          <w:sz w:val="24"/>
          <w:u w:val="single"/>
        </w:rPr>
        <w:t>Rule 158</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Rule 163</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Rule 164</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Rule 172</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Rule 405</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Rule 415</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Rule 424</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Rule 430B</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Rule 433</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Rule 456</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Rule 457</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Rule 462</w:t>
      </w:r>
      <w:r>
        <w:rPr>
          <w:rFonts w:ascii="Times New Roman" w:hAnsi="Times New Roman"/>
          <w:color w:val="000000"/>
          <w:sz w:val="20"/>
        </w:rPr>
        <w:t xml:space="preserve">” </w:t>
      </w:r>
      <w:r>
        <w:rPr>
          <w:rFonts w:ascii="Times New Roman" w:hAnsi="Times New Roman"/>
          <w:color w:val="000000"/>
          <w:sz w:val="24"/>
        </w:rPr>
        <w:t>refer to such rules under the Act.</w:t>
      </w:r>
    </w:p>
    <w:p>
      <w:pPr>
        <w:pStyle w:val="TextBody"/>
        <w:bidi w:val="0"/>
        <w:spacing w:before="0" w:after="240"/>
        <w:jc w:val="both"/>
        <w:rPr/>
      </w:pPr>
      <w:r>
        <w:rPr>
          <w:color w:val="000000"/>
        </w:rPr>
        <w:t>“</w:t>
      </w:r>
      <w:r>
        <w:rPr>
          <w:rFonts w:ascii="Times New Roman" w:hAnsi="Times New Roman"/>
          <w:color w:val="000000"/>
          <w:sz w:val="24"/>
          <w:u w:val="single"/>
        </w:rPr>
        <w:t>Rule 462(b) Registration Statement</w:t>
      </w:r>
      <w:r>
        <w:rPr>
          <w:rFonts w:ascii="Times New Roman" w:hAnsi="Times New Roman"/>
          <w:color w:val="000000"/>
          <w:sz w:val="20"/>
        </w:rPr>
        <w:t xml:space="preserve">” </w:t>
      </w:r>
      <w:r>
        <w:rPr>
          <w:rFonts w:ascii="Times New Roman" w:hAnsi="Times New Roman"/>
          <w:color w:val="000000"/>
          <w:sz w:val="24"/>
        </w:rPr>
        <w:t>shall mean a registration statement and any amendments thereto filed pursuant to Rule 462(b) relating to the offering covered by the registration statement referred to in Section 2(a) hereof.</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color w:val="000000"/>
        </w:rPr>
        <w:t>“</w:t>
      </w:r>
      <w:r>
        <w:rPr>
          <w:rFonts w:ascii="Times New Roman" w:hAnsi="Times New Roman"/>
          <w:color w:val="000000"/>
          <w:sz w:val="24"/>
          <w:u w:val="single"/>
        </w:rPr>
        <w:t>Sales Price</w:t>
      </w:r>
      <w:r>
        <w:rPr>
          <w:rFonts w:ascii="Times New Roman" w:hAnsi="Times New Roman"/>
          <w:color w:val="000000"/>
          <w:sz w:val="20"/>
        </w:rPr>
        <w:t xml:space="preserve">” </w:t>
      </w:r>
      <w:r>
        <w:rPr>
          <w:rFonts w:ascii="Times New Roman" w:hAnsi="Times New Roman"/>
          <w:color w:val="000000"/>
          <w:sz w:val="24"/>
        </w:rPr>
        <w:t xml:space="preserve">means, for each Forward or each Issuance hereunder, the actual sale execution price of each Forward Hedge Share or Issuance Share, as the case may be, sold by the Agent or the Forward Seller on the NYSE hereunder in the case of ordinary brokers’ transactions, or as otherwise agreed by the parties in other methods of sale;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aggregate Sales Price of the Shares that may be sold pursuant to the Distribution Agreements shall not exceed the Maximum Program Amount. Where the context requires, the term “Sales Price” as used herein shall include the definition of the same under the Separate Distribution Agreements.</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Selling Period</w:t>
      </w:r>
      <w:r>
        <w:rPr>
          <w:rFonts w:ascii="Times New Roman" w:hAnsi="Times New Roman"/>
          <w:color w:val="000000"/>
          <w:sz w:val="20"/>
        </w:rPr>
        <w:t xml:space="preserve">” </w:t>
      </w:r>
      <w:r>
        <w:rPr>
          <w:rFonts w:ascii="Times New Roman" w:hAnsi="Times New Roman"/>
          <w:color w:val="000000"/>
          <w:sz w:val="24"/>
        </w:rPr>
        <w:t>means any Forward Hedge Selling Period or any Issuance Selling Period.</w:t>
      </w:r>
    </w:p>
    <w:p>
      <w:pPr>
        <w:pStyle w:val="TextBody"/>
        <w:bidi w:val="0"/>
        <w:jc w:val="both"/>
        <w:rPr/>
      </w:pPr>
      <w:r>
        <w:rPr>
          <w:color w:val="000000"/>
        </w:rPr>
        <w:t>“</w:t>
      </w:r>
      <w:r>
        <w:rPr>
          <w:rFonts w:ascii="Times New Roman" w:hAnsi="Times New Roman"/>
          <w:color w:val="000000"/>
          <w:sz w:val="24"/>
          <w:u w:val="single"/>
        </w:rPr>
        <w:t>Settlement Date</w:t>
      </w:r>
      <w:r>
        <w:rPr>
          <w:rFonts w:ascii="Times New Roman" w:hAnsi="Times New Roman"/>
          <w:color w:val="000000"/>
          <w:sz w:val="20"/>
        </w:rPr>
        <w:t xml:space="preserve">” </w:t>
      </w:r>
      <w:r>
        <w:rPr>
          <w:rFonts w:ascii="Times New Roman" w:hAnsi="Times New Roman"/>
          <w:color w:val="000000"/>
          <w:sz w:val="24"/>
        </w:rPr>
        <w:t>means, unless the Company and the Agent shall otherwise agree (including in any Terms Agreement), any Forward Hedge Settlement Date or any Issuance Settlement Date, as applicable.</w:t>
      </w:r>
    </w:p>
    <w:p>
      <w:pPr>
        <w:pStyle w:val="TextBody"/>
        <w:bidi w:val="0"/>
        <w:jc w:val="both"/>
        <w:rPr/>
      </w:pPr>
      <w:r>
        <w:rPr>
          <w:color w:val="000000"/>
        </w:rPr>
        <w:t>“</w:t>
      </w:r>
      <w:r>
        <w:rPr>
          <w:rFonts w:ascii="Times New Roman" w:hAnsi="Times New Roman"/>
          <w:color w:val="000000"/>
          <w:sz w:val="24"/>
          <w:u w:val="single"/>
        </w:rPr>
        <w:t>Shares</w:t>
      </w:r>
      <w:r>
        <w:rPr>
          <w:rFonts w:ascii="Times New Roman" w:hAnsi="Times New Roman"/>
          <w:color w:val="000000"/>
          <w:sz w:val="20"/>
        </w:rPr>
        <w:t xml:space="preserve">” </w:t>
      </w:r>
      <w:r>
        <w:rPr>
          <w:rFonts w:ascii="Times New Roman" w:hAnsi="Times New Roman"/>
          <w:color w:val="000000"/>
          <w:sz w:val="24"/>
        </w:rPr>
        <w:t xml:space="preserve">shall have the meaning set forth in Section 1 hereof,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where the context requires, the term “Shares” as used herein shall include the definition of the same under the Separate Distribution Agreements.</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Trading Day</w:t>
      </w:r>
      <w:r>
        <w:rPr>
          <w:rFonts w:ascii="Times New Roman" w:hAnsi="Times New Roman"/>
          <w:color w:val="000000"/>
          <w:sz w:val="20"/>
        </w:rPr>
        <w:t xml:space="preserve">” </w:t>
      </w:r>
      <w:r>
        <w:rPr>
          <w:rFonts w:ascii="Times New Roman" w:hAnsi="Times New Roman"/>
          <w:color w:val="000000"/>
          <w:sz w:val="24"/>
        </w:rPr>
        <w:t>means any day which is a trading day on the NYSE, other than a day on which trading is scheduled to close prior to its regular weekday closing time.</w:t>
      </w:r>
    </w:p>
    <w:p>
      <w:pPr>
        <w:pStyle w:val="TextBody"/>
        <w:bidi w:val="0"/>
        <w:spacing w:before="0" w:after="240"/>
        <w:jc w:val="both"/>
        <w:rPr/>
      </w:pPr>
      <w:r>
        <w:rPr>
          <w:color w:val="000000"/>
        </w:rPr>
        <w:t>“</w:t>
      </w:r>
      <w:r>
        <w:rPr>
          <w:rFonts w:ascii="Times New Roman" w:hAnsi="Times New Roman"/>
          <w:color w:val="000000"/>
          <w:sz w:val="24"/>
          <w:u w:val="single"/>
        </w:rPr>
        <w:t>Volume-Weighted Hedge Price</w:t>
      </w:r>
      <w:r>
        <w:rPr>
          <w:rFonts w:ascii="Times New Roman" w:hAnsi="Times New Roman"/>
          <w:color w:val="000000"/>
          <w:sz w:val="20"/>
        </w:rPr>
        <w:t xml:space="preserve">” </w:t>
      </w:r>
      <w:r>
        <w:rPr>
          <w:rFonts w:ascii="Times New Roman" w:hAnsi="Times New Roman"/>
          <w:color w:val="000000"/>
          <w:sz w:val="24"/>
        </w:rPr>
        <w:t xml:space="preserve">has the meaning set forth in the Master Forward Confirmation;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for purposes of determining the Aggregate Forward Hedge Price payable to the Forward Purchaser in respect of a Trading Day on which the Forward Seller has made sales of Forward Hedge Shares hereunder pursuant to Section 3(e), the Volume-Weighted Hedge Price shall be determined solely with respect to the Forward Hedge Shares sold by the Forward Seller on such Trading Day.</w:t>
      </w:r>
    </w:p>
    <w:p>
      <w:pPr>
        <w:pStyle w:val="TextBody"/>
        <w:bidi w:val="0"/>
        <w:spacing w:before="0" w:after="240"/>
        <w:jc w:val="both"/>
        <w:rPr/>
      </w:pPr>
      <w:r>
        <w:rPr/>
        <w:t>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foregoing is in accordance with your understanding of our agreement, please so indicate in the space provided below for that purpose, whereupon this Agreement and your acceptance shall represent a binding agreement among the Company, the Operating Partnership and the Agent, the Forward Seller and the Forward Purchaser.</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Very truly yours,</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Easterly Government Properties, Inc.</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 xml:space="preserve">By: </w:t>
        <w:br/>
        <w:t>Name:</w:t>
        <w:br/>
        <w:t>Title: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Easterly Government Properties LP</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By: Easterly Government Properties, Inc.</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 xml:space="preserve">By: </w:t>
        <w:br/>
        <w:t>Name:</w:t>
        <w:br/>
        <w:t>Title:</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center"/>
        <w:rPr>
          <w:rFonts w:ascii="Times New Roman" w:hAnsi="Times New Roman"/>
          <w:i/>
          <w:color w:val="000000"/>
          <w:sz w:val="20"/>
        </w:rPr>
      </w:pPr>
      <w:r>
        <w:rPr>
          <w:rFonts w:ascii="Times New Roman" w:hAnsi="Times New Roman"/>
          <w:i/>
          <w:color w:val="000000"/>
          <w:sz w:val="20"/>
        </w:rPr>
        <w:t>[Signature Page to Amended and Restated Equity Distribution Agreement]</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foregoing Agreement is</w:t>
        <w:br/>
        <w:t>hereby confirmed and accepted</w:t>
        <w:br/>
        <w:t>as of the date first written above.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 xml:space="preserve">By: </w:t>
        <w:br/>
        <w:t>Name:</w:t>
        <w:br/>
        <w:t>Title: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 xml:space="preserve">By: </w:t>
        <w:br/>
        <w:t>Name:</w:t>
        <w:br/>
        <w:t>Title:</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center"/>
        <w:rPr/>
      </w:pPr>
      <w:r>
        <w:rPr/>
        <w:t> </w:t>
      </w:r>
    </w:p>
    <w:p>
      <w:pPr>
        <w:pStyle w:val="TextBody"/>
        <w:bidi w:val="0"/>
        <w:spacing w:before="0" w:after="480"/>
        <w:jc w:val="center"/>
        <w:rPr/>
      </w:pPr>
      <w:r>
        <w:rPr/>
        <w:t> </w:t>
      </w:r>
    </w:p>
    <w:p>
      <w:pPr>
        <w:pStyle w:val="TextBody"/>
        <w:bidi w:val="0"/>
        <w:spacing w:before="0" w:after="480"/>
        <w:jc w:val="center"/>
        <w:rPr/>
      </w:pPr>
      <w:r>
        <w:rPr/>
        <w:t> </w:t>
      </w:r>
    </w:p>
    <w:p>
      <w:pPr>
        <w:pStyle w:val="TextBody"/>
        <w:bidi w:val="0"/>
        <w:spacing w:before="0" w:after="480"/>
        <w:jc w:val="center"/>
        <w:rPr/>
      </w:pPr>
      <w:r>
        <w:rPr/>
        <w:t> </w:t>
      </w:r>
    </w:p>
    <w:p>
      <w:pPr>
        <w:pStyle w:val="TextBody"/>
        <w:bidi w:val="0"/>
        <w:spacing w:before="0" w:after="480"/>
        <w:jc w:val="center"/>
        <w:rPr/>
      </w:pPr>
      <w:r>
        <w:rPr/>
        <w:t> </w:t>
      </w:r>
    </w:p>
    <w:p>
      <w:pPr>
        <w:pStyle w:val="TextBody"/>
        <w:bidi w:val="0"/>
        <w:spacing w:before="0" w:after="480"/>
        <w:jc w:val="center"/>
        <w:rPr>
          <w:rFonts w:ascii="Times New Roman" w:hAnsi="Times New Roman"/>
          <w:i/>
          <w:color w:val="000000"/>
          <w:sz w:val="20"/>
        </w:rPr>
      </w:pPr>
      <w:r>
        <w:rPr>
          <w:rFonts w:ascii="Times New Roman" w:hAnsi="Times New Roman"/>
          <w:i/>
          <w:color w:val="000000"/>
          <w:sz w:val="20"/>
        </w:rPr>
        <w:t>[Signature Page to Amended and Restated Equity Distribution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 I</w:t>
      </w:r>
    </w:p>
    <w:p>
      <w:pPr>
        <w:pStyle w:val="TextBody"/>
        <w:bidi w:val="0"/>
        <w:jc w:val="center"/>
        <w:rPr>
          <w:rFonts w:ascii="Times New Roman" w:hAnsi="Times New Roman"/>
          <w:color w:val="000000"/>
          <w:sz w:val="24"/>
        </w:rPr>
      </w:pPr>
      <w:r>
        <w:rPr>
          <w:rFonts w:ascii="Times New Roman" w:hAnsi="Times New Roman"/>
          <w:color w:val="000000"/>
          <w:sz w:val="24"/>
        </w:rPr>
        <w:t>Schedule of Free Writing Prospectuses included in the Disclosure Package</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[None.]</w:t>
      </w:r>
    </w:p>
    <w:p>
      <w:pPr>
        <w:pStyle w:val="TextBody"/>
        <w:bidi w:val="0"/>
        <w:jc w:val="center"/>
        <w:rPr>
          <w:rFonts w:ascii="Times New Roman" w:hAnsi="Times New Roman"/>
          <w:color w:val="000000"/>
          <w:sz w:val="24"/>
        </w:rPr>
      </w:pPr>
      <w:r>
        <w:rPr>
          <w:rFonts w:ascii="Times New Roman" w:hAnsi="Times New Roman"/>
          <w:color w:val="000000"/>
          <w:sz w:val="24"/>
        </w:rPr>
        <w:t>Schedule I-1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4"/>
        </w:rPr>
        <w:t xml:space="preserve">[Form of Terms Agreement] </w:t>
      </w:r>
      <w:r>
        <w:rPr>
          <w:rFonts w:ascii="Times New Roman" w:hAnsi="Times New Roman"/>
          <w:color w:val="000000"/>
          <w:sz w:val="24"/>
        </w:rPr>
        <w:t>ANNEX I</w:t>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4"/>
        </w:rPr>
        <w:t>Easterly Government Properties, Inc</w:t>
      </w:r>
      <w:r>
        <w:rPr>
          <w:rFonts w:ascii="Times New Roman" w:hAnsi="Times New Roman"/>
          <w:caps/>
          <w:color w:val="000000"/>
          <w:sz w:val="24"/>
        </w:rPr>
        <w:t>.</w:t>
        <w:br/>
        <w:br/>
      </w:r>
      <w:r>
        <w:rPr>
          <w:rFonts w:ascii="Times New Roman" w:hAnsi="Times New Roman"/>
          <w:color w:val="000000"/>
          <w:sz w:val="24"/>
        </w:rPr>
        <w:t>Common Stock</w:t>
      </w:r>
      <w:r>
        <w:rPr>
          <w:rFonts w:ascii="Times New Roman" w:hAnsi="Times New Roman"/>
          <w:caps/>
          <w:color w:val="000000"/>
          <w:sz w:val="24"/>
        </w:rPr>
        <w:br/>
        <w:br/>
      </w:r>
      <w:r>
        <w:rPr>
          <w:rFonts w:ascii="Times New Roman" w:hAnsi="Times New Roman"/>
          <w:caps/>
          <w:color w:val="000000"/>
          <w:sz w:val="24"/>
          <w:u w:val="single"/>
        </w:rPr>
        <w:t>Terms Agreement</w:t>
      </w:r>
    </w:p>
    <w:p>
      <w:pPr>
        <w:pStyle w:val="TextBody"/>
        <w:bidi w:val="0"/>
        <w:spacing w:before="0" w:after="24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 20__</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Dear Sirs: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Easterly Government Properties,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proposes, subject to the terms and conditions stated herein and in the Amended and Restated Equity Distribution Agreement, dated August 4, 2026 (the “</w:t>
      </w:r>
      <w:r>
        <w:rPr>
          <w:rFonts w:ascii="Times New Roman" w:hAnsi="Times New Roman"/>
          <w:color w:val="000000"/>
          <w:sz w:val="24"/>
          <w:u w:val="single"/>
        </w:rPr>
        <w:t>Equity Distribution Agreement</w:t>
      </w:r>
      <w:r>
        <w:rPr>
          <w:rFonts w:ascii="Times New Roman" w:hAnsi="Times New Roman"/>
          <w:color w:val="000000"/>
          <w:sz w:val="20"/>
        </w:rPr>
        <w:t>”</w:t>
      </w:r>
      <w:r>
        <w:rPr>
          <w:rFonts w:ascii="Times New Roman" w:hAnsi="Times New Roman"/>
          <w:color w:val="000000"/>
          <w:sz w:val="24"/>
        </w:rPr>
        <w:t>), among the Company, Easterly Government Properties LP, a Delaware limited partnership, [●], as Agent and Forward Seller, and [●], as Forward Purchaser, to issue and sell to [●] the securities specified in the Schedule I hereto (the “</w:t>
      </w:r>
      <w:r>
        <w:rPr>
          <w:rFonts w:ascii="Times New Roman" w:hAnsi="Times New Roman"/>
          <w:color w:val="000000"/>
          <w:sz w:val="24"/>
          <w:u w:val="single"/>
        </w:rPr>
        <w:t>Purchased Shares</w:t>
      </w:r>
      <w:r>
        <w:rPr>
          <w:rFonts w:ascii="Times New Roman" w:hAnsi="Times New Roman"/>
          <w:color w:val="000000"/>
          <w:sz w:val="20"/>
        </w:rPr>
        <w:t>”</w:t>
      </w:r>
      <w:r>
        <w:rPr>
          <w:rFonts w:ascii="Times New Roman" w:hAnsi="Times New Roman"/>
          <w:color w:val="000000"/>
          <w:sz w:val="24"/>
        </w:rPr>
        <w:t>) [, and solely for the purpose of covering over-allotments, to grant to [●] the option to purchase the additional securities specified in the Schedule I hereto (the “</w:t>
      </w:r>
      <w:r>
        <w:rPr>
          <w:rFonts w:ascii="Times New Roman" w:hAnsi="Times New Roman"/>
          <w:color w:val="000000"/>
          <w:sz w:val="24"/>
          <w:u w:val="single"/>
        </w:rPr>
        <w:t>Additional Shares</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b/>
          <w:color w:val="000000"/>
          <w:sz w:val="24"/>
        </w:rPr>
        <w:t>[To be included if parties agree on an option to purchase additional shares]</w:t>
      </w:r>
    </w:p>
    <w:p>
      <w:pPr>
        <w:pStyle w:val="TextBody"/>
        <w:bidi w:val="0"/>
        <w:spacing w:before="0" w:after="120"/>
        <w:jc w:val="left"/>
        <w:rPr>
          <w:rFonts w:ascii="Times New Roman" w:hAnsi="Times New Roman"/>
          <w:sz w:val="20"/>
        </w:rPr>
      </w:pPr>
      <w:r>
        <w:rPr>
          <w:rFonts w:ascii="Times New Roman" w:hAnsi="Times New Roman"/>
          <w:color w:val="000000"/>
          <w:sz w:val="24"/>
        </w:rPr>
        <w:t>[●] shall have the right to purchase from the Company all or a portion of the Additional Shares at the same purchase price per share to be paid by [●] to the Company for the Purchased Shares. This option may be exercised by [●] at any time (but not more than once) on or before the thirtieth day following the date hereof, by written notice to the Company. Such notice shall set forth the aggregate number of shares of Additional Shares as to which the option is being exercised, and the date and time when the Additional Shares are to be delivered (such date and time being herein referred to as the “</w:t>
      </w:r>
      <w:r>
        <w:rPr>
          <w:rFonts w:ascii="Times New Roman" w:hAnsi="Times New Roman"/>
          <w:color w:val="000000"/>
          <w:sz w:val="24"/>
          <w:u w:val="single"/>
        </w:rPr>
        <w:t>Option Closing Date</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Option Closing Date shall not be earlier than the Time of Delivery (as set forth in the Schedule I hereto) nor earlier than the first Business Day after the date on which the option shall have been exercised nor later than the [fifth] Business Day after the date on which the option shall have been exercised. Payment of the purchase price for the Additional Shares shall be made at the Option Closing Date in the same manner and at the same office as the payment for the Purchased Shares.] </w:t>
      </w:r>
      <w:r>
        <w:rPr>
          <w:rFonts w:ascii="Times New Roman" w:hAnsi="Times New Roman"/>
          <w:b/>
          <w:color w:val="000000"/>
          <w:sz w:val="24"/>
        </w:rPr>
        <w:t>[To be included if parties agree on an option to purchase additional shares]</w:t>
      </w:r>
    </w:p>
    <w:p>
      <w:pPr>
        <w:pStyle w:val="TextBody"/>
        <w:bidi w:val="0"/>
        <w:spacing w:before="0" w:after="120"/>
        <w:jc w:val="left"/>
        <w:rPr>
          <w:rFonts w:ascii="Times New Roman" w:hAnsi="Times New Roman"/>
          <w:sz w:val="20"/>
        </w:rPr>
      </w:pPr>
      <w:r>
        <w:rPr>
          <w:rFonts w:ascii="Times New Roman" w:hAnsi="Times New Roman"/>
          <w:color w:val="000000"/>
          <w:sz w:val="24"/>
        </w:rPr>
        <w:t xml:space="preserve">Each of the provisions of the Equity Distribution Agreement not specifically related to the solicitation by [●],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Time of Delivery [and any Option Closing Date] </w:t>
      </w:r>
      <w:r>
        <w:rPr>
          <w:rFonts w:ascii="Times New Roman" w:hAnsi="Times New Roman"/>
          <w:b/>
          <w:color w:val="000000"/>
          <w:sz w:val="24"/>
        </w:rPr>
        <w:t>[To be included if parties agree on an option to purchase additional shares]</w:t>
      </w:r>
      <w:r>
        <w:rPr>
          <w:rFonts w:ascii="Times New Roman" w:hAnsi="Times New Roman"/>
          <w:color w:val="000000"/>
          <w:sz w:val="24"/>
        </w:rPr>
        <w:t>,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Annex I-1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4"/>
        </w:rPr>
        <w:t xml:space="preserve">also a representation and warranty as of the date of this Terms Agreement [and] [,] the Time of Delivery [and any Option Closing Date] </w:t>
      </w:r>
      <w:r>
        <w:rPr>
          <w:rFonts w:ascii="Times New Roman" w:hAnsi="Times New Roman"/>
          <w:b/>
          <w:color w:val="000000"/>
          <w:sz w:val="24"/>
        </w:rPr>
        <w:t>[To be included if parties agree on an option to cover over-allotments]</w:t>
      </w:r>
      <w:r>
        <w:rPr>
          <w:rFonts w:ascii="Times New Roman" w:hAnsi="Times New Roman"/>
          <w:color w:val="000000"/>
          <w:sz w:val="20"/>
        </w:rPr>
        <w:t xml:space="preserve"> </w:t>
      </w:r>
      <w:r>
        <w:rPr>
          <w:rFonts w:ascii="Times New Roman" w:hAnsi="Times New Roman"/>
          <w:color w:val="000000"/>
          <w:sz w:val="24"/>
        </w:rPr>
        <w:t>in relation to the Prospectus as amended and supplemented to relate to the Purchased Shares.</w:t>
      </w:r>
    </w:p>
    <w:p>
      <w:pPr>
        <w:pStyle w:val="TextBody"/>
        <w:bidi w:val="0"/>
        <w:spacing w:before="0" w:after="120"/>
        <w:jc w:val="left"/>
        <w:rPr>
          <w:rFonts w:ascii="Times New Roman" w:hAnsi="Times New Roman"/>
          <w:sz w:val="20"/>
        </w:rPr>
      </w:pPr>
      <w:r>
        <w:rPr>
          <w:rFonts w:ascii="Times New Roman" w:hAnsi="Times New Roman"/>
          <w:color w:val="000000"/>
          <w:sz w:val="24"/>
        </w:rPr>
        <w:t xml:space="preserve">[An amendment to the Registration Statement (as defined in the Equity Distribution Agreement), or a supplement to the Prospectus, as the case may be, relating to the Purchased Shares [and the Additional Shares] </w:t>
      </w:r>
      <w:r>
        <w:rPr>
          <w:rFonts w:ascii="Times New Roman" w:hAnsi="Times New Roman"/>
          <w:b/>
          <w:color w:val="000000"/>
          <w:sz w:val="24"/>
        </w:rPr>
        <w:t>[To be included if parties agree on an option to cover over-allotments]</w:t>
      </w:r>
      <w:r>
        <w:rPr>
          <w:rFonts w:ascii="Times New Roman" w:hAnsi="Times New Roman"/>
          <w:color w:val="000000"/>
          <w:sz w:val="24"/>
        </w:rPr>
        <w:t>, in the form heretofore delivered to the Agent is now proposed to be filed with the Securities and Exchange Commission.]</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Subject to the terms and conditions set forth herein and in the Equity Distribution Agreement which are incorporated herein by reference, the Company agrees to issue and sell to [●] and the latter agrees to purchase from the Company the number of shares of the Purchased Shares at the time and place and at the purchase price set forth in the Schedule I hereto. Nothing contained in this Terms Agreement or in the Equity Distribution Agreement shall prohibit the Company from entering into a Terms Agreement or similar agreement with respect to the offering, issuance and sale of any securities of the Company with any other institution and the offering, issuance and sale of such securities at any time pursuant to the terms of such agreement.</w:t>
      </w:r>
    </w:p>
    <w:p>
      <w:pPr>
        <w:pStyle w:val="TextBody"/>
        <w:bidi w:val="0"/>
        <w:spacing w:before="0" w:after="12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Annex I-2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If the foregoing is in accordance with your understanding, please sign in the space provided below, whereupon this Terms Agreement, including those provisions of the Equity Distribution Agreement incorporated herein by reference, shall constitute a binding agreement between the Agent and the Company.</w:t>
      </w:r>
    </w:p>
    <w:p>
      <w:pPr>
        <w:pStyle w:val="TextBody"/>
        <w:bidi w:val="0"/>
        <w:spacing w:before="0" w:after="120"/>
        <w:jc w:val="left"/>
        <w:rPr/>
      </w:pPr>
      <w:r>
        <w:rPr/>
        <w:t> </w:t>
      </w:r>
    </w:p>
    <w:tbl>
      <w:tblPr>
        <w:tblW w:w="3660" w:type="dxa"/>
        <w:jc w:val="left"/>
        <w:tblInd w:w="0" w:type="dxa"/>
        <w:tblLayout w:type="fixed"/>
        <w:tblCellMar>
          <w:top w:w="28" w:type="dxa"/>
          <w:left w:w="28" w:type="dxa"/>
          <w:bottom w:w="28" w:type="dxa"/>
          <w:right w:w="28" w:type="dxa"/>
        </w:tblCellMar>
      </w:tblPr>
      <w:tblGrid>
        <w:gridCol w:w="1316"/>
        <w:gridCol w:w="2344"/>
      </w:tblGrid>
      <w:tr>
        <w:trPr/>
        <w:tc>
          <w:tcPr>
            <w:tcW w:w="1316"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r>
      <w:tr>
        <w:trPr/>
        <w:tc>
          <w:tcPr>
            <w:tcW w:w="36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Easterly Government Properties, Inc.</w:t>
              <w:br/>
              <w:t> </w:t>
            </w:r>
          </w:p>
        </w:tc>
      </w:tr>
      <w:tr>
        <w:trPr/>
        <w:tc>
          <w:tcPr>
            <w:tcW w:w="1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3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1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r>
        <w:trPr/>
        <w:tc>
          <w:tcPr>
            <w:tcW w:w="1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4"/>
        </w:rPr>
      </w:pPr>
      <w:r>
        <w:rPr>
          <w:rFonts w:ascii="Times New Roman" w:hAnsi="Times New Roman"/>
          <w:color w:val="000000"/>
          <w:sz w:val="24"/>
        </w:rPr>
        <w:t>ACCEPTED as of the date</w:t>
        <w:br/>
        <w:t>first written above.</w:t>
      </w:r>
    </w:p>
    <w:tbl>
      <w:tblPr>
        <w:tblW w:w="1247" w:type="dxa"/>
        <w:jc w:val="left"/>
        <w:tblInd w:w="0" w:type="dxa"/>
        <w:tblLayout w:type="fixed"/>
        <w:tblCellMar>
          <w:top w:w="28" w:type="dxa"/>
          <w:left w:w="28" w:type="dxa"/>
          <w:bottom w:w="28" w:type="dxa"/>
          <w:right w:w="28" w:type="dxa"/>
        </w:tblCellMar>
      </w:tblPr>
      <w:tblGrid>
        <w:gridCol w:w="466"/>
        <w:gridCol w:w="781"/>
      </w:tblGrid>
      <w:tr>
        <w:trPr/>
        <w:tc>
          <w:tcPr>
            <w:tcW w:w="46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12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[AGENT]</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Annex I-3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4"/>
        <w:gridCol w:w="7523"/>
        <w:gridCol w:w="768"/>
      </w:tblGrid>
      <w:tr>
        <w:trPr/>
        <w:tc>
          <w:tcPr>
            <w:tcW w:w="1914" w:type="dxa"/>
            <w:tcBorders/>
            <w:vAlign w:val="center"/>
          </w:tcPr>
          <w:p>
            <w:pPr>
              <w:pStyle w:val="TableContents"/>
              <w:bidi w:val="0"/>
              <w:spacing w:before="0" w:after="283"/>
              <w:jc w:val="left"/>
              <w:rPr>
                <w:sz w:val="4"/>
                <w:szCs w:val="4"/>
              </w:rPr>
            </w:pPr>
            <w:r>
              <w:rPr>
                <w:sz w:val="4"/>
                <w:szCs w:val="4"/>
              </w:rPr>
            </w:r>
          </w:p>
        </w:tc>
        <w:tc>
          <w:tcPr>
            <w:tcW w:w="752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of Purchased Shares [and Additional Shares]:</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Common Stock, par value $0.01 per share</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Number of Shares of Purchased Shares:</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[Number of Shares of Additional Shares:]</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[Price to Public:]</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Purchase Price by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Method of and Specified Funds for Payment of Purchase Price:</w:t>
            </w:r>
          </w:p>
        </w:tc>
      </w:tr>
      <w:tr>
        <w:trPr/>
        <w:tc>
          <w:tcPr>
            <w:tcW w:w="1914" w:type="dxa"/>
            <w:tcBorders/>
            <w:tcMar>
              <w:top w:w="0" w:type="dxa"/>
              <w:left w:w="0" w:type="dxa"/>
              <w:bottom w:w="0" w:type="dxa"/>
              <w:right w:w="0" w:type="dxa"/>
            </w:tcMar>
            <w:vAlign w:val="center"/>
          </w:tcPr>
          <w:p>
            <w:pPr>
              <w:pStyle w:val="TableContents"/>
              <w:bidi w:val="0"/>
              <w:spacing w:before="0" w:after="283"/>
              <w:jc w:val="left"/>
              <w:rPr/>
            </w:pPr>
            <w:r>
              <w:rPr/>
              <w:t> </w:t>
            </w:r>
          </w:p>
        </w:tc>
        <w:tc>
          <w:tcPr>
            <w:tcW w:w="8291"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wire transfer to a bank account specified by the Company in same day funds.</w:t>
            </w:r>
          </w:p>
        </w:tc>
      </w:tr>
      <w:tr>
        <w:trPr/>
        <w:tc>
          <w:tcPr>
            <w:tcW w:w="1914" w:type="dxa"/>
            <w:tcBorders/>
            <w:tcMar>
              <w:top w:w="0" w:type="dxa"/>
              <w:left w:w="0" w:type="dxa"/>
              <w:bottom w:w="0" w:type="dxa"/>
              <w:right w:w="0" w:type="dxa"/>
            </w:tcMar>
            <w:vAlign w:val="center"/>
          </w:tcPr>
          <w:p>
            <w:pPr>
              <w:pStyle w:val="TableContents"/>
              <w:bidi w:val="0"/>
              <w:spacing w:before="0" w:after="283"/>
              <w:jc w:val="left"/>
              <w:rPr/>
            </w:pPr>
            <w:r>
              <w:rPr/>
              <w:t> </w:t>
            </w:r>
          </w:p>
        </w:tc>
        <w:tc>
          <w:tcPr>
            <w:tcW w:w="829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Method of Delivery: </w:t>
            </w:r>
          </w:p>
        </w:tc>
      </w:tr>
      <w:tr>
        <w:trPr/>
        <w:tc>
          <w:tcPr>
            <w:tcW w:w="1914" w:type="dxa"/>
            <w:tcBorders/>
            <w:tcMar>
              <w:top w:w="0" w:type="dxa"/>
              <w:left w:w="0" w:type="dxa"/>
              <w:bottom w:w="0" w:type="dxa"/>
              <w:right w:w="0" w:type="dxa"/>
            </w:tcMar>
            <w:vAlign w:val="center"/>
          </w:tcPr>
          <w:p>
            <w:pPr>
              <w:pStyle w:val="TableContents"/>
              <w:bidi w:val="0"/>
              <w:spacing w:before="0" w:after="283"/>
              <w:jc w:val="left"/>
              <w:rPr/>
            </w:pPr>
            <w:r>
              <w:rPr/>
              <w:t> </w:t>
            </w:r>
          </w:p>
        </w:tc>
        <w:tc>
          <w:tcPr>
            <w:tcW w:w="8291"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Free delivery of the Shares to the Agent’s account at The Depository Trust Company in return for payment of the purchase price.</w:t>
            </w:r>
          </w:p>
        </w:tc>
      </w:tr>
      <w:tr>
        <w:trPr/>
        <w:tc>
          <w:tcPr>
            <w:tcW w:w="1914" w:type="dxa"/>
            <w:tcBorders/>
            <w:tcMar>
              <w:top w:w="0" w:type="dxa"/>
              <w:left w:w="0" w:type="dxa"/>
              <w:bottom w:w="0" w:type="dxa"/>
              <w:right w:w="0" w:type="dxa"/>
            </w:tcMar>
            <w:vAlign w:val="center"/>
          </w:tcPr>
          <w:p>
            <w:pPr>
              <w:pStyle w:val="TableContents"/>
              <w:bidi w:val="0"/>
              <w:spacing w:before="0" w:after="283"/>
              <w:jc w:val="left"/>
              <w:rPr/>
            </w:pPr>
            <w:r>
              <w:rPr/>
              <w:t> </w:t>
            </w:r>
          </w:p>
        </w:tc>
        <w:tc>
          <w:tcPr>
            <w:tcW w:w="829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Time of Delivery:</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Closing Location:</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Lock-up:</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Documents to be Delivered:</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tcMar>
              <w:top w:w="0" w:type="dxa"/>
              <w:left w:w="0" w:type="dxa"/>
              <w:bottom w:w="0" w:type="dxa"/>
              <w:right w:w="0" w:type="dxa"/>
            </w:tcMar>
            <w:vAlign w:val="center"/>
          </w:tcPr>
          <w:p>
            <w:pPr>
              <w:pStyle w:val="TableContents"/>
              <w:bidi w:val="0"/>
              <w:spacing w:before="0" w:after="283"/>
              <w:jc w:val="left"/>
              <w:rPr/>
            </w:pPr>
            <w:r>
              <w:rPr/>
              <w:t> </w:t>
            </w:r>
          </w:p>
        </w:tc>
        <w:tc>
          <w:tcPr>
            <w:tcW w:w="8291"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[The following documents referred to in the Equity Distribution Agreement shall be delivered as a condition to the closing at the Time of Delivery [and on any Option Closing Date]:</w:t>
              <w:br/>
              <w:t> (1) The opinion referred to in Section 4(l).</w:t>
            </w:r>
          </w:p>
          <w:p>
            <w:pPr>
              <w:pStyle w:val="TableContents"/>
              <w:bidi w:val="0"/>
              <w:spacing w:before="0" w:after="283"/>
              <w:jc w:val="left"/>
              <w:rPr>
                <w:color w:val="000000"/>
              </w:rPr>
            </w:pPr>
            <w:r>
              <w:rPr>
                <w:color w:val="000000"/>
              </w:rPr>
              <w:t> </w:t>
            </w:r>
            <w:r>
              <w:rPr>
                <w:rFonts w:ascii="Times New Roman" w:hAnsi="Times New Roman"/>
                <w:color w:val="000000"/>
                <w:sz w:val="24"/>
              </w:rPr>
              <w:t xml:space="preserve">(2) The opinion referred to in Section 4(m). </w:t>
              <w:br/>
              <w:t> (3) The accountants’ letter referred to in Section 4(n).</w:t>
              <w:br/>
              <w:t> (4) The officers’ certificate referred to in Section 4(k).</w:t>
              <w:br/>
              <w:t> (5) Such other documents as the Agent shall reasonably request.]</w:t>
            </w:r>
          </w:p>
        </w:tc>
      </w:tr>
      <w:tr>
        <w:trPr/>
        <w:tc>
          <w:tcPr>
            <w:tcW w:w="1914" w:type="dxa"/>
            <w:tcBorders/>
            <w:tcMar>
              <w:top w:w="0" w:type="dxa"/>
              <w:left w:w="0" w:type="dxa"/>
              <w:bottom w:w="0" w:type="dxa"/>
              <w:right w:w="0" w:type="dxa"/>
            </w:tcMar>
            <w:vAlign w:val="center"/>
          </w:tcPr>
          <w:p>
            <w:pPr>
              <w:pStyle w:val="TableContents"/>
              <w:bidi w:val="0"/>
              <w:spacing w:before="0" w:after="283"/>
              <w:jc w:val="left"/>
              <w:rPr/>
            </w:pPr>
            <w:r>
              <w:rPr/>
              <w:t> </w:t>
            </w:r>
          </w:p>
        </w:tc>
        <w:tc>
          <w:tcPr>
            <w:tcW w:w="829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Annex I-4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spacing w:before="240" w:after="283"/>
        <w:jc w:val="center"/>
        <w:rPr>
          <w:rFonts w:ascii="Times New Roman" w:hAnsi="Times New Roman"/>
          <w:b/>
          <w:caps/>
          <w:color w:val="000000"/>
          <w:sz w:val="20"/>
          <w:u w:val="single"/>
        </w:rPr>
      </w:pPr>
      <w:r>
        <w:rPr>
          <w:rFonts w:ascii="Times New Roman" w:hAnsi="Times New Roman"/>
          <w:b/>
          <w:caps/>
          <w:color w:val="000000"/>
          <w:sz w:val="20"/>
          <w:u w:val="single"/>
        </w:rPr>
        <w:t>FORM OF PLACEMENT NOTICE</w:t>
      </w:r>
    </w:p>
    <w:tbl>
      <w:tblPr>
        <w:tblW w:w="917" w:type="dxa"/>
        <w:jc w:val="left"/>
        <w:tblInd w:w="0" w:type="dxa"/>
        <w:tblLayout w:type="fixed"/>
        <w:tblCellMar>
          <w:top w:w="28" w:type="dxa"/>
          <w:left w:w="28" w:type="dxa"/>
          <w:bottom w:w="28" w:type="dxa"/>
          <w:right w:w="28" w:type="dxa"/>
        </w:tblCellMar>
      </w:tblPr>
      <w:tblGrid>
        <w:gridCol w:w="601"/>
        <w:gridCol w:w="316"/>
      </w:tblGrid>
      <w:tr>
        <w:trPr/>
        <w:tc>
          <w:tcPr>
            <w:tcW w:w="6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From:</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w:t>
            </w:r>
          </w:p>
        </w:tc>
      </w:tr>
    </w:tbl>
    <w:p>
      <w:pPr>
        <w:pStyle w:val="TextBody"/>
        <w:bidi w:val="0"/>
        <w:jc w:val="left"/>
        <w:rPr/>
      </w:pPr>
      <w:r>
        <w:rPr/>
        <w:t> </w:t>
      </w:r>
    </w:p>
    <w:tbl>
      <w:tblPr>
        <w:tblW w:w="722" w:type="dxa"/>
        <w:jc w:val="left"/>
        <w:tblInd w:w="0" w:type="dxa"/>
        <w:tblLayout w:type="fixed"/>
        <w:tblCellMar>
          <w:top w:w="28" w:type="dxa"/>
          <w:left w:w="28" w:type="dxa"/>
          <w:bottom w:w="28" w:type="dxa"/>
          <w:right w:w="28" w:type="dxa"/>
        </w:tblCellMar>
      </w:tblPr>
      <w:tblGrid>
        <w:gridCol w:w="406"/>
        <w:gridCol w:w="316"/>
      </w:tblGrid>
      <w:tr>
        <w:trPr/>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Cc:</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w:t>
            </w:r>
          </w:p>
        </w:tc>
      </w:tr>
    </w:tbl>
    <w:p>
      <w:pPr>
        <w:pStyle w:val="TextBody"/>
        <w:bidi w:val="0"/>
        <w:jc w:val="left"/>
        <w:rPr/>
      </w:pPr>
      <w:r>
        <w:rPr/>
        <w:t> </w:t>
      </w:r>
    </w:p>
    <w:tbl>
      <w:tblPr>
        <w:tblW w:w="722" w:type="dxa"/>
        <w:jc w:val="left"/>
        <w:tblInd w:w="0" w:type="dxa"/>
        <w:tblLayout w:type="fixed"/>
        <w:tblCellMar>
          <w:top w:w="28" w:type="dxa"/>
          <w:left w:w="28" w:type="dxa"/>
          <w:bottom w:w="28" w:type="dxa"/>
          <w:right w:w="28" w:type="dxa"/>
        </w:tblCellMar>
      </w:tblPr>
      <w:tblGrid>
        <w:gridCol w:w="406"/>
        <w:gridCol w:w="316"/>
      </w:tblGrid>
      <w:tr>
        <w:trPr/>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w:t>
            </w:r>
          </w:p>
        </w:tc>
      </w:tr>
    </w:tbl>
    <w:tbl>
      <w:tblPr>
        <w:tblW w:w="4022" w:type="dxa"/>
        <w:jc w:val="left"/>
        <w:tblInd w:w="0" w:type="dxa"/>
        <w:tblLayout w:type="fixed"/>
        <w:tblCellMar>
          <w:top w:w="28" w:type="dxa"/>
          <w:left w:w="28" w:type="dxa"/>
          <w:bottom w:w="28" w:type="dxa"/>
          <w:right w:w="28" w:type="dxa"/>
        </w:tblCellMar>
      </w:tblPr>
      <w:tblGrid>
        <w:gridCol w:w="796"/>
        <w:gridCol w:w="3226"/>
      </w:tblGrid>
      <w:tr>
        <w:trPr/>
        <w:tc>
          <w:tcPr>
            <w:tcW w:w="79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Subject: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Distribution-Placement Notice</w:t>
            </w:r>
          </w:p>
        </w:tc>
      </w:tr>
    </w:tbl>
    <w:p>
      <w:pPr>
        <w:pStyle w:val="TextBody"/>
        <w:bidi w:val="0"/>
        <w:jc w:val="both"/>
        <w:rPr>
          <w:rFonts w:ascii="Times New Roman" w:hAnsi="Times New Roman"/>
          <w:color w:val="000000"/>
          <w:sz w:val="20"/>
        </w:rPr>
      </w:pPr>
      <w:r>
        <w:rPr>
          <w:rFonts w:ascii="Times New Roman" w:hAnsi="Times New Roman"/>
          <w:color w:val="000000"/>
          <w:sz w:val="20"/>
        </w:rPr>
        <w:t xml:space="preserve">Ladies and Gentlemen: </w:t>
      </w:r>
    </w:p>
    <w:p>
      <w:pPr>
        <w:pStyle w:val="TextBody"/>
        <w:bidi w:val="0"/>
        <w:jc w:val="both"/>
        <w:rPr>
          <w:rFonts w:ascii="Times New Roman" w:hAnsi="Times New Roman"/>
          <w:sz w:val="20"/>
        </w:rPr>
      </w:pPr>
      <w:r>
        <w:rPr>
          <w:rFonts w:ascii="Times New Roman" w:hAnsi="Times New Roman"/>
          <w:color w:val="000000"/>
          <w:sz w:val="20"/>
        </w:rPr>
        <w:t>Reference is made to the Amended and Restated Equity Distribution Agreement among Easterly Government Properties, Inc. (the “</w:t>
      </w:r>
      <w:r>
        <w:rPr>
          <w:rFonts w:ascii="Times New Roman" w:hAnsi="Times New Roman"/>
          <w:color w:val="000000"/>
          <w:sz w:val="20"/>
          <w:u w:val="single"/>
        </w:rPr>
        <w:t>Company</w:t>
      </w:r>
      <w:r>
        <w:rPr>
          <w:rFonts w:ascii="Times New Roman" w:hAnsi="Times New Roman"/>
          <w:color w:val="000000"/>
          <w:sz w:val="20"/>
        </w:rPr>
        <w:t>”), Easterly Government Properties LP, a Delaware limited partnership (the “</w:t>
      </w:r>
      <w:r>
        <w:rPr>
          <w:rFonts w:ascii="Times New Roman" w:hAnsi="Times New Roman"/>
          <w:color w:val="000000"/>
          <w:sz w:val="20"/>
          <w:u w:val="single"/>
        </w:rPr>
        <w:t>Operating Partnership</w:t>
      </w:r>
      <w:r>
        <w:rPr>
          <w:rFonts w:ascii="Times New Roman" w:hAnsi="Times New Roman"/>
          <w:color w:val="000000"/>
          <w:sz w:val="20"/>
        </w:rPr>
        <w:t>”), [●] (the “</w:t>
      </w:r>
      <w:r>
        <w:rPr>
          <w:rFonts w:ascii="Times New Roman" w:hAnsi="Times New Roman"/>
          <w:color w:val="000000"/>
          <w:sz w:val="20"/>
          <w:u w:val="single"/>
        </w:rPr>
        <w:t>Forward Purchaser</w:t>
      </w:r>
      <w:r>
        <w:rPr>
          <w:rFonts w:ascii="Times New Roman" w:hAnsi="Times New Roman"/>
          <w:color w:val="000000"/>
          <w:sz w:val="20"/>
        </w:rPr>
        <w:t>”) and [●] (in its capacity as agent for the Company in connection with the offering and sale of any Issuance Shares thereunder, the “</w:t>
      </w:r>
      <w:r>
        <w:rPr>
          <w:rFonts w:ascii="Times New Roman" w:hAnsi="Times New Roman"/>
          <w:color w:val="000000"/>
          <w:sz w:val="20"/>
          <w:u w:val="single"/>
        </w:rPr>
        <w:t>Agent</w:t>
      </w:r>
      <w:r>
        <w:rPr>
          <w:rFonts w:ascii="Times New Roman" w:hAnsi="Times New Roman"/>
          <w:color w:val="000000"/>
          <w:sz w:val="20"/>
        </w:rPr>
        <w:t>,” and in its capacity as agent for the Forward Purchaser in connection with the offering and sale of any Forward Hedge Shares thereunder, the “</w:t>
      </w:r>
      <w:r>
        <w:rPr>
          <w:rFonts w:ascii="Times New Roman" w:hAnsi="Times New Roman"/>
          <w:color w:val="000000"/>
          <w:sz w:val="20"/>
          <w:u w:val="single"/>
        </w:rPr>
        <w:t>Forward Seller</w:t>
      </w:r>
      <w:r>
        <w:rPr>
          <w:rFonts w:ascii="Times New Roman" w:hAnsi="Times New Roman"/>
          <w:color w:val="000000"/>
          <w:sz w:val="20"/>
        </w:rPr>
        <w:t>”), dated as of August 4, 2026 (the “</w:t>
      </w:r>
      <w:r>
        <w:rPr>
          <w:rFonts w:ascii="Times New Roman" w:hAnsi="Times New Roman"/>
          <w:color w:val="000000"/>
          <w:sz w:val="20"/>
          <w:u w:val="single"/>
        </w:rPr>
        <w:t>Equity Distribution Agreement</w:t>
      </w:r>
      <w:r>
        <w:rPr>
          <w:rFonts w:ascii="Times New Roman" w:hAnsi="Times New Roman"/>
          <w:color w:val="000000"/>
          <w:sz w:val="20"/>
        </w:rPr>
        <w:t>”). Capitalized terms used in this Placement Notice without definition shall have the respective definitions ascribed to them in the Equity Distribution Agreement. This Placement Notice relates to [an “</w:t>
      </w:r>
      <w:r>
        <w:rPr>
          <w:rFonts w:ascii="Times New Roman" w:hAnsi="Times New Roman"/>
          <w:color w:val="000000"/>
          <w:sz w:val="20"/>
          <w:u w:val="single"/>
        </w:rPr>
        <w:t>Issuance</w:t>
      </w:r>
      <w:r>
        <w:rPr>
          <w:rFonts w:ascii="Times New Roman" w:hAnsi="Times New Roman"/>
          <w:color w:val="000000"/>
          <w:sz w:val="20"/>
        </w:rPr>
        <w:t>”] [a “</w:t>
      </w:r>
      <w:r>
        <w:rPr>
          <w:rFonts w:ascii="Times New Roman" w:hAnsi="Times New Roman"/>
          <w:color w:val="000000"/>
          <w:sz w:val="20"/>
          <w:u w:val="single"/>
        </w:rPr>
        <w:t>Non-Contingent Forward</w:t>
      </w:r>
      <w:r>
        <w:rPr>
          <w:rFonts w:ascii="Times New Roman" w:hAnsi="Times New Roman"/>
          <w:color w:val="000000"/>
          <w:sz w:val="20"/>
        </w:rPr>
        <w:t>”] [a “</w:t>
      </w:r>
      <w:r>
        <w:rPr>
          <w:rFonts w:ascii="Times New Roman" w:hAnsi="Times New Roman"/>
          <w:color w:val="000000"/>
          <w:sz w:val="20"/>
          <w:u w:val="single"/>
        </w:rPr>
        <w:t>Contingent Forward</w:t>
      </w:r>
      <w:r>
        <w:rPr>
          <w:rFonts w:ascii="Times New Roman" w:hAnsi="Times New Roman"/>
          <w:color w:val="000000"/>
          <w:sz w:val="20"/>
        </w:rPr>
        <w:t>”]. The Company confirms that all conditions to the delivery of this Placement Notice are satisfied as of the date hereof.</w:t>
      </w:r>
    </w:p>
    <w:p>
      <w:pPr>
        <w:pStyle w:val="TextBody"/>
        <w:bidi w:val="0"/>
        <w:jc w:val="both"/>
        <w:rPr>
          <w:rFonts w:ascii="Times New Roman" w:hAnsi="Times New Roman"/>
          <w:color w:val="000000"/>
          <w:sz w:val="20"/>
        </w:rPr>
      </w:pPr>
      <w:r>
        <w:rPr>
          <w:rFonts w:ascii="Times New Roman" w:hAnsi="Times New Roman"/>
          <w:color w:val="000000"/>
          <w:sz w:val="20"/>
        </w:rPr>
        <w:t>The Company and the Operating Partnership represent and warrant that each representation, warranty, covenant and other agreement of the Company and Operating Partnership contained in the Equity Distribution Agreement [and any Master Forward Confirmation] is true and correct on the date hereof, and that the Prospectus, including the documents incorporated by reference therein, and any applicable Issuer Free Writing Prospectus, as of the date hereof, do not contain an untrue statement of a material fact or omit to state a material fact necessary in order to make the statements therein, in light of the circumstances under which they were made, not misleading.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this Placement Notice relates to a Contingent Forward, the Company requests that the Forward Purchaser provide a Contingent Forward Quote including the reference price, initial forward price, reference contingency premium, expected initial delta, maximum number of Shares underlying such Contingent Forward, contingency expiration schedule and any other relevant term.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be included for an Issuance only]</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797"/>
        <w:gridCol w:w="211"/>
        <w:gridCol w:w="325"/>
        <w:gridCol w:w="872"/>
      </w:tblGrid>
      <w:tr>
        <w:trPr/>
        <w:tc>
          <w:tcPr>
            <w:tcW w:w="8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ind w:left="0" w:right="0" w:firstLine="202"/>
              <w:jc w:val="left"/>
              <w:rPr>
                <w:sz w:val="4"/>
                <w:szCs w:val="4"/>
              </w:rPr>
            </w:pPr>
            <w:r>
              <w:rPr>
                <w:sz w:val="4"/>
                <w:szCs w:val="4"/>
              </w:rPr>
            </w:r>
          </w:p>
        </w:tc>
      </w:tr>
      <w:tr>
        <w:trPr/>
        <w:tc>
          <w:tcPr>
            <w:tcW w:w="8797" w:type="dxa"/>
            <w:tcBorders>
              <w:top w:val="single" w:sz="4" w:space="0" w:color="000000"/>
              <w:left w:val="single" w:sz="4" w:space="0" w:color="000000"/>
              <w:bottom w:val="single" w:sz="4" w:space="0" w:color="000000"/>
              <w:right w:val="single" w:sz="4" w:space="0" w:color="000000"/>
            </w:tcBorders>
            <w:shd w:fill="FFFFFF" w:val="clear"/>
            <w:tcMar>
              <w:left w:w="202" w:type="dxa"/>
            </w:tcMar>
            <w:vAlign w:val="center"/>
          </w:tcPr>
          <w:p>
            <w:pPr>
              <w:pStyle w:val="TableContents"/>
              <w:bidi w:val="0"/>
              <w:spacing w:before="0" w:after="283"/>
              <w:ind w:left="0" w:right="0" w:firstLine="202"/>
              <w:jc w:val="left"/>
              <w:rPr>
                <w:rFonts w:ascii="Times New Roman" w:hAnsi="Times New Roman"/>
                <w:b/>
                <w:color w:val="000000"/>
                <w:sz w:val="20"/>
              </w:rPr>
            </w:pPr>
            <w:r>
              <w:rPr>
                <w:rFonts w:ascii="Times New Roman" w:hAnsi="Times New Roman"/>
                <w:b/>
                <w:color w:val="000000"/>
                <w:sz w:val="20"/>
              </w:rPr>
              <w:t>Number of Days in Issuance Selling Period:</w:t>
            </w:r>
          </w:p>
        </w:tc>
        <w:tc>
          <w:tcPr>
            <w:tcW w:w="21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72"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ind w:left="0" w:right="0" w:firstLine="202"/>
              <w:jc w:val="left"/>
              <w:rPr>
                <w:sz w:val="4"/>
                <w:szCs w:val="4"/>
              </w:rPr>
            </w:pPr>
            <w:r>
              <w:rPr>
                <w:sz w:val="4"/>
                <w:szCs w:val="4"/>
              </w:rPr>
            </w:r>
          </w:p>
        </w:tc>
      </w:tr>
      <w:tr>
        <w:trPr/>
        <w:tc>
          <w:tcPr>
            <w:tcW w:w="8797" w:type="dxa"/>
            <w:tcBorders>
              <w:left w:val="single" w:sz="4" w:space="0" w:color="000000"/>
              <w:bottom w:val="single" w:sz="4" w:space="0" w:color="000000"/>
              <w:right w:val="single" w:sz="4" w:space="0" w:color="000000"/>
            </w:tcBorders>
            <w:shd w:fill="FFFFFF" w:val="clear"/>
            <w:tcMar>
              <w:top w:w="0" w:type="dxa"/>
              <w:left w:w="202" w:type="dxa"/>
            </w:tcMar>
            <w:vAlign w:val="center"/>
          </w:tcPr>
          <w:p>
            <w:pPr>
              <w:pStyle w:val="TableContents"/>
              <w:bidi w:val="0"/>
              <w:spacing w:before="0" w:after="283"/>
              <w:ind w:left="0" w:right="0" w:firstLine="202"/>
              <w:jc w:val="left"/>
              <w:rPr>
                <w:rFonts w:ascii="Times New Roman" w:hAnsi="Times New Roman"/>
                <w:b/>
                <w:color w:val="000000"/>
                <w:sz w:val="20"/>
              </w:rPr>
            </w:pPr>
            <w:r>
              <w:rPr>
                <w:rFonts w:ascii="Times New Roman" w:hAnsi="Times New Roman"/>
                <w:b/>
                <w:color w:val="000000"/>
                <w:sz w:val="20"/>
              </w:rPr>
              <w:t>First Date of Issuance Selling Period:</w:t>
            </w:r>
          </w:p>
        </w:tc>
        <w:tc>
          <w:tcPr>
            <w:tcW w:w="536" w:type="dxa"/>
            <w:gridSpan w:val="2"/>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7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02"/>
              <w:jc w:val="left"/>
              <w:rPr>
                <w:sz w:val="4"/>
                <w:szCs w:val="4"/>
              </w:rPr>
            </w:pPr>
            <w:r>
              <w:rPr>
                <w:sz w:val="4"/>
                <w:szCs w:val="4"/>
              </w:rPr>
            </w:r>
          </w:p>
        </w:tc>
      </w:tr>
      <w:tr>
        <w:trPr/>
        <w:tc>
          <w:tcPr>
            <w:tcW w:w="8797" w:type="dxa"/>
            <w:tcBorders>
              <w:left w:val="single" w:sz="4" w:space="0" w:color="000000"/>
              <w:bottom w:val="single" w:sz="4" w:space="0" w:color="000000"/>
              <w:right w:val="single" w:sz="4" w:space="0" w:color="000000"/>
            </w:tcBorders>
            <w:shd w:fill="FFFFFF" w:val="clear"/>
            <w:tcMar>
              <w:top w:w="0" w:type="dxa"/>
              <w:left w:w="202" w:type="dxa"/>
            </w:tcMar>
            <w:vAlign w:val="center"/>
          </w:tcPr>
          <w:p>
            <w:pPr>
              <w:pStyle w:val="TableContents"/>
              <w:bidi w:val="0"/>
              <w:spacing w:before="0" w:after="283"/>
              <w:ind w:left="0" w:right="0" w:firstLine="202"/>
              <w:jc w:val="left"/>
              <w:rPr>
                <w:rFonts w:ascii="Times New Roman" w:hAnsi="Times New Roman"/>
                <w:b/>
                <w:color w:val="000000"/>
                <w:sz w:val="20"/>
              </w:rPr>
            </w:pPr>
            <w:r>
              <w:rPr>
                <w:rFonts w:ascii="Times New Roman" w:hAnsi="Times New Roman"/>
                <w:b/>
                <w:color w:val="000000"/>
                <w:sz w:val="20"/>
              </w:rPr>
              <w:t>Maximum Number of Shares to be Sold:</w:t>
            </w:r>
          </w:p>
        </w:tc>
        <w:tc>
          <w:tcPr>
            <w:tcW w:w="536" w:type="dxa"/>
            <w:gridSpan w:val="2"/>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7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r>
        <w:trPr/>
        <w:tc>
          <w:tcPr>
            <w:tcW w:w="8797" w:type="dxa"/>
            <w:tcBorders>
              <w:left w:val="single" w:sz="4" w:space="0" w:color="000000"/>
              <w:bottom w:val="single" w:sz="4" w:space="0" w:color="000000"/>
              <w:right w:val="single" w:sz="4" w:space="0" w:color="000000"/>
            </w:tcBorders>
            <w:shd w:fill="FFFFFF" w:val="clear"/>
            <w:tcMar>
              <w:top w:w="0" w:type="dxa"/>
              <w:left w:w="202"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Issuance Amount:</w:t>
            </w:r>
          </w:p>
        </w:tc>
        <w:tc>
          <w:tcPr>
            <w:tcW w:w="2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7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02"/>
              <w:jc w:val="left"/>
              <w:rPr>
                <w:sz w:val="4"/>
                <w:szCs w:val="4"/>
              </w:rPr>
            </w:pPr>
            <w:r>
              <w:rPr>
                <w:sz w:val="4"/>
                <w:szCs w:val="4"/>
              </w:rPr>
            </w:r>
          </w:p>
        </w:tc>
      </w:tr>
      <w:tr>
        <w:trPr/>
        <w:tc>
          <w:tcPr>
            <w:tcW w:w="8797" w:type="dxa"/>
            <w:tcBorders>
              <w:left w:val="single" w:sz="4" w:space="0" w:color="000000"/>
              <w:bottom w:val="single" w:sz="4" w:space="0" w:color="000000"/>
              <w:right w:val="single" w:sz="4" w:space="0" w:color="000000"/>
            </w:tcBorders>
            <w:shd w:fill="FFFFFF" w:val="clear"/>
            <w:tcMar>
              <w:top w:w="0" w:type="dxa"/>
              <w:left w:w="202" w:type="dxa"/>
            </w:tcMar>
            <w:vAlign w:val="center"/>
          </w:tcPr>
          <w:p>
            <w:pPr>
              <w:pStyle w:val="TableContents"/>
              <w:bidi w:val="0"/>
              <w:spacing w:before="0" w:after="283"/>
              <w:ind w:left="0" w:right="0" w:firstLine="202"/>
              <w:jc w:val="left"/>
              <w:rPr>
                <w:rFonts w:ascii="Times New Roman" w:hAnsi="Times New Roman"/>
                <w:b/>
                <w:color w:val="000000"/>
                <w:sz w:val="20"/>
              </w:rPr>
            </w:pPr>
            <w:r>
              <w:rPr>
                <w:rFonts w:ascii="Times New Roman" w:hAnsi="Times New Roman"/>
                <w:b/>
                <w:color w:val="000000"/>
                <w:sz w:val="20"/>
              </w:rPr>
              <w:t>Minimum Price (Adjustable by Company during the Issuance Selling Period, and in no event less than $1.00 per share):</w:t>
            </w:r>
          </w:p>
        </w:tc>
        <w:tc>
          <w:tcPr>
            <w:tcW w:w="2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7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 share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be included for a Non-Contingent Forward only]</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479"/>
        <w:gridCol w:w="211"/>
        <w:gridCol w:w="315"/>
        <w:gridCol w:w="1200"/>
      </w:tblGrid>
      <w:tr>
        <w:trPr/>
        <w:tc>
          <w:tcPr>
            <w:tcW w:w="8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ind w:left="0" w:right="0" w:firstLine="202"/>
              <w:jc w:val="left"/>
              <w:rPr>
                <w:sz w:val="4"/>
                <w:szCs w:val="4"/>
              </w:rPr>
            </w:pPr>
            <w:r>
              <w:rPr>
                <w:sz w:val="4"/>
                <w:szCs w:val="4"/>
              </w:rPr>
            </w:r>
          </w:p>
        </w:tc>
      </w:tr>
      <w:tr>
        <w:trPr/>
        <w:tc>
          <w:tcPr>
            <w:tcW w:w="8479" w:type="dxa"/>
            <w:tcBorders>
              <w:top w:val="single" w:sz="4" w:space="0" w:color="000000"/>
              <w:left w:val="single" w:sz="4" w:space="0" w:color="000000"/>
              <w:bottom w:val="single" w:sz="4" w:space="0" w:color="000000"/>
              <w:right w:val="single" w:sz="4" w:space="0" w:color="000000"/>
            </w:tcBorders>
            <w:shd w:fill="FFFFFF" w:val="clear"/>
            <w:tcMar>
              <w:left w:w="202" w:type="dxa"/>
            </w:tcMar>
            <w:vAlign w:val="center"/>
          </w:tcPr>
          <w:p>
            <w:pPr>
              <w:pStyle w:val="TableContents"/>
              <w:bidi w:val="0"/>
              <w:spacing w:before="0" w:after="283"/>
              <w:ind w:left="0" w:right="0" w:firstLine="202"/>
              <w:jc w:val="left"/>
              <w:rPr>
                <w:rFonts w:ascii="Times New Roman" w:hAnsi="Times New Roman"/>
                <w:b/>
                <w:color w:val="000000"/>
                <w:sz w:val="20"/>
              </w:rPr>
            </w:pPr>
            <w:r>
              <w:rPr>
                <w:rFonts w:ascii="Times New Roman" w:hAnsi="Times New Roman"/>
                <w:b/>
                <w:color w:val="000000"/>
                <w:sz w:val="20"/>
              </w:rPr>
              <w:t>Number of Days in Forward Hedge Selling Period:</w:t>
            </w:r>
          </w:p>
        </w:tc>
        <w:tc>
          <w:tcPr>
            <w:tcW w:w="21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5"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00"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ind w:left="0" w:right="0" w:firstLine="202"/>
              <w:jc w:val="left"/>
              <w:rPr>
                <w:sz w:val="4"/>
                <w:szCs w:val="4"/>
              </w:rPr>
            </w:pPr>
            <w:r>
              <w:rPr>
                <w:sz w:val="4"/>
                <w:szCs w:val="4"/>
              </w:rPr>
            </w:r>
          </w:p>
        </w:tc>
      </w:tr>
      <w:tr>
        <w:trPr/>
        <w:tc>
          <w:tcPr>
            <w:tcW w:w="8479" w:type="dxa"/>
            <w:tcBorders>
              <w:left w:val="single" w:sz="4" w:space="0" w:color="000000"/>
              <w:bottom w:val="single" w:sz="4" w:space="0" w:color="000000"/>
              <w:right w:val="single" w:sz="4" w:space="0" w:color="000000"/>
            </w:tcBorders>
            <w:shd w:fill="FFFFFF" w:val="clear"/>
            <w:tcMar>
              <w:top w:w="0" w:type="dxa"/>
              <w:left w:w="202" w:type="dxa"/>
            </w:tcMar>
            <w:vAlign w:val="center"/>
          </w:tcPr>
          <w:p>
            <w:pPr>
              <w:pStyle w:val="TableContents"/>
              <w:bidi w:val="0"/>
              <w:spacing w:before="0" w:after="283"/>
              <w:ind w:left="0" w:right="0" w:firstLine="202"/>
              <w:jc w:val="left"/>
              <w:rPr>
                <w:rFonts w:ascii="Times New Roman" w:hAnsi="Times New Roman"/>
                <w:b/>
                <w:color w:val="000000"/>
                <w:sz w:val="20"/>
              </w:rPr>
            </w:pPr>
            <w:r>
              <w:rPr>
                <w:rFonts w:ascii="Times New Roman" w:hAnsi="Times New Roman"/>
                <w:b/>
                <w:color w:val="000000"/>
                <w:sz w:val="20"/>
              </w:rPr>
              <w:t>First Date of Forward Hedge Selling Period:</w:t>
            </w:r>
          </w:p>
        </w:tc>
        <w:tc>
          <w:tcPr>
            <w:tcW w:w="526" w:type="dxa"/>
            <w:gridSpan w:val="2"/>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0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02"/>
              <w:jc w:val="left"/>
              <w:rPr>
                <w:sz w:val="4"/>
                <w:szCs w:val="4"/>
              </w:rPr>
            </w:pPr>
            <w:r>
              <w:rPr>
                <w:sz w:val="4"/>
                <w:szCs w:val="4"/>
              </w:rPr>
            </w:r>
          </w:p>
        </w:tc>
      </w:tr>
      <w:tr>
        <w:trPr/>
        <w:tc>
          <w:tcPr>
            <w:tcW w:w="8479" w:type="dxa"/>
            <w:tcBorders>
              <w:left w:val="single" w:sz="4" w:space="0" w:color="000000"/>
              <w:bottom w:val="single" w:sz="4" w:space="0" w:color="000000"/>
              <w:right w:val="single" w:sz="4" w:space="0" w:color="000000"/>
            </w:tcBorders>
            <w:shd w:fill="FFFFFF" w:val="clear"/>
            <w:tcMar>
              <w:top w:w="0" w:type="dxa"/>
              <w:left w:w="202" w:type="dxa"/>
            </w:tcMar>
            <w:vAlign w:val="center"/>
          </w:tcPr>
          <w:p>
            <w:pPr>
              <w:pStyle w:val="TableContents"/>
              <w:bidi w:val="0"/>
              <w:spacing w:before="0" w:after="283"/>
              <w:ind w:left="0" w:right="0" w:firstLine="202"/>
              <w:jc w:val="left"/>
              <w:rPr>
                <w:rFonts w:ascii="Times New Roman" w:hAnsi="Times New Roman"/>
                <w:b/>
                <w:color w:val="000000"/>
                <w:sz w:val="20"/>
              </w:rPr>
            </w:pPr>
            <w:r>
              <w:rPr>
                <w:rFonts w:ascii="Times New Roman" w:hAnsi="Times New Roman"/>
                <w:b/>
                <w:color w:val="000000"/>
                <w:sz w:val="20"/>
              </w:rPr>
              <w:t>Maximum Number of Shares to be Sold:</w:t>
            </w:r>
          </w:p>
        </w:tc>
        <w:tc>
          <w:tcPr>
            <w:tcW w:w="526" w:type="dxa"/>
            <w:gridSpan w:val="2"/>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0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02"/>
              <w:jc w:val="left"/>
              <w:rPr>
                <w:sz w:val="4"/>
                <w:szCs w:val="4"/>
              </w:rPr>
            </w:pPr>
            <w:r>
              <w:rPr>
                <w:sz w:val="4"/>
                <w:szCs w:val="4"/>
              </w:rPr>
            </w:r>
          </w:p>
        </w:tc>
      </w:tr>
      <w:tr>
        <w:trPr/>
        <w:tc>
          <w:tcPr>
            <w:tcW w:w="8479" w:type="dxa"/>
            <w:tcBorders>
              <w:left w:val="single" w:sz="4" w:space="0" w:color="000000"/>
              <w:bottom w:val="single" w:sz="4" w:space="0" w:color="000000"/>
              <w:right w:val="single" w:sz="4" w:space="0" w:color="000000"/>
            </w:tcBorders>
            <w:shd w:fill="FFFFFF" w:val="clear"/>
            <w:tcMar>
              <w:top w:w="0" w:type="dxa"/>
              <w:left w:w="202" w:type="dxa"/>
            </w:tcMar>
            <w:vAlign w:val="center"/>
          </w:tcPr>
          <w:p>
            <w:pPr>
              <w:pStyle w:val="TableContents"/>
              <w:bidi w:val="0"/>
              <w:spacing w:before="0" w:after="283"/>
              <w:ind w:left="0" w:right="0" w:firstLine="202"/>
              <w:jc w:val="left"/>
              <w:rPr>
                <w:rFonts w:ascii="Times New Roman" w:hAnsi="Times New Roman"/>
                <w:b/>
                <w:color w:val="000000"/>
                <w:sz w:val="20"/>
              </w:rPr>
            </w:pPr>
            <w:r>
              <w:rPr>
                <w:rFonts w:ascii="Times New Roman" w:hAnsi="Times New Roman"/>
                <w:b/>
                <w:color w:val="000000"/>
                <w:sz w:val="20"/>
              </w:rPr>
              <w:t>Forward Hedge Amount:</w:t>
            </w:r>
          </w:p>
        </w:tc>
        <w:tc>
          <w:tcPr>
            <w:tcW w:w="2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0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02"/>
              <w:jc w:val="left"/>
              <w:rPr>
                <w:sz w:val="4"/>
                <w:szCs w:val="4"/>
              </w:rPr>
            </w:pPr>
            <w:r>
              <w:rPr>
                <w:sz w:val="4"/>
                <w:szCs w:val="4"/>
              </w:rPr>
            </w:r>
          </w:p>
        </w:tc>
      </w:tr>
      <w:tr>
        <w:trPr/>
        <w:tc>
          <w:tcPr>
            <w:tcW w:w="8479" w:type="dxa"/>
            <w:tcBorders>
              <w:left w:val="single" w:sz="4" w:space="0" w:color="000000"/>
              <w:bottom w:val="single" w:sz="4" w:space="0" w:color="000000"/>
              <w:right w:val="single" w:sz="4" w:space="0" w:color="000000"/>
            </w:tcBorders>
            <w:shd w:fill="FFFFFF" w:val="clear"/>
            <w:tcMar>
              <w:top w:w="0" w:type="dxa"/>
              <w:left w:w="202" w:type="dxa"/>
            </w:tcMar>
            <w:vAlign w:val="center"/>
          </w:tcPr>
          <w:p>
            <w:pPr>
              <w:pStyle w:val="TableContents"/>
              <w:bidi w:val="0"/>
              <w:spacing w:before="0" w:after="283"/>
              <w:ind w:left="0" w:right="0" w:firstLine="202"/>
              <w:jc w:val="left"/>
              <w:rPr>
                <w:rFonts w:ascii="Times New Roman" w:hAnsi="Times New Roman"/>
                <w:b/>
                <w:color w:val="000000"/>
                <w:sz w:val="20"/>
              </w:rPr>
            </w:pPr>
            <w:r>
              <w:rPr>
                <w:rFonts w:ascii="Times New Roman" w:hAnsi="Times New Roman"/>
                <w:b/>
                <w:color w:val="000000"/>
                <w:sz w:val="20"/>
              </w:rPr>
              <w:t>Minimum Price (Adjustable by Company during the Forward Hedge Selling Period, and in no event less than $1.00 per share):</w:t>
            </w:r>
          </w:p>
        </w:tc>
        <w:tc>
          <w:tcPr>
            <w:tcW w:w="2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0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02"/>
              <w:jc w:val="left"/>
              <w:rPr>
                <w:color w:val="000000"/>
              </w:rPr>
            </w:pPr>
            <w:r>
              <w:rPr>
                <w:color w:val="000000"/>
              </w:rPr>
              <w:t> </w:t>
            </w:r>
            <w:r>
              <w:rPr>
                <w:rFonts w:ascii="Times New Roman" w:hAnsi="Times New Roman"/>
                <w:color w:val="000000"/>
                <w:sz w:val="20"/>
              </w:rPr>
              <w:t>per share</w:t>
            </w:r>
          </w:p>
        </w:tc>
      </w:tr>
      <w:tr>
        <w:trPr/>
        <w:tc>
          <w:tcPr>
            <w:tcW w:w="8479" w:type="dxa"/>
            <w:tcBorders>
              <w:left w:val="single" w:sz="4" w:space="0" w:color="000000"/>
              <w:bottom w:val="single" w:sz="4" w:space="0" w:color="000000"/>
              <w:right w:val="single" w:sz="4" w:space="0" w:color="000000"/>
            </w:tcBorders>
            <w:shd w:fill="FFFFFF" w:val="clear"/>
            <w:tcMar>
              <w:top w:w="0" w:type="dxa"/>
              <w:left w:w="202" w:type="dxa"/>
            </w:tcMar>
            <w:vAlign w:val="center"/>
          </w:tcPr>
          <w:p>
            <w:pPr>
              <w:pStyle w:val="TableContents"/>
              <w:bidi w:val="0"/>
              <w:spacing w:before="0" w:after="283"/>
              <w:ind w:left="0" w:right="0" w:firstLine="202"/>
              <w:jc w:val="left"/>
              <w:rPr>
                <w:rFonts w:ascii="Times New Roman" w:hAnsi="Times New Roman"/>
                <w:b/>
                <w:color w:val="000000"/>
                <w:sz w:val="20"/>
              </w:rPr>
            </w:pPr>
            <w:r>
              <w:rPr>
                <w:rFonts w:ascii="Times New Roman" w:hAnsi="Times New Roman"/>
                <w:b/>
                <w:color w:val="000000"/>
                <w:sz w:val="20"/>
              </w:rPr>
              <w:t>Initial Stock Loan Rate:</w:t>
            </w:r>
          </w:p>
        </w:tc>
        <w:tc>
          <w:tcPr>
            <w:tcW w:w="2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0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basis points</w:t>
            </w:r>
          </w:p>
        </w:tc>
      </w:tr>
      <w:tr>
        <w:trPr/>
        <w:tc>
          <w:tcPr>
            <w:tcW w:w="8479" w:type="dxa"/>
            <w:tcBorders>
              <w:left w:val="single" w:sz="4" w:space="0" w:color="000000"/>
              <w:bottom w:val="single" w:sz="4" w:space="0" w:color="000000"/>
              <w:right w:val="single" w:sz="4" w:space="0" w:color="000000"/>
            </w:tcBorders>
            <w:shd w:fill="FFFFFF" w:val="clear"/>
            <w:tcMar>
              <w:top w:w="0" w:type="dxa"/>
              <w:left w:w="202" w:type="dxa"/>
            </w:tcMar>
            <w:vAlign w:val="center"/>
          </w:tcPr>
          <w:p>
            <w:pPr>
              <w:pStyle w:val="TableContents"/>
              <w:bidi w:val="0"/>
              <w:spacing w:before="0" w:after="283"/>
              <w:ind w:left="0" w:right="0" w:firstLine="202"/>
              <w:jc w:val="left"/>
              <w:rPr>
                <w:rFonts w:ascii="Times New Roman" w:hAnsi="Times New Roman"/>
                <w:b/>
                <w:color w:val="000000"/>
                <w:sz w:val="20"/>
              </w:rPr>
            </w:pPr>
            <w:r>
              <w:rPr>
                <w:rFonts w:ascii="Times New Roman" w:hAnsi="Times New Roman"/>
                <w:b/>
                <w:color w:val="000000"/>
                <w:sz w:val="20"/>
              </w:rPr>
              <w:t>Maximum Stock Loan Rate:</w:t>
            </w:r>
          </w:p>
        </w:tc>
        <w:tc>
          <w:tcPr>
            <w:tcW w:w="2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0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basis points</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Exhibit 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be included for a Contingent Forward only]</w:t>
      </w:r>
    </w:p>
    <w:p>
      <w:pPr>
        <w:pStyle w:val="TextBody"/>
        <w:bidi w:val="0"/>
        <w:jc w:val="left"/>
        <w:rPr/>
      </w:pPr>
      <w:r>
        <w:rPr/>
        <w:t> </w:t>
      </w:r>
    </w:p>
    <w:p>
      <w:pPr>
        <w:pStyle w:val="TextBody"/>
        <w:bidi w:val="0"/>
        <w:jc w:val="left"/>
        <w:rPr/>
      </w:pPr>
      <w:r>
        <w:rPr/>
        <w:t> </w:t>
      </w:r>
    </w:p>
    <w:tbl>
      <w:tblPr>
        <w:tblW w:w="3421" w:type="dxa"/>
        <w:jc w:val="left"/>
        <w:tblInd w:w="0" w:type="dxa"/>
        <w:tblLayout w:type="fixed"/>
        <w:tblCellMar>
          <w:top w:w="28" w:type="dxa"/>
          <w:left w:w="28" w:type="dxa"/>
          <w:bottom w:w="28" w:type="dxa"/>
          <w:right w:w="28" w:type="dxa"/>
        </w:tblCellMar>
      </w:tblPr>
      <w:tblGrid>
        <w:gridCol w:w="2828"/>
        <w:gridCol w:w="593"/>
      </w:tblGrid>
      <w:tr>
        <w:trPr/>
        <w:tc>
          <w:tcPr>
            <w:tcW w:w="282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ind w:left="0" w:right="0" w:firstLine="202"/>
              <w:jc w:val="left"/>
              <w:rPr>
                <w:sz w:val="4"/>
                <w:szCs w:val="4"/>
              </w:rPr>
            </w:pPr>
            <w:r>
              <w:rPr>
                <w:sz w:val="4"/>
                <w:szCs w:val="4"/>
              </w:rPr>
            </w:r>
          </w:p>
        </w:tc>
      </w:tr>
      <w:tr>
        <w:trPr/>
        <w:tc>
          <w:tcPr>
            <w:tcW w:w="2828" w:type="dxa"/>
            <w:tcBorders>
              <w:top w:val="single" w:sz="4" w:space="0" w:color="000000"/>
              <w:left w:val="single" w:sz="4" w:space="0" w:color="000000"/>
              <w:bottom w:val="single" w:sz="4" w:space="0" w:color="000000"/>
              <w:right w:val="single" w:sz="4" w:space="0" w:color="000000"/>
            </w:tcBorders>
            <w:shd w:fill="FFFFFF" w:val="clear"/>
            <w:tcMar>
              <w:left w:w="202" w:type="dxa"/>
            </w:tcMar>
            <w:vAlign w:val="center"/>
          </w:tcPr>
          <w:p>
            <w:pPr>
              <w:pStyle w:val="TableContents"/>
              <w:bidi w:val="0"/>
              <w:spacing w:before="0" w:after="283"/>
              <w:ind w:left="0" w:right="0" w:firstLine="202"/>
              <w:jc w:val="left"/>
              <w:rPr>
                <w:rFonts w:ascii="Times New Roman" w:hAnsi="Times New Roman"/>
                <w:b/>
                <w:color w:val="000000"/>
                <w:sz w:val="20"/>
              </w:rPr>
            </w:pPr>
            <w:r>
              <w:rPr>
                <w:rFonts w:ascii="Times New Roman" w:hAnsi="Times New Roman"/>
                <w:b/>
                <w:color w:val="000000"/>
                <w:sz w:val="20"/>
              </w:rPr>
              <w:t>Maximum Number of Shares:</w:t>
            </w:r>
          </w:p>
        </w:tc>
        <w:tc>
          <w:tcPr>
            <w:tcW w:w="593"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ind w:left="0" w:right="0" w:firstLine="202"/>
              <w:jc w:val="center"/>
              <w:rPr>
                <w:rFonts w:ascii="Times New Roman" w:hAnsi="Times New Roman"/>
                <w:color w:val="000000"/>
                <w:sz w:val="20"/>
              </w:rPr>
            </w:pPr>
            <w:r>
              <w:rPr>
                <w:rFonts w:ascii="Times New Roman" w:hAnsi="Times New Roman"/>
                <w:color w:val="000000"/>
                <w:sz w:val="20"/>
              </w:rPr>
              <w:t>[●]</w:t>
            </w:r>
          </w:p>
        </w:tc>
      </w:tr>
      <w:tr>
        <w:trPr/>
        <w:tc>
          <w:tcPr>
            <w:tcW w:w="2828" w:type="dxa"/>
            <w:tcBorders>
              <w:left w:val="single" w:sz="4" w:space="0" w:color="000000"/>
              <w:bottom w:val="single" w:sz="4" w:space="0" w:color="000000"/>
              <w:right w:val="single" w:sz="4" w:space="0" w:color="000000"/>
            </w:tcBorders>
            <w:shd w:fill="FFFFFF" w:val="clear"/>
            <w:tcMar>
              <w:top w:w="0" w:type="dxa"/>
              <w:left w:w="202" w:type="dxa"/>
            </w:tcMar>
            <w:vAlign w:val="center"/>
          </w:tcPr>
          <w:p>
            <w:pPr>
              <w:pStyle w:val="TableContents"/>
              <w:bidi w:val="0"/>
              <w:spacing w:before="0" w:after="283"/>
              <w:ind w:left="0" w:right="0" w:firstLine="202"/>
              <w:jc w:val="left"/>
              <w:rPr>
                <w:rFonts w:ascii="Times New Roman" w:hAnsi="Times New Roman"/>
                <w:b/>
                <w:color w:val="000000"/>
                <w:sz w:val="20"/>
              </w:rPr>
            </w:pPr>
            <w:r>
              <w:rPr>
                <w:rFonts w:ascii="Times New Roman" w:hAnsi="Times New Roman"/>
                <w:b/>
                <w:color w:val="000000"/>
                <w:sz w:val="20"/>
              </w:rPr>
              <w:t>Sales Period Outside Date:</w:t>
            </w:r>
          </w:p>
        </w:tc>
        <w:tc>
          <w:tcPr>
            <w:tcW w:w="59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be included in a Non-Contingent Forward and a Contingent Forward]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59"/>
        <w:gridCol w:w="520"/>
        <w:gridCol w:w="826"/>
      </w:tblGrid>
      <w:tr>
        <w:trPr/>
        <w:tc>
          <w:tcPr>
            <w:tcW w:w="885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ind w:left="0" w:right="0" w:firstLine="202"/>
              <w:jc w:val="left"/>
              <w:rPr>
                <w:sz w:val="4"/>
                <w:szCs w:val="4"/>
              </w:rPr>
            </w:pPr>
            <w:r>
              <w:rPr>
                <w:sz w:val="4"/>
                <w:szCs w:val="4"/>
              </w:rPr>
            </w:r>
          </w:p>
        </w:tc>
      </w:tr>
      <w:tr>
        <w:trPr/>
        <w:tc>
          <w:tcPr>
            <w:tcW w:w="8859" w:type="dxa"/>
            <w:tcBorders>
              <w:top w:val="single" w:sz="4" w:space="0" w:color="000000"/>
              <w:left w:val="single" w:sz="4" w:space="0" w:color="000000"/>
              <w:bottom w:val="single" w:sz="4" w:space="0" w:color="000000"/>
              <w:right w:val="single" w:sz="4" w:space="0" w:color="000000"/>
            </w:tcBorders>
            <w:shd w:fill="FFFFFF" w:val="clear"/>
            <w:tcMar>
              <w:left w:w="202" w:type="dxa"/>
            </w:tcMar>
            <w:vAlign w:val="center"/>
          </w:tcPr>
          <w:p>
            <w:pPr>
              <w:pStyle w:val="TableContents"/>
              <w:bidi w:val="0"/>
              <w:spacing w:before="0" w:after="283"/>
              <w:ind w:left="0" w:right="0" w:firstLine="202"/>
              <w:jc w:val="left"/>
              <w:rPr>
                <w:rFonts w:ascii="Times New Roman" w:hAnsi="Times New Roman"/>
                <w:b/>
                <w:color w:val="000000"/>
                <w:sz w:val="20"/>
              </w:rPr>
            </w:pPr>
            <w:r>
              <w:rPr>
                <w:rFonts w:ascii="Times New Roman" w:hAnsi="Times New Roman"/>
                <w:b/>
                <w:color w:val="000000"/>
                <w:sz w:val="20"/>
              </w:rPr>
              <w:t>Spread:</w:t>
            </w:r>
          </w:p>
        </w:tc>
        <w:tc>
          <w:tcPr>
            <w:tcW w:w="1346" w:type="dxa"/>
            <w:gridSpan w:val="2"/>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ind w:left="0" w:right="0" w:firstLine="202"/>
              <w:jc w:val="center"/>
              <w:rPr>
                <w:rFonts w:ascii="Times New Roman" w:hAnsi="Times New Roman"/>
                <w:color w:val="000000"/>
                <w:sz w:val="20"/>
              </w:rPr>
            </w:pPr>
            <w:r>
              <w:rPr>
                <w:rFonts w:ascii="Times New Roman" w:hAnsi="Times New Roman"/>
                <w:color w:val="000000"/>
                <w:sz w:val="20"/>
              </w:rPr>
              <w:t>[●] basis points</w:t>
            </w:r>
          </w:p>
        </w:tc>
      </w:tr>
      <w:tr>
        <w:trPr/>
        <w:tc>
          <w:tcPr>
            <w:tcW w:w="8859" w:type="dxa"/>
            <w:tcBorders>
              <w:left w:val="single" w:sz="4" w:space="0" w:color="000000"/>
              <w:bottom w:val="single" w:sz="4" w:space="0" w:color="000000"/>
              <w:right w:val="single" w:sz="4" w:space="0" w:color="000000"/>
            </w:tcBorders>
            <w:shd w:fill="FFFFFF" w:val="clear"/>
            <w:tcMar>
              <w:top w:w="0" w:type="dxa"/>
              <w:left w:w="202" w:type="dxa"/>
            </w:tcMar>
            <w:vAlign w:val="center"/>
          </w:tcPr>
          <w:p>
            <w:pPr>
              <w:pStyle w:val="TableContents"/>
              <w:bidi w:val="0"/>
              <w:spacing w:before="0" w:after="283"/>
              <w:ind w:left="0" w:right="0" w:firstLine="202"/>
              <w:jc w:val="left"/>
              <w:rPr>
                <w:rFonts w:ascii="Times New Roman" w:hAnsi="Times New Roman"/>
                <w:b/>
                <w:color w:val="000000"/>
                <w:sz w:val="20"/>
              </w:rPr>
            </w:pPr>
            <w:r>
              <w:rPr>
                <w:rFonts w:ascii="Times New Roman" w:hAnsi="Times New Roman"/>
                <w:b/>
                <w:color w:val="000000"/>
                <w:sz w:val="20"/>
              </w:rPr>
              <w:t>Forward Hedge Selling Commission Rate:</w:t>
            </w:r>
          </w:p>
        </w:tc>
        <w:tc>
          <w:tcPr>
            <w:tcW w:w="1346" w:type="dxa"/>
            <w:gridSpan w:val="2"/>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02"/>
              <w:jc w:val="center"/>
              <w:rPr>
                <w:rFonts w:ascii="Times New Roman" w:hAnsi="Times New Roman"/>
                <w:color w:val="000000"/>
                <w:sz w:val="20"/>
              </w:rPr>
            </w:pPr>
            <w:r>
              <w:rPr>
                <w:rFonts w:ascii="Times New Roman" w:hAnsi="Times New Roman"/>
                <w:color w:val="000000"/>
                <w:sz w:val="20"/>
              </w:rPr>
              <w:t>[●]%</w:t>
            </w:r>
          </w:p>
        </w:tc>
      </w:tr>
      <w:tr>
        <w:trPr/>
        <w:tc>
          <w:tcPr>
            <w:tcW w:w="885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202"/>
              <w:jc w:val="left"/>
              <w:rPr>
                <w:rFonts w:ascii="Times New Roman" w:hAnsi="Times New Roman"/>
                <w:sz w:val="20"/>
              </w:rPr>
            </w:pPr>
            <w:r>
              <w:rPr>
                <w:rFonts w:ascii="Times New Roman" w:hAnsi="Times New Roman"/>
                <w:b/>
                <w:color w:val="000000"/>
                <w:sz w:val="20"/>
              </w:rPr>
              <w:t>Maturity Date:</w:t>
            </w:r>
            <w:r>
              <w:rPr>
                <w:rFonts w:ascii="Times New Roman" w:hAnsi="Times New Roman"/>
                <w:color w:val="000000"/>
                <w:sz w:val="20"/>
              </w:rPr>
              <w:t xml:space="preserve"> </w:t>
            </w:r>
          </w:p>
        </w:tc>
        <w:tc>
          <w:tcPr>
            <w:tcW w:w="1346" w:type="dxa"/>
            <w:gridSpan w:val="2"/>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02"/>
              <w:jc w:val="center"/>
              <w:rPr>
                <w:rFonts w:ascii="Times New Roman" w:hAnsi="Times New Roman"/>
                <w:b/>
                <w:color w:val="000000"/>
                <w:sz w:val="20"/>
              </w:rPr>
            </w:pPr>
            <w:r>
              <w:rPr>
                <w:rFonts w:ascii="Times New Roman" w:hAnsi="Times New Roman"/>
                <w:b/>
                <w:color w:val="000000"/>
                <w:sz w:val="20"/>
              </w:rPr>
              <w:t>[●]</w:t>
            </w:r>
          </w:p>
        </w:tc>
      </w:tr>
      <w:tr>
        <w:trPr/>
        <w:tc>
          <w:tcPr>
            <w:tcW w:w="885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202"/>
              <w:jc w:val="left"/>
              <w:rPr>
                <w:rFonts w:ascii="Times New Roman" w:hAnsi="Times New Roman"/>
                <w:b/>
                <w:color w:val="000000"/>
                <w:sz w:val="20"/>
              </w:rPr>
            </w:pPr>
            <w:r>
              <w:rPr>
                <w:rFonts w:ascii="Times New Roman" w:hAnsi="Times New Roman"/>
                <w:b/>
                <w:color w:val="000000"/>
                <w:sz w:val="20"/>
              </w:rPr>
              <w:t>[Number of Shares that would result in an Excess Charter Ownership Position (as defined in the applicable Master Forward Confirmation) as of the date hereof less one Share]</w:t>
            </w:r>
          </w:p>
        </w:tc>
        <w:tc>
          <w:tcPr>
            <w:tcW w:w="1346" w:type="dxa"/>
            <w:gridSpan w:val="2"/>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r>
      <w:tr>
        <w:trPr/>
        <w:tc>
          <w:tcPr>
            <w:tcW w:w="8859" w:type="dxa"/>
            <w:tcBorders>
              <w:left w:val="single" w:sz="4" w:space="0" w:color="000000"/>
              <w:bottom w:val="single" w:sz="4" w:space="0" w:color="000000"/>
              <w:right w:val="single" w:sz="4" w:space="0" w:color="000000"/>
            </w:tcBorders>
            <w:shd w:fill="FFFFFF" w:val="clear"/>
            <w:tcMar>
              <w:top w:w="0" w:type="dxa"/>
              <w:left w:w="40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Regular Dividend Amounts Per Calendar Quarter:</w:t>
            </w:r>
          </w:p>
        </w:tc>
        <w:tc>
          <w:tcPr>
            <w:tcW w:w="52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4793" w:type="dxa"/>
        <w:jc w:val="left"/>
        <w:tblInd w:w="0" w:type="dxa"/>
        <w:tblLayout w:type="fixed"/>
        <w:tblCellMar>
          <w:top w:w="28" w:type="dxa"/>
          <w:left w:w="28" w:type="dxa"/>
          <w:bottom w:w="28" w:type="dxa"/>
          <w:right w:w="28" w:type="dxa"/>
        </w:tblCellMar>
      </w:tblPr>
      <w:tblGrid>
        <w:gridCol w:w="2791"/>
        <w:gridCol w:w="933"/>
        <w:gridCol w:w="1069"/>
      </w:tblGrid>
      <w:tr>
        <w:trPr/>
        <w:tc>
          <w:tcPr>
            <w:tcW w:w="279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ind w:left="0" w:right="0" w:firstLine="90"/>
              <w:jc w:val="left"/>
              <w:rPr>
                <w:sz w:val="4"/>
                <w:szCs w:val="4"/>
              </w:rPr>
            </w:pPr>
            <w:r>
              <w:rPr>
                <w:sz w:val="4"/>
                <w:szCs w:val="4"/>
              </w:rPr>
            </w:r>
          </w:p>
        </w:tc>
      </w:tr>
      <w:tr>
        <w:trPr/>
        <w:tc>
          <w:tcPr>
            <w:tcW w:w="279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90"/>
              <w:jc w:val="left"/>
              <w:rPr>
                <w:rFonts w:ascii="Times New Roman" w:hAnsi="Times New Roman"/>
                <w:b/>
                <w:color w:val="000000"/>
                <w:sz w:val="20"/>
              </w:rPr>
            </w:pPr>
            <w:r>
              <w:rPr>
                <w:rFonts w:ascii="Times New Roman" w:hAnsi="Times New Roman"/>
                <w:b/>
                <w:color w:val="000000"/>
                <w:sz w:val="20"/>
              </w:rPr>
              <w:t>Forward Price Reduction Date</w:t>
            </w:r>
          </w:p>
        </w:tc>
        <w:tc>
          <w:tcPr>
            <w:tcW w:w="2002" w:type="dxa"/>
            <w:gridSpan w:val="2"/>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202"/>
              <w:jc w:val="center"/>
              <w:rPr>
                <w:rFonts w:ascii="Times New Roman" w:hAnsi="Times New Roman"/>
                <w:sz w:val="20"/>
              </w:rPr>
            </w:pPr>
            <w:r>
              <w:rPr>
                <w:rFonts w:ascii="Times New Roman" w:hAnsi="Times New Roman"/>
                <w:b/>
                <w:color w:val="000000"/>
                <w:sz w:val="20"/>
              </w:rPr>
              <w:t>Forward Price</w:t>
            </w:r>
            <w:r>
              <w:rPr>
                <w:rFonts w:ascii="Times New Roman" w:hAnsi="Times New Roman"/>
                <w:color w:val="000000"/>
                <w:sz w:val="20"/>
              </w:rPr>
              <w:br/>
            </w:r>
            <w:r>
              <w:rPr>
                <w:rFonts w:ascii="Times New Roman" w:hAnsi="Times New Roman"/>
                <w:b/>
                <w:color w:val="000000"/>
                <w:sz w:val="20"/>
              </w:rPr>
              <w:t>Reduction Amounts</w:t>
            </w:r>
          </w:p>
        </w:tc>
      </w:tr>
      <w:tr>
        <w:trPr/>
        <w:tc>
          <w:tcPr>
            <w:tcW w:w="2791" w:type="dxa"/>
            <w:tcBorders>
              <w:left w:val="single" w:sz="4" w:space="0" w:color="000000"/>
              <w:bottom w:val="single" w:sz="4" w:space="0" w:color="000000"/>
              <w:right w:val="single" w:sz="4" w:space="0" w:color="000000"/>
            </w:tcBorders>
            <w:shd w:fill="FFFFFF" w:val="clear"/>
            <w:tcMar>
              <w:top w:w="0" w:type="dxa"/>
              <w:left w:w="202" w:type="dxa"/>
            </w:tcMar>
            <w:vAlign w:val="center"/>
          </w:tcPr>
          <w:p>
            <w:pPr>
              <w:pStyle w:val="TableContents"/>
              <w:bidi w:val="0"/>
              <w:spacing w:before="0" w:after="283"/>
              <w:ind w:left="0" w:right="0" w:firstLine="202"/>
              <w:jc w:val="left"/>
              <w:rPr>
                <w:color w:val="000000"/>
              </w:rPr>
            </w:pPr>
            <w:r>
              <w:rPr>
                <w:color w:val="000000"/>
              </w:rPr>
              <w:t> </w:t>
            </w:r>
            <w:r>
              <w:rPr>
                <w:rFonts w:ascii="Times New Roman" w:hAnsi="Times New Roman"/>
                <w:color w:val="000000"/>
                <w:sz w:val="20"/>
              </w:rPr>
              <w:t>[●]</w:t>
            </w:r>
          </w:p>
        </w:tc>
        <w:tc>
          <w:tcPr>
            <w:tcW w:w="9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02"/>
              <w:jc w:val="center"/>
              <w:rPr>
                <w:rFonts w:ascii="Times New Roman" w:hAnsi="Times New Roman"/>
                <w:color w:val="000000"/>
                <w:sz w:val="20"/>
              </w:rPr>
            </w:pPr>
            <w:r>
              <w:rPr>
                <w:rFonts w:ascii="Times New Roman" w:hAnsi="Times New Roman"/>
                <w:color w:val="000000"/>
                <w:sz w:val="20"/>
              </w:rPr>
              <w:t>$</w:t>
            </w:r>
          </w:p>
        </w:tc>
        <w:tc>
          <w:tcPr>
            <w:tcW w:w="106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w:t>
            </w:r>
          </w:p>
        </w:tc>
      </w:tr>
      <w:tr>
        <w:trPr/>
        <w:tc>
          <w:tcPr>
            <w:tcW w:w="2791" w:type="dxa"/>
            <w:tcBorders>
              <w:left w:val="single" w:sz="4" w:space="0" w:color="000000"/>
              <w:bottom w:val="single" w:sz="4" w:space="0" w:color="000000"/>
              <w:right w:val="single" w:sz="4" w:space="0" w:color="000000"/>
            </w:tcBorders>
            <w:tcMar>
              <w:top w:w="0" w:type="dxa"/>
              <w:left w:w="202" w:type="dxa"/>
            </w:tcMar>
            <w:vAlign w:val="center"/>
          </w:tcPr>
          <w:p>
            <w:pPr>
              <w:pStyle w:val="TableContents"/>
              <w:bidi w:val="0"/>
              <w:spacing w:before="0" w:after="283"/>
              <w:ind w:left="0" w:right="0" w:firstLine="202"/>
              <w:jc w:val="left"/>
              <w:rPr>
                <w:color w:val="000000"/>
              </w:rPr>
            </w:pPr>
            <w:r>
              <w:rPr>
                <w:color w:val="000000"/>
              </w:rPr>
              <w:t> </w:t>
            </w:r>
            <w:r>
              <w:rPr>
                <w:rFonts w:ascii="Times New Roman" w:hAnsi="Times New Roman"/>
                <w:color w:val="000000"/>
                <w:sz w:val="20"/>
              </w:rPr>
              <w:t>[●]</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02"/>
              <w:jc w:val="center"/>
              <w:rPr>
                <w:rFonts w:ascii="Times New Roman" w:hAnsi="Times New Roman"/>
                <w:color w:val="000000"/>
                <w:sz w:val="20"/>
              </w:rPr>
            </w:pPr>
            <w:r>
              <w:rPr>
                <w:rFonts w:ascii="Times New Roman" w:hAnsi="Times New Roman"/>
                <w:color w:val="000000"/>
                <w:sz w:val="20"/>
              </w:rPr>
              <w:t>$</w:t>
            </w:r>
          </w:p>
        </w:tc>
        <w:tc>
          <w:tcPr>
            <w:tcW w:w="10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w:t>
            </w:r>
          </w:p>
        </w:tc>
      </w:tr>
      <w:tr>
        <w:trPr/>
        <w:tc>
          <w:tcPr>
            <w:tcW w:w="2791" w:type="dxa"/>
            <w:tcBorders>
              <w:left w:val="single" w:sz="4" w:space="0" w:color="000000"/>
              <w:bottom w:val="single" w:sz="4" w:space="0" w:color="000000"/>
              <w:right w:val="single" w:sz="4" w:space="0" w:color="000000"/>
            </w:tcBorders>
            <w:shd w:fill="FFFFFF" w:val="clear"/>
            <w:tcMar>
              <w:top w:w="0" w:type="dxa"/>
              <w:left w:w="202" w:type="dxa"/>
            </w:tcMar>
            <w:vAlign w:val="center"/>
          </w:tcPr>
          <w:p>
            <w:pPr>
              <w:pStyle w:val="TableContents"/>
              <w:bidi w:val="0"/>
              <w:spacing w:before="0" w:after="283"/>
              <w:ind w:left="0" w:right="0" w:firstLine="202"/>
              <w:jc w:val="left"/>
              <w:rPr>
                <w:color w:val="000000"/>
              </w:rPr>
            </w:pPr>
            <w:r>
              <w:rPr>
                <w:color w:val="000000"/>
              </w:rPr>
              <w:t> </w:t>
            </w:r>
            <w:r>
              <w:rPr>
                <w:rFonts w:ascii="Times New Roman" w:hAnsi="Times New Roman"/>
                <w:color w:val="000000"/>
                <w:sz w:val="20"/>
              </w:rPr>
              <w:t>[●]</w:t>
            </w:r>
          </w:p>
        </w:tc>
        <w:tc>
          <w:tcPr>
            <w:tcW w:w="9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02"/>
              <w:jc w:val="center"/>
              <w:rPr>
                <w:rFonts w:ascii="Times New Roman" w:hAnsi="Times New Roman"/>
                <w:color w:val="000000"/>
                <w:sz w:val="20"/>
              </w:rPr>
            </w:pPr>
            <w:r>
              <w:rPr>
                <w:rFonts w:ascii="Times New Roman" w:hAnsi="Times New Roman"/>
                <w:color w:val="000000"/>
                <w:sz w:val="20"/>
              </w:rPr>
              <w:t>$</w:t>
            </w:r>
          </w:p>
        </w:tc>
        <w:tc>
          <w:tcPr>
            <w:tcW w:w="106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w:t>
            </w:r>
          </w:p>
        </w:tc>
      </w:tr>
      <w:tr>
        <w:trPr/>
        <w:tc>
          <w:tcPr>
            <w:tcW w:w="2791" w:type="dxa"/>
            <w:tcBorders>
              <w:left w:val="single" w:sz="4" w:space="0" w:color="000000"/>
              <w:bottom w:val="single" w:sz="4" w:space="0" w:color="000000"/>
              <w:right w:val="single" w:sz="4" w:space="0" w:color="000000"/>
            </w:tcBorders>
            <w:tcMar>
              <w:top w:w="0" w:type="dxa"/>
              <w:left w:w="202" w:type="dxa"/>
            </w:tcMar>
            <w:vAlign w:val="center"/>
          </w:tcPr>
          <w:p>
            <w:pPr>
              <w:pStyle w:val="TableContents"/>
              <w:bidi w:val="0"/>
              <w:spacing w:before="0" w:after="283"/>
              <w:ind w:left="0" w:right="0" w:firstLine="202"/>
              <w:jc w:val="left"/>
              <w:rPr>
                <w:color w:val="000000"/>
              </w:rPr>
            </w:pPr>
            <w:r>
              <w:rPr>
                <w:color w:val="000000"/>
              </w:rPr>
              <w:t> </w:t>
            </w:r>
            <w:r>
              <w:rPr>
                <w:rFonts w:ascii="Times New Roman" w:hAnsi="Times New Roman"/>
                <w:color w:val="000000"/>
                <w:sz w:val="20"/>
              </w:rPr>
              <w:t>[●]</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02"/>
              <w:jc w:val="center"/>
              <w:rPr>
                <w:rFonts w:ascii="Times New Roman" w:hAnsi="Times New Roman"/>
                <w:color w:val="000000"/>
                <w:sz w:val="20"/>
              </w:rPr>
            </w:pPr>
            <w:r>
              <w:rPr>
                <w:rFonts w:ascii="Times New Roman" w:hAnsi="Times New Roman"/>
                <w:color w:val="000000"/>
                <w:sz w:val="20"/>
              </w:rPr>
              <w:t>$</w:t>
            </w:r>
          </w:p>
        </w:tc>
        <w:tc>
          <w:tcPr>
            <w:tcW w:w="10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Exhibit A-2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dea-ex1_2.htm"/>
      <w:bookmarkStart w:id="5" w:name="ksdeaex1_2"/>
      <w:bookmarkEnd w:id="4"/>
      <w:bookmarkEnd w:id="5"/>
      <w:r>
        <w:rPr>
          <w:rFonts w:ascii="Times New Roman" w:hAnsi="Times New Roman"/>
          <w:b/>
          <w:color w:val="000000"/>
          <w:sz w:val="20"/>
        </w:rPr>
        <w:t>Exhibit 1.2</w:t>
      </w:r>
      <w:r>
        <w:br w:type="page"/>
      </w:r>
    </w:p>
    <w:p>
      <w:pPr>
        <w:pStyle w:val="TextBody"/>
        <w:bidi w:val="0"/>
        <w:jc w:val="left"/>
        <w:rPr/>
      </w:pPr>
      <w:r>
        <w:rPr/>
        <w:t> </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FORM OF MASTER CONFIRMATION FOR NON-CONTINGENT FORWARDS</w:t>
      </w:r>
    </w:p>
    <w:p>
      <w:pPr>
        <w:pStyle w:val="TextBody"/>
        <w:bidi w:val="0"/>
        <w:spacing w:before="240" w:after="283"/>
        <w:jc w:val="right"/>
        <w:rPr/>
      </w:pPr>
      <w:r>
        <w:rPr/>
        <w:t> </w:t>
      </w:r>
    </w:p>
    <w:tbl>
      <w:tblPr>
        <w:tblW w:w="6230" w:type="dxa"/>
        <w:jc w:val="left"/>
        <w:tblInd w:w="0" w:type="dxa"/>
        <w:tblLayout w:type="fixed"/>
        <w:tblCellMar>
          <w:top w:w="28" w:type="dxa"/>
          <w:left w:w="28" w:type="dxa"/>
          <w:bottom w:w="28" w:type="dxa"/>
          <w:right w:w="28" w:type="dxa"/>
        </w:tblCellMar>
      </w:tblPr>
      <w:tblGrid>
        <w:gridCol w:w="805"/>
        <w:gridCol w:w="5425"/>
      </w:tblGrid>
      <w:tr>
        <w:trPr/>
        <w:tc>
          <w:tcPr>
            <w:tcW w:w="805" w:type="dxa"/>
            <w:tcBorders/>
            <w:vAlign w:val="center"/>
          </w:tcPr>
          <w:p>
            <w:pPr>
              <w:pStyle w:val="TableContents"/>
              <w:bidi w:val="0"/>
              <w:spacing w:before="0" w:after="283"/>
              <w:jc w:val="left"/>
              <w:rPr>
                <w:sz w:val="4"/>
                <w:szCs w:val="4"/>
              </w:rPr>
            </w:pPr>
            <w:r>
              <w:rPr>
                <w:sz w:val="4"/>
                <w:szCs w:val="4"/>
              </w:rPr>
            </w:r>
          </w:p>
        </w:tc>
        <w:tc>
          <w:tcPr>
            <w:tcW w:w="5425" w:type="dxa"/>
            <w:tcBorders/>
            <w:vAlign w:val="center"/>
          </w:tcPr>
          <w:p>
            <w:pPr>
              <w:pStyle w:val="TableContents"/>
              <w:bidi w:val="0"/>
              <w:spacing w:before="0" w:after="283"/>
              <w:jc w:val="left"/>
              <w:rPr>
                <w:sz w:val="4"/>
                <w:szCs w:val="4"/>
              </w:rPr>
            </w:pPr>
            <w:r>
              <w:rPr>
                <w:sz w:val="4"/>
                <w:szCs w:val="4"/>
              </w:rPr>
            </w:r>
          </w:p>
        </w:tc>
      </w:tr>
      <w:tr>
        <w:trPr/>
        <w:tc>
          <w:tcPr>
            <w:tcW w:w="80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ind w:left="0" w:right="0" w:firstLine="144"/>
              <w:jc w:val="right"/>
              <w:rPr>
                <w:rFonts w:ascii="Times New Roman" w:hAnsi="Times New Roman"/>
                <w:b/>
                <w:color w:val="000000"/>
                <w:sz w:val="20"/>
              </w:rPr>
            </w:pPr>
            <w:r>
              <w:rPr>
                <w:rFonts w:ascii="Times New Roman" w:hAnsi="Times New Roman"/>
                <w:b/>
                <w:color w:val="000000"/>
                <w:sz w:val="20"/>
              </w:rPr>
              <w:t>To:</w:t>
            </w:r>
          </w:p>
        </w:tc>
        <w:tc>
          <w:tcPr>
            <w:tcW w:w="542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ind w:left="0" w:right="0" w:firstLine="144"/>
              <w:jc w:val="left"/>
              <w:rPr>
                <w:rFonts w:ascii="Times New Roman" w:hAnsi="Times New Roman"/>
                <w:sz w:val="20"/>
              </w:rPr>
            </w:pPr>
            <w:bookmarkStart w:id="6" w:name="to"/>
            <w:bookmarkEnd w:id="6"/>
            <w:r>
              <w:rPr>
                <w:rFonts w:ascii="Times New Roman" w:hAnsi="Times New Roman"/>
                <w:color w:val="000000"/>
                <w:sz w:val="20"/>
              </w:rPr>
              <w:t>Easterly Government Properties, Inc. (“</w:t>
            </w:r>
            <w:r>
              <w:rPr>
                <w:rFonts w:ascii="Times New Roman" w:hAnsi="Times New Roman"/>
                <w:b/>
                <w:color w:val="000000"/>
                <w:sz w:val="20"/>
              </w:rPr>
              <w:t>Party B</w:t>
            </w:r>
            <w:r>
              <w:rPr>
                <w:rFonts w:ascii="Times New Roman" w:hAnsi="Times New Roman"/>
                <w:color w:val="000000"/>
                <w:sz w:val="20"/>
              </w:rPr>
              <w:t>”)</w:t>
            </w:r>
          </w:p>
        </w:tc>
      </w:tr>
      <w:tr>
        <w:trPr/>
        <w:tc>
          <w:tcPr>
            <w:tcW w:w="80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44"/>
              <w:jc w:val="right"/>
              <w:rPr>
                <w:rFonts w:ascii="Times New Roman" w:hAnsi="Times New Roman"/>
                <w:b/>
                <w:color w:val="000000"/>
                <w:sz w:val="20"/>
              </w:rPr>
            </w:pPr>
            <w:r>
              <w:rPr>
                <w:rFonts w:ascii="Times New Roman" w:hAnsi="Times New Roman"/>
                <w:b/>
                <w:color w:val="000000"/>
                <w:sz w:val="20"/>
              </w:rPr>
              <w:t>From:</w:t>
            </w:r>
          </w:p>
        </w:tc>
        <w:tc>
          <w:tcPr>
            <w:tcW w:w="5425" w:type="dxa"/>
            <w:tcBorders>
              <w:bottom w:val="single" w:sz="4" w:space="0" w:color="000000"/>
              <w:right w:val="single" w:sz="4" w:space="0" w:color="000000"/>
            </w:tcBorders>
            <w:tcMar>
              <w:top w:w="0" w:type="dxa"/>
              <w:left w:w="0" w:type="dxa"/>
              <w:right w:w="108" w:type="dxa"/>
            </w:tcMar>
            <w:vAlign w:val="center"/>
          </w:tcPr>
          <w:p>
            <w:pPr>
              <w:pStyle w:val="TableContents"/>
              <w:bidi w:val="0"/>
              <w:ind w:left="0" w:right="0" w:firstLine="144"/>
              <w:jc w:val="left"/>
              <w:rPr>
                <w:rFonts w:ascii="Times New Roman" w:hAnsi="Times New Roman"/>
                <w:sz w:val="20"/>
              </w:rPr>
            </w:pPr>
            <w:bookmarkStart w:id="7" w:name="from"/>
            <w:bookmarkEnd w:id="7"/>
            <w:r>
              <w:rPr>
                <w:rFonts w:ascii="Times New Roman" w:hAnsi="Times New Roman"/>
                <w:color w:val="000000"/>
                <w:sz w:val="20"/>
              </w:rPr>
              <w:t>[DEALER] (“</w:t>
            </w:r>
            <w:r>
              <w:rPr>
                <w:rFonts w:ascii="Times New Roman" w:hAnsi="Times New Roman"/>
                <w:b/>
                <w:color w:val="000000"/>
                <w:sz w:val="20"/>
              </w:rPr>
              <w:t>Party A</w:t>
            </w:r>
            <w:r>
              <w:rPr>
                <w:rFonts w:ascii="Times New Roman" w:hAnsi="Times New Roman"/>
                <w:color w:val="000000"/>
                <w:sz w:val="20"/>
              </w:rPr>
              <w:t>”)</w:t>
            </w:r>
          </w:p>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[DEALER CONTACT INFORMATION]</w:t>
            </w:r>
          </w:p>
        </w:tc>
      </w:tr>
      <w:tr>
        <w:trPr/>
        <w:tc>
          <w:tcPr>
            <w:tcW w:w="80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44"/>
              <w:jc w:val="right"/>
              <w:rPr>
                <w:rFonts w:ascii="Times New Roman" w:hAnsi="Times New Roman"/>
                <w:b/>
                <w:color w:val="000000"/>
                <w:sz w:val="20"/>
              </w:rPr>
            </w:pPr>
            <w:r>
              <w:rPr>
                <w:rFonts w:ascii="Times New Roman" w:hAnsi="Times New Roman"/>
                <w:b/>
                <w:color w:val="000000"/>
                <w:sz w:val="20"/>
              </w:rPr>
              <w:t>Re:</w:t>
            </w:r>
          </w:p>
        </w:tc>
        <w:tc>
          <w:tcPr>
            <w:tcW w:w="54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Master Confirmation for Non-Contingent Forward Transactions</w:t>
            </w:r>
          </w:p>
        </w:tc>
      </w:tr>
      <w:tr>
        <w:trPr/>
        <w:tc>
          <w:tcPr>
            <w:tcW w:w="80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44"/>
              <w:jc w:val="right"/>
              <w:rPr>
                <w:rFonts w:ascii="Times New Roman" w:hAnsi="Times New Roman"/>
                <w:b/>
                <w:color w:val="000000"/>
                <w:sz w:val="20"/>
              </w:rPr>
            </w:pPr>
            <w:r>
              <w:rPr>
                <w:rFonts w:ascii="Times New Roman" w:hAnsi="Times New Roman"/>
                <w:b/>
                <w:color w:val="000000"/>
                <w:sz w:val="20"/>
              </w:rPr>
              <w:t>Date:</w:t>
            </w:r>
          </w:p>
        </w:tc>
        <w:tc>
          <w:tcPr>
            <w:tcW w:w="54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44"/>
              <w:jc w:val="both"/>
              <w:rPr>
                <w:rFonts w:ascii="Times New Roman" w:hAnsi="Times New Roman"/>
                <w:color w:val="000000"/>
                <w:sz w:val="20"/>
              </w:rPr>
            </w:pPr>
            <w:r>
              <w:rPr>
                <w:rFonts w:ascii="Times New Roman" w:hAnsi="Times New Roman"/>
                <w:color w:val="000000"/>
                <w:sz w:val="20"/>
              </w:rPr>
              <w:t>August 4, 2026</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240" w:after="283"/>
        <w:jc w:val="both"/>
        <w:rPr>
          <w:rFonts w:ascii="Times New Roman" w:hAnsi="Times New Roman"/>
          <w:sz w:val="20"/>
        </w:rPr>
      </w:pPr>
      <w:r>
        <w:rPr>
          <w:rFonts w:ascii="Times New Roman" w:hAnsi="Times New Roman"/>
          <w:color w:val="000000"/>
          <w:sz w:val="20"/>
        </w:rPr>
        <w:t>The purpose of this communication (this “</w:t>
      </w:r>
      <w:r>
        <w:rPr>
          <w:rFonts w:ascii="Times New Roman" w:hAnsi="Times New Roman"/>
          <w:b/>
          <w:color w:val="000000"/>
          <w:sz w:val="20"/>
        </w:rPr>
        <w:t>Master Confirmation</w:t>
      </w:r>
      <w:r>
        <w:rPr>
          <w:rFonts w:ascii="Times New Roman" w:hAnsi="Times New Roman"/>
          <w:color w:val="000000"/>
          <w:sz w:val="20"/>
        </w:rPr>
        <w:t>”) is to set forth the terms and conditions of the transactions to be entered into from time to time (each, a “</w:t>
      </w:r>
      <w:r>
        <w:rPr>
          <w:rFonts w:ascii="Times New Roman" w:hAnsi="Times New Roman"/>
          <w:b/>
          <w:color w:val="000000"/>
          <w:sz w:val="20"/>
        </w:rPr>
        <w:t>Transaction</w:t>
      </w:r>
      <w:r>
        <w:rPr>
          <w:rFonts w:ascii="Times New Roman" w:hAnsi="Times New Roman"/>
          <w:color w:val="000000"/>
          <w:sz w:val="20"/>
        </w:rPr>
        <w:t>” and, collectively, the “</w:t>
      </w:r>
      <w:r>
        <w:rPr>
          <w:rFonts w:ascii="Times New Roman" w:hAnsi="Times New Roman"/>
          <w:b/>
          <w:color w:val="000000"/>
          <w:sz w:val="20"/>
        </w:rPr>
        <w:t>Transactions</w:t>
      </w:r>
      <w:r>
        <w:rPr>
          <w:rFonts w:ascii="Times New Roman" w:hAnsi="Times New Roman"/>
          <w:color w:val="000000"/>
          <w:sz w:val="20"/>
        </w:rPr>
        <w:t>”) between [DEALER] (“</w:t>
      </w:r>
      <w:r>
        <w:rPr>
          <w:rFonts w:ascii="Times New Roman" w:hAnsi="Times New Roman"/>
          <w:b/>
          <w:color w:val="000000"/>
          <w:sz w:val="20"/>
        </w:rPr>
        <w:t>Party A</w:t>
      </w:r>
      <w:r>
        <w:rPr>
          <w:rFonts w:ascii="Times New Roman" w:hAnsi="Times New Roman"/>
          <w:color w:val="000000"/>
          <w:sz w:val="20"/>
        </w:rPr>
        <w:t>”)[, represented by [●] as its agent (“</w:t>
      </w:r>
      <w:r>
        <w:rPr>
          <w:rFonts w:ascii="Times New Roman" w:hAnsi="Times New Roman"/>
          <w:b/>
          <w:color w:val="000000"/>
          <w:sz w:val="20"/>
        </w:rPr>
        <w:t>Agent</w:t>
      </w:r>
      <w:r>
        <w:rPr>
          <w:rFonts w:ascii="Times New Roman" w:hAnsi="Times New Roman"/>
          <w:color w:val="000000"/>
          <w:sz w:val="20"/>
        </w:rPr>
        <w:t>”),] and Easterly Government Properties, Inc. (“</w:t>
      </w:r>
      <w:r>
        <w:rPr>
          <w:rFonts w:ascii="Times New Roman" w:hAnsi="Times New Roman"/>
          <w:b/>
          <w:color w:val="000000"/>
          <w:sz w:val="20"/>
        </w:rPr>
        <w:t>Party B</w:t>
      </w:r>
      <w:r>
        <w:rPr>
          <w:rFonts w:ascii="Times New Roman" w:hAnsi="Times New Roman"/>
          <w:color w:val="000000"/>
          <w:sz w:val="20"/>
        </w:rPr>
        <w:t>”) in accordance with the terms of the Amended and Restated Equity Distribution Agreement (the “</w:t>
      </w:r>
      <w:r>
        <w:rPr>
          <w:rFonts w:ascii="Times New Roman" w:hAnsi="Times New Roman"/>
          <w:b/>
          <w:color w:val="000000"/>
          <w:sz w:val="20"/>
        </w:rPr>
        <w:t>Distribution Agreement</w:t>
      </w:r>
      <w:r>
        <w:rPr>
          <w:rFonts w:ascii="Times New Roman" w:hAnsi="Times New Roman"/>
          <w:color w:val="000000"/>
          <w:sz w:val="20"/>
        </w:rPr>
        <w:t>”), dated as of August 4, 2026, among Party A, Party B, Easterly Government Properties LP, a Delaware limited partnership (the “</w:t>
      </w:r>
      <w:r>
        <w:rPr>
          <w:rFonts w:ascii="Times New Roman" w:hAnsi="Times New Roman"/>
          <w:b/>
          <w:color w:val="000000"/>
          <w:sz w:val="20"/>
        </w:rPr>
        <w:t>Operating Partnership</w:t>
      </w:r>
      <w:r>
        <w:rPr>
          <w:rFonts w:ascii="Times New Roman" w:hAnsi="Times New Roman"/>
          <w:color w:val="000000"/>
          <w:sz w:val="20"/>
        </w:rPr>
        <w:t>”) and the other parties thereto. Each Transaction will be evidenced by a supplemental confirmation substantially in the form of Annex A hereto (each, a “</w:t>
      </w:r>
      <w:r>
        <w:rPr>
          <w:rFonts w:ascii="Times New Roman" w:hAnsi="Times New Roman"/>
          <w:b/>
          <w:color w:val="000000"/>
          <w:sz w:val="20"/>
        </w:rPr>
        <w:t>Supplemental Confirmation</w:t>
      </w:r>
      <w:r>
        <w:rPr>
          <w:rFonts w:ascii="Times New Roman" w:hAnsi="Times New Roman"/>
          <w:color w:val="000000"/>
          <w:sz w:val="20"/>
        </w:rPr>
        <w:t>”, and each such Supplemental Confirmation, together with this Master Confirmation, a “</w:t>
      </w:r>
      <w:r>
        <w:rPr>
          <w:rFonts w:ascii="Times New Roman" w:hAnsi="Times New Roman"/>
          <w:b/>
          <w:color w:val="000000"/>
          <w:sz w:val="20"/>
        </w:rPr>
        <w:t>Confirmation</w:t>
      </w:r>
      <w:r>
        <w:rPr>
          <w:rFonts w:ascii="Times New Roman" w:hAnsi="Times New Roman"/>
          <w:color w:val="000000"/>
          <w:sz w:val="20"/>
        </w:rPr>
        <w:t>” for purposes of the Agreement specified below). Each Confirmation will be a confirmation for purposes of Rule 10b-10 promulgated under the Securities Exchange Act of 1934, as amended (the “</w:t>
      </w:r>
      <w:r>
        <w:rPr>
          <w:rFonts w:ascii="Times New Roman" w:hAnsi="Times New Roman"/>
          <w:b/>
          <w:color w:val="000000"/>
          <w:sz w:val="20"/>
        </w:rPr>
        <w:t>Exchange Act</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pPr>
      <w:r>
        <w:rPr>
          <w:rFonts w:ascii="Times New Roman" w:hAnsi="Times New Roman"/>
          <w:color w:val="000000"/>
          <w:sz w:val="20"/>
        </w:rPr>
        <w:t>Each Confirmation is subject to, and incorporates, the 2002 ISDA Equity Derivatives Definitions (the “</w:t>
      </w:r>
      <w:r>
        <w:rPr>
          <w:rFonts w:ascii="Times New Roman" w:hAnsi="Times New Roman"/>
          <w:b/>
          <w:color w:val="000000"/>
          <w:sz w:val="20"/>
        </w:rPr>
        <w:t>Equity Definitions</w:t>
      </w:r>
      <w:r>
        <w:rPr>
          <w:color w:val="000000"/>
        </w:rPr>
        <w:t>”</w:t>
      </w:r>
      <w:r>
        <w:rPr>
          <w:rFonts w:ascii="Times New Roman" w:hAnsi="Times New Roman"/>
          <w:color w:val="000000"/>
          <w:sz w:val="20"/>
        </w:rPr>
        <w:t>), as published by the International Swaps and Derivatives Association, Inc. (“</w:t>
      </w:r>
      <w:r>
        <w:rPr>
          <w:rFonts w:ascii="Times New Roman" w:hAnsi="Times New Roman"/>
          <w:b/>
          <w:color w:val="000000"/>
          <w:sz w:val="20"/>
        </w:rPr>
        <w:t>ISDA</w:t>
      </w:r>
      <w:r>
        <w:rPr>
          <w:color w:val="000000"/>
        </w:rPr>
        <w:t>”</w:t>
      </w:r>
      <w:r>
        <w:rPr>
          <w:rFonts w:ascii="Times New Roman" w:hAnsi="Times New Roman"/>
          <w:color w:val="000000"/>
          <w:sz w:val="20"/>
        </w:rPr>
        <w:t>). For purposes of the Equity Definitions, each Transaction to which this Master Confirmation relates will be deemed to be a Share Forward Transaction.</w:t>
      </w:r>
    </w:p>
    <w:p>
      <w:pPr>
        <w:pStyle w:val="TextBody"/>
        <w:bidi w:val="0"/>
        <w:spacing w:before="240" w:after="283"/>
        <w:jc w:val="both"/>
        <w:rPr>
          <w:rFonts w:ascii="Times New Roman" w:hAnsi="Times New Roman"/>
          <w:sz w:val="20"/>
        </w:rPr>
      </w:pPr>
      <w:r>
        <w:rPr>
          <w:rFonts w:ascii="Times New Roman" w:hAnsi="Times New Roman"/>
          <w:color w:val="000000"/>
          <w:sz w:val="20"/>
        </w:rPr>
        <w:t>Each Confirmation shall supplement, form a part of and be subject to an agreement (the “</w:t>
      </w:r>
      <w:r>
        <w:rPr>
          <w:rFonts w:ascii="Times New Roman" w:hAnsi="Times New Roman"/>
          <w:b/>
          <w:color w:val="000000"/>
          <w:sz w:val="20"/>
        </w:rPr>
        <w:t>Agreement</w:t>
      </w:r>
      <w:r>
        <w:rPr>
          <w:rFonts w:ascii="Times New Roman" w:hAnsi="Times New Roman"/>
          <w:color w:val="000000"/>
          <w:sz w:val="20"/>
        </w:rPr>
        <w:t>”) in the form of the 1992 ISDA Master Agreement (Multicurrency—Cross Border) (the “</w:t>
      </w:r>
      <w:r>
        <w:rPr>
          <w:rFonts w:ascii="Times New Roman" w:hAnsi="Times New Roman"/>
          <w:b/>
          <w:color w:val="000000"/>
          <w:sz w:val="20"/>
        </w:rPr>
        <w:t>ISDA Form</w:t>
      </w:r>
      <w:r>
        <w:rPr>
          <w:rFonts w:ascii="Times New Roman" w:hAnsi="Times New Roman"/>
          <w:color w:val="000000"/>
          <w:sz w:val="20"/>
        </w:rPr>
        <w:t>”), as published by ISDA, as if Party A and Party B had executed the ISDA Form on the date hereof (but without any Schedule except for (i) the election of Loss and Second Method, New York law (without regard to New York’s choice of laws doctrine other than Title 14 of Article 5 of the New York General Obligations Law) as the governing law and US Dollars (“</w:t>
      </w:r>
      <w:r>
        <w:rPr>
          <w:rFonts w:ascii="Times New Roman" w:hAnsi="Times New Roman"/>
          <w:b/>
          <w:color w:val="000000"/>
          <w:sz w:val="20"/>
        </w:rPr>
        <w:t>USD</w:t>
      </w:r>
      <w:r>
        <w:rPr>
          <w:rFonts w:ascii="Times New Roman" w:hAnsi="Times New Roman"/>
          <w:color w:val="000000"/>
          <w:sz w:val="20"/>
        </w:rPr>
        <w:t xml:space="preserve">”) as the Termination Currency, and (ii) the replacement of the word “third” in the last line of Section 5(a)(i) with the word “second”. All provisions contained in the Agreement are incorporated into and shall govern each Confirmation except as expressly modified below. Each Confirmation will evidence a complete and binding agreement between Party A and Party B as to the terms of the relevant Transaction and will replace any previous agreement between the parties with respect to the subject matter thereof.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Transactions under this Master Confirmation shall be the only Transactions under the Agreement. If there exists any ISDA Master Agreement between Party A or any of its Affiliates and Party B or any confirmation or other agreement between Party A or any of its Affiliates and Party B pursuant to which an ISDA Master Agreement is deemed to exist between Party A or any of its Affiliates and Party B, then notwithstanding anything to the contrary in such ISDA Master Agreement, such confirmation or agreement or any other agreement to which Party A or any of its Affiliates and Party B are parties, none of the Transactions to which this Master Confirmation relates shall be considered a “Transaction” under, or otherwise governed by, such existing or deemed ISDA Master Agreement. In the event of any inconsistency among the Agreement, this Master Confirmation, any Supplemental Confirmation and the Equity Definitions, the following will prevail in the order of precedence indicated: (i) such Supplemental Confirmation; (ii) this Master Confirmation; (iii) the Equity Definitions; and (iv) the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the particular Transactions to which this Master Confirmation relates are as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u w:val="single"/>
        </w:rPr>
        <w:t>General Terms</w:t>
      </w:r>
      <w:r>
        <w:rPr>
          <w:rFonts w:ascii="Times New Roman" w:hAnsi="Times New Roman"/>
          <w:b/>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Trade Date: For each Transaction, as specified in the Supplemental Confirmation for such Transaction, to be the last Trading Day (as defined in the Distribution Agreement) of the Forward Hedge Selling Period (as defined in the Distribution Agreement) for such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Effective Date: For each Transaction, as specified in the Supplemental Confirmation for such Transaction, to be the date that is one Settlement Cycle following the Trade Date for such Transaction, or such later date on which the conditions set forth in Section 3 of this Master Confirmation shall have been satisfied or waived by Party 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Buyer: Party 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Seller: Party 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Maturity Date: For each Transaction, as specified in the Supplemental Confirmation for such Transaction, to be the date set forth in the effective Placement Notice as amended by any corresponding Acceptance (each such term as defined in the Distribution Agreement) for such Transaction (or, if such date is not a Scheduled Trading Day, the next following Scheduled Trading Day).</w:t>
      </w:r>
    </w:p>
    <w:p>
      <w:pPr>
        <w:pStyle w:val="TextBody"/>
        <w:bidi w:val="0"/>
        <w:spacing w:before="240" w:after="283"/>
        <w:jc w:val="both"/>
        <w:rPr>
          <w:rFonts w:ascii="Times New Roman" w:hAnsi="Times New Roman"/>
          <w:sz w:val="20"/>
        </w:rPr>
      </w:pPr>
      <w:r>
        <w:rPr>
          <w:rFonts w:ascii="Times New Roman" w:hAnsi="Times New Roman"/>
          <w:color w:val="000000"/>
          <w:sz w:val="20"/>
        </w:rPr>
        <w:t>Shares: The common stock (“</w:t>
      </w:r>
      <w:r>
        <w:rPr>
          <w:rFonts w:ascii="Times New Roman" w:hAnsi="Times New Roman"/>
          <w:b/>
          <w:color w:val="000000"/>
          <w:sz w:val="20"/>
        </w:rPr>
        <w:t>Shares</w:t>
      </w:r>
      <w:r>
        <w:rPr>
          <w:rFonts w:ascii="Times New Roman" w:hAnsi="Times New Roman"/>
          <w:color w:val="000000"/>
          <w:sz w:val="20"/>
        </w:rPr>
        <w:t>”), par value $0.01 per Share, of Party B (Ticker: “DEA”)</w:t>
      </w:r>
    </w:p>
    <w:p>
      <w:pPr>
        <w:pStyle w:val="TextBody"/>
        <w:bidi w:val="0"/>
        <w:spacing w:before="240" w:after="283"/>
        <w:jc w:val="both"/>
        <w:rPr>
          <w:rFonts w:ascii="Times New Roman" w:hAnsi="Times New Roman"/>
          <w:sz w:val="20"/>
        </w:rPr>
      </w:pPr>
      <w:r>
        <w:rPr>
          <w:rFonts w:ascii="Times New Roman" w:hAnsi="Times New Roman"/>
          <w:color w:val="000000"/>
          <w:sz w:val="20"/>
        </w:rPr>
        <w:t>Number of Shares: For each Transaction, initially, as specified in the Supplemental Confirmation for such Transaction, to be the number of Shares equal to the Actual Sold Forward Amount (as defined in the Distribution Agreement) for the Forward Hedge Selling Period (as defined in the Distribution Agreement) for such Transaction; provided that the Number of Shares is subject to reduction as provided in Section 3 below (the “</w:t>
      </w:r>
      <w:r>
        <w:rPr>
          <w:rFonts w:ascii="Times New Roman" w:hAnsi="Times New Roman"/>
          <w:b/>
          <w:color w:val="000000"/>
          <w:sz w:val="20"/>
        </w:rPr>
        <w:t>Initial Number of Shares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each Settlement Date, the Number of Shares shall be reduced by the number of Settlement Shares settled on such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Settlement Currency: USD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Exchange: The New York Stock Exchange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Related Exchange: All Exchanges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Prepayment: Not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Variable Obligation: Not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Initial Forward Price: For each Transaction, as specified in the Supplemental Confirmation for such Transaction, to be the product of (i) an amount equal to 1 minus the agreed Forward Hedge Selling Commission Rate (as defined in the Distribution Agreement) applicable to such Transaction; and (ii) the Volume-Weighted Hedge Price for such Transaction (such product adjusted as the Calculation Agent determines appropriate to (x) reflect on each day during such period and through the Effective Date the sum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1 and the Daily Rate for such day multiplied by the then-Initial Forward Price as of such day and (y) reduce the then-Initial Forward Price by the relevant Forward Price Reduction Amount on each Forward Price Reduction Date, if any, occurring on or before the Trade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Forward Price: For each Transaction, on the Effective Date of such Transaction, the Initial Forward Price, and on any day thereafter, the product of the Forward Price on the immediately preceding calendar day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 + the Daily Rate * (1/365); </w:t>
      </w:r>
    </w:p>
    <w:p>
      <w:pPr>
        <w:pStyle w:val="TextBody"/>
        <w:bidi w:val="0"/>
        <w:spacing w:before="240" w:after="283"/>
        <w:jc w:val="both"/>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xml:space="preserve"> that the Forward Price on each Forward Price Reduction Date shall be the Forward Price otherwise in effect on such date </w:t>
      </w:r>
      <w:r>
        <w:rPr>
          <w:rFonts w:ascii="Times New Roman" w:hAnsi="Times New Roman"/>
          <w:i/>
          <w:color w:val="000000"/>
          <w:sz w:val="20"/>
        </w:rPr>
        <w:t>minus</w:t>
      </w:r>
      <w:r>
        <w:rPr>
          <w:rFonts w:ascii="Times New Roman" w:hAnsi="Times New Roman"/>
          <w:color w:val="000000"/>
          <w:sz w:val="20"/>
        </w:rPr>
        <w:t xml:space="preserve"> the Forward Price Reduction Amount for such Forward Price Reduction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Volume-Weighted Hedge Price: For each Transaction, as specified in the Supplemental Confirmation for such Transaction, to be the volume-weighted average of the Sales Prices (as defined in the Distribution Agreement) per share of Forward Hedge Shares (as defined in the Distribution Agreement) sold on each Trading Day of the Forward Hedge Selling Period (as defined in the Distribution Agreement) for such Transaction.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Daily Rate: For any day, the Variable Rate </w:t>
      </w:r>
      <w:r>
        <w:rPr>
          <w:rFonts w:ascii="Times New Roman" w:hAnsi="Times New Roman"/>
          <w:i/>
          <w:color w:val="000000"/>
          <w:sz w:val="20"/>
        </w:rPr>
        <w:t>minus</w:t>
      </w:r>
      <w:r>
        <w:rPr>
          <w:rFonts w:ascii="Times New Roman" w:hAnsi="Times New Roman"/>
          <w:color w:val="000000"/>
          <w:sz w:val="20"/>
        </w:rPr>
        <w:t xml:space="preserve"> the Spread.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Spread: For each Transaction, as specified in the Supplemental Confirmation for such Transaction.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Variable Rate: For any day, the rate set forth opposite the caption “Overnight Bank Funding Rate” for such day on the page “OBFR01 &lt;Index&gt; &lt;GO&gt;” on the BLOOMBERG Professional Service, or any successor page; </w:t>
      </w:r>
      <w:r>
        <w:rPr>
          <w:rFonts w:ascii="Times New Roman" w:hAnsi="Times New Roman"/>
          <w:i/>
          <w:color w:val="000000"/>
          <w:sz w:val="20"/>
        </w:rPr>
        <w:t>provided</w:t>
      </w:r>
      <w:r>
        <w:rPr>
          <w:rFonts w:ascii="Times New Roman" w:hAnsi="Times New Roman"/>
          <w:color w:val="000000"/>
          <w:sz w:val="20"/>
        </w:rPr>
        <w:t xml:space="preserve"> that if no such rate appears for such day on such page, the Variable Rate for such day shall be such rate for the immediately preceding day for which such a rate appears.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 Price Reduction Dates: For each Transaction, as specified in Schedule I to the Supplemental Confirmation for such Transaction, to be each date set forth under the heading “Forward Price Reduction Dates” in the effective Placement Notice for such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 Price Reduction Amount: For each Forward Price Reduction Date of a Transaction, as specified in Schedule I to the Supplemental Confirmation for such Transaction, to be the Forward Price Reduction Amount set forth opposite such date in the effective Placement Notice for such Transaction.</w:t>
      </w:r>
    </w:p>
    <w:p>
      <w:pPr>
        <w:pStyle w:val="TextBody"/>
        <w:bidi w:val="0"/>
        <w:spacing w:before="240" w:after="283"/>
        <w:jc w:val="left"/>
        <w:rPr>
          <w:rFonts w:ascii="Times New Roman" w:hAnsi="Times New Roman"/>
          <w:sz w:val="20"/>
        </w:rPr>
      </w:pPr>
      <w:r>
        <w:rPr>
          <w:rFonts w:ascii="Times New Roman" w:hAnsi="Times New Roman"/>
          <w:b/>
          <w:color w:val="000000"/>
          <w:sz w:val="20"/>
          <w:u w:val="single"/>
        </w:rPr>
        <w:t>Valuation</w:t>
      </w:r>
      <w:r>
        <w:rPr>
          <w:rFonts w:ascii="Times New Roman" w:hAnsi="Times New Roman"/>
          <w:b/>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Valuation Date: For any Settlement (as defined below) with respect to any Transaction, if Physical Settlement is applicable, as designated in the relevant Settlement Notice (as defined below); or if Cash Settlement or Net Share Settlement is applicable, the last Unwind Date for such Settlement. Section 6.6 of the Equity Definitions shall not apply to any Valuation Date. For the avoidance of doubt, the last Unwind Date shall be determined by Party A based on the completion of the unwinding of its commercially reasonable hedge position. Party A shall notify Party B in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writing that such last Unwind Date has so occurred before the next following Scheduled Trading Day.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Unwind Dates: For any Cash Settlement or Net Share Settlement with respect to any Settlement of any Transaction, each day on which Party A (or its agent or affiliate) purchases Shares in the market in connection with unwinding its commercially reasonable hedge position in connection with such Settlement, starting on the First Unwind Date for such Settlement.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First Unwind Date: For any Cash Settlement or Net Share Settlement with respect to any Settlement of any Transaction, as designated in the relevant Settlement Notice.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Unwind Period: For any Cash Settlement or Net Share Settlement with respect to any Settlement of any Transaction, the period starting on the First Unwind Date for such Settlement and ending on the Valuation Date for such Settlement.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Settlement Valuation Disruption: If Cash Settlement is applicable with respect to any Settlement of any Transaction and any Unwind Date during an Unwind Period is a Disrupted Day, then the 10b-18 VWAP for such Disrupted Day shall not be included in the calculation of the Settlement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 Disruption Event: The definition of “Market Disruption Event” in Section 6.3(a) of the Equity Definitions is hereby amended by deleting the words “at any time during the one-hour period that ends at the relevant Valuation Time, Latest Exercise Time, Knock-in Valuation Time or Knock-out Valuation Time, as the case may be” and inserting the words “at any time on any Exchange Business Day during the Valuation Period” after the word “material,” in the third line thereof.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Section 6.3(d) of the Equity Definitions is hereby amended by deleting the remainder of the provision following the term “Scheduled Closing Time” in the fourth line thereof.</w:t>
      </w:r>
    </w:p>
    <w:p>
      <w:pPr>
        <w:pStyle w:val="TextBody"/>
        <w:bidi w:val="0"/>
        <w:spacing w:before="240" w:after="283"/>
        <w:jc w:val="left"/>
        <w:rPr>
          <w:rFonts w:ascii="Times New Roman" w:hAnsi="Times New Roman"/>
          <w:sz w:val="20"/>
        </w:rPr>
      </w:pPr>
      <w:r>
        <w:rPr>
          <w:rFonts w:ascii="Times New Roman" w:hAnsi="Times New Roman"/>
          <w:b/>
          <w:color w:val="000000"/>
          <w:sz w:val="20"/>
          <w:u w:val="single"/>
        </w:rPr>
        <w:t>Settlement Terms</w:t>
      </w:r>
      <w:r>
        <w:rPr>
          <w:rFonts w:ascii="Times New Roman" w:hAnsi="Times New Roman"/>
          <w:b/>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Settlement: With respect to any Transaction, any Physical Settlement, Cash Settlement or Net Share Settlement of all or any portion of such Transaction.</w:t>
      </w:r>
    </w:p>
    <w:p>
      <w:pPr>
        <w:pStyle w:val="TextBody"/>
        <w:bidi w:val="0"/>
        <w:spacing w:before="240" w:after="283"/>
        <w:jc w:val="both"/>
        <w:rPr>
          <w:rFonts w:ascii="Times New Roman" w:hAnsi="Times New Roman"/>
          <w:sz w:val="20"/>
        </w:rPr>
      </w:pPr>
      <w:r>
        <w:rPr>
          <w:rFonts w:ascii="Times New Roman" w:hAnsi="Times New Roman"/>
          <w:color w:val="000000"/>
          <w:sz w:val="20"/>
        </w:rPr>
        <w:t>Settlement Notice: For any Transaction, subject to “Early Valuation” below, Party B may elect to effect a Settlement of all or any portion of such Transaction by designating one or more Scheduled Trading Days following the Effective Date and on or prior to the Maturity Date for such Transaction to be Valuation Dates (or, with respect to Cash Settlements or Net Share Settlements, First Unwind Dates, each of which First Unwind Dates shall occur no later than the 30</w:t>
      </w:r>
      <w:r>
        <w:rPr>
          <w:rFonts w:ascii="Times New Roman" w:hAnsi="Times New Roman"/>
          <w:color w:val="000000"/>
          <w:sz w:val="13"/>
        </w:rPr>
        <w:t>th</w:t>
      </w:r>
      <w:r>
        <w:rPr>
          <w:rFonts w:ascii="Times New Roman" w:hAnsi="Times New Roman"/>
          <w:color w:val="000000"/>
          <w:sz w:val="20"/>
        </w:rPr>
        <w:t xml:space="preserve"> Scheduled Trading Day immediately preceding the Maturity Date for such Transaction) in a written notice to Party A (a “</w:t>
      </w:r>
      <w:r>
        <w:rPr>
          <w:rFonts w:ascii="Times New Roman" w:hAnsi="Times New Roman"/>
          <w:b/>
          <w:color w:val="000000"/>
          <w:sz w:val="20"/>
        </w:rPr>
        <w:t>Settlement Notice</w:t>
      </w:r>
      <w:r>
        <w:rPr>
          <w:rFonts w:ascii="Times New Roman" w:hAnsi="Times New Roman"/>
          <w:color w:val="000000"/>
          <w:sz w:val="20"/>
        </w:rPr>
        <w:t>”) delivered no later than the applicable Settlement Method Election Date for such Transaction, which notice shall also specify (i) the number of Shares (the “</w:t>
      </w:r>
      <w:r>
        <w:rPr>
          <w:rFonts w:ascii="Times New Roman" w:hAnsi="Times New Roman"/>
          <w:b/>
          <w:color w:val="000000"/>
          <w:sz w:val="20"/>
        </w:rPr>
        <w:t>Settlement Shares</w:t>
      </w:r>
      <w:r>
        <w:rPr>
          <w:rFonts w:ascii="Times New Roman" w:hAnsi="Times New Roman"/>
          <w:color w:val="000000"/>
          <w:sz w:val="20"/>
        </w:rPr>
        <w:t xml:space="preserve">”) for such Settlement (not to exceed the number of Undesignated Shares as of the date of such Settlement Notice) and (ii) the Settlement Method applicable to such Settlement; </w:t>
      </w:r>
      <w:r>
        <w:rPr>
          <w:rFonts w:ascii="Times New Roman" w:hAnsi="Times New Roman"/>
          <w:i/>
          <w:color w:val="000000"/>
          <w:sz w:val="20"/>
        </w:rPr>
        <w:t>provided</w:t>
      </w:r>
      <w:r>
        <w:rPr>
          <w:rFonts w:ascii="Times New Roman" w:hAnsi="Times New Roman"/>
          <w:color w:val="000000"/>
          <w:sz w:val="20"/>
        </w:rPr>
        <w:t xml:space="preserve"> that (A) Party B may not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designate a First Unwind Date for a Cash Settlement or a Net Share Settlement of any Transaction if, as of the date of such Settlement Notice, any Shares have been designated as Settlement Shares for a Cash Settlement or a Net Share Settlement of such Transaction for which the related Relevant Settlement Date has not occurred; and (B) if the number of Undesignated Shares as of the Maturity Date for such Transaction is not zero, then the Maturity Date for such Transaction shall be a Valuation Date for a Physical Settlement of such Transaction and the number of Settlement Shares for such Settlement shall be the number of Undesignated Shares for such Transaction as of the Maturity Date for such Transaction (</w:t>
      </w:r>
      <w:r>
        <w:rPr>
          <w:rFonts w:ascii="Times New Roman" w:hAnsi="Times New Roman"/>
          <w:i/>
          <w:color w:val="000000"/>
          <w:sz w:val="20"/>
        </w:rPr>
        <w:t>provided</w:t>
      </w:r>
      <w:r>
        <w:rPr>
          <w:rFonts w:ascii="Times New Roman" w:hAnsi="Times New Roman"/>
          <w:color w:val="000000"/>
          <w:sz w:val="20"/>
        </w:rPr>
        <w:t xml:space="preserve"> that if such Maturity Date occurs during the period from the time any Settlement Notice is given for a Cash Settlement or Net Share Settlement of such Transaction until the related Relevant Settlement Date, inclusive, then the provisions set forth below opposite “Early Valuation” shall apply to such Transaction as if the Maturity Date for such Transaction were the Early Valuation Date for such Transaction).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Undesignated Shares: For any Transaction, as of any date, the Number of Shares for such Transaction </w:t>
      </w:r>
      <w:r>
        <w:rPr>
          <w:rFonts w:ascii="Times New Roman" w:hAnsi="Times New Roman"/>
          <w:i/>
          <w:color w:val="000000"/>
          <w:sz w:val="20"/>
        </w:rPr>
        <w:t>minus</w:t>
      </w:r>
      <w:r>
        <w:rPr>
          <w:rFonts w:ascii="Times New Roman" w:hAnsi="Times New Roman"/>
          <w:color w:val="000000"/>
          <w:sz w:val="20"/>
        </w:rPr>
        <w:t xml:space="preserve"> the number of Shares designated as Settlement Shares for Settlements of such Transaction for which the related Relevant Settlement Date has not occurred.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Settlement Method Election: For any Transaction, applicable; </w:t>
      </w:r>
      <w:r>
        <w:rPr>
          <w:rFonts w:ascii="Times New Roman" w:hAnsi="Times New Roman"/>
          <w:i/>
          <w:color w:val="000000"/>
          <w:sz w:val="20"/>
        </w:rPr>
        <w:t>provided</w:t>
      </w:r>
      <w:r>
        <w:rPr>
          <w:rFonts w:ascii="Times New Roman" w:hAnsi="Times New Roman"/>
          <w:color w:val="000000"/>
          <w:sz w:val="20"/>
        </w:rPr>
        <w:t xml:space="preserve">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Net Share Settlement shall be deemed to be included as an additional settlement method under Section 7.1 of the Equity Definitions;</w:t>
      </w:r>
    </w:p>
    <w:p>
      <w:pPr>
        <w:pStyle w:val="TextBody"/>
        <w:bidi w:val="0"/>
        <w:spacing w:before="240" w:after="283"/>
        <w:jc w:val="both"/>
        <w:rPr>
          <w:rFonts w:ascii="Times New Roman" w:hAnsi="Times New Roman"/>
          <w:sz w:val="20"/>
        </w:rPr>
      </w:pPr>
      <w:r>
        <w:rPr>
          <w:rFonts w:ascii="Times New Roman" w:hAnsi="Times New Roman"/>
          <w:color w:val="000000"/>
          <w:sz w:val="20"/>
        </w:rPr>
        <w:t>(ii) Party B may elect Cash Settlement or Net Share Settlement for any Settlement of any Transaction only if Party B represents and warrants to Party A in the Settlement Notice containing such election that, as of the date of such Settlement Notice, (A) Party B is not aware of any material nonpublic information concerning itself or the Shares, (B) Party B is electing the settlement method and designating the First Unwind Date specified in such Settlement Notice in good faith and not as part of a plan or scheme to evade compliance with Rule 10b-5 under the Exchange Act (“</w:t>
      </w:r>
      <w:r>
        <w:rPr>
          <w:rFonts w:ascii="Times New Roman" w:hAnsi="Times New Roman"/>
          <w:b/>
          <w:color w:val="000000"/>
          <w:sz w:val="20"/>
        </w:rPr>
        <w:t>Rule 10b-5</w:t>
      </w:r>
      <w:r>
        <w:rPr>
          <w:rFonts w:ascii="Times New Roman" w:hAnsi="Times New Roman"/>
          <w:color w:val="000000"/>
          <w:sz w:val="20"/>
        </w:rPr>
        <w:t>”) or any other provision of the federal securities laws, (C) Party B is not “insolvent” (as such term is defined under Section 101(32) of the U.S. Bankruptcy Code (Title 11 of the United States Code) (the “</w:t>
      </w:r>
      <w:r>
        <w:rPr>
          <w:rFonts w:ascii="Times New Roman" w:hAnsi="Times New Roman"/>
          <w:b/>
          <w:color w:val="000000"/>
          <w:sz w:val="20"/>
        </w:rPr>
        <w:t>Bankruptcy Code</w:t>
      </w:r>
      <w:r>
        <w:rPr>
          <w:rFonts w:ascii="Times New Roman" w:hAnsi="Times New Roman"/>
          <w:color w:val="000000"/>
          <w:sz w:val="20"/>
        </w:rPr>
        <w:t>”)), (D) Party B would be able to purchase a number of Shares equal to the greater of (x) the number of Settlement Shares designated in such Settlement Notice and (y) a number of Shares with a value as of the date of such Settlement Notice equal to the product of (I) such number of Settlement Shares and (II) the applicable Relevant Forward Price for such Cash Settlement or Net Share Settlement in compliance with the laws of Party B's jurisdiction of organization and (E) such election, and settlement in accordance therewith, does not and will not violate or conflict with any law or regulation applicable to Party B, or any order or judgment of any court or other agency of government applicable to it or any of its assets, and any governmental consents that are required to have been obtained by Party B with respect to such election or settlement have been obtained and are in full force and effect and all conditions of any such consents have been complied with; and</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(iii) Notwithstanding any election to the contrary in any Settlement Notice, Physical Settlement shall be applicable for any Settlement of any Transaction:</w:t>
      </w:r>
    </w:p>
    <w:p>
      <w:pPr>
        <w:pStyle w:val="TextBody"/>
        <w:bidi w:val="0"/>
        <w:spacing w:before="240" w:after="283"/>
        <w:jc w:val="both"/>
        <w:rPr>
          <w:rFonts w:ascii="Times New Roman" w:hAnsi="Times New Roman"/>
          <w:sz w:val="20"/>
        </w:rPr>
      </w:pPr>
      <w:r>
        <w:rPr>
          <w:rFonts w:ascii="Times New Roman" w:hAnsi="Times New Roman"/>
          <w:color w:val="000000"/>
          <w:sz w:val="20"/>
        </w:rPr>
        <w:t>(A) to all of the Settlement Shares designated in such Settlement Notice if, at any time from the date such Settlement Notice is received by Party A until the related First Unwind Date, inclusive, (I) the trading price per Share on the Exchange (as determined by Party A in a commercially reasonable manner) is below the Threshold Price or (II) Party A determines, in its good faith and commercially reasonable judgment, that it would, after using commercially reasonable efforts, be unable to purchase a number of Shares in the market sufficient to unwind a commercially reasonable hedge position in respect of the portion of such Transaction represented by such Settlement Shares and satisfy its delivery obligation hereunder, if any, by the Maturity Date (x) in a manner that (A) would, if Party A were Party B or an affiliated purchaser of Party B, be subject to the safe harbor provided by Rule 10b-18(b) under the Exchange Act and (B) based on advice of counsel, would not raise material risks under applicable securities laws or (y) due to the lack of sufficient liquidity in the Shares (each, a “</w:t>
      </w:r>
      <w:r>
        <w:rPr>
          <w:rFonts w:ascii="Times New Roman" w:hAnsi="Times New Roman"/>
          <w:b/>
          <w:color w:val="000000"/>
          <w:sz w:val="20"/>
        </w:rPr>
        <w:t>Trading Condition</w:t>
      </w:r>
      <w:r>
        <w:rPr>
          <w:rFonts w:ascii="Times New Roman" w:hAnsi="Times New Roman"/>
          <w:color w:val="000000"/>
          <w:sz w:val="20"/>
        </w:rPr>
        <w:t>”); or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 to all or a portion of the Settlement Shares designated in such Settlement Notice if, on any day during the relevant Unwind Period, (I) the trading price per Share on the Exchange (as determined by Party A in a commercially reasonable manner) is below the Threshold Price or (II) Party A determines, in its good faith and commercially reasonable judgment or based on advice of counsel, as applicable, that a Trading Condition has occurred with respect to such Transaction, in which case the provisions set forth below in the fifth paragraph opposite “Early Valuation” shall apply as if such day were the Early Valuation Date and (x) for purposes of clause (i) of such paragraph, such day shall be the last Unwind Date of such Unwind Period and the “Unwound Shares” shall be calculated to, and including, such day and (y) for purposes of clause (ii) of such paragraph, the “Remaining Shares” shall be equal to the number of Settlement Shares designated in such Settlement Notice </w:t>
      </w:r>
      <w:r>
        <w:rPr>
          <w:rFonts w:ascii="Times New Roman" w:hAnsi="Times New Roman"/>
          <w:i/>
          <w:color w:val="000000"/>
          <w:sz w:val="20"/>
        </w:rPr>
        <w:t>minus</w:t>
      </w:r>
      <w:r>
        <w:rPr>
          <w:rFonts w:ascii="Times New Roman" w:hAnsi="Times New Roman"/>
          <w:color w:val="000000"/>
          <w:sz w:val="20"/>
        </w:rPr>
        <w:t xml:space="preserve"> the Unwound Shares determined in accordance with clause (x) of this sentence.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Threshold Price: For each Transaction, as specified in the Supplemental Confirmation for such Transaction, to be 25% of the Initial Forward Price for such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Electing Party: Party 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Settlement Method Election Date: With respect to any Settlement of any Transaction, the 5th Scheduled Trading Day immediately preceding (x) the Valuation Date for such Transaction, in the case of Physical Settlement, or (y) the First Unwind Date for such Transaction, in the case of Cash Settlement or Net Share Settlement.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Default Settlement Method: Physical Settlement</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Physical Settlement: Notwithstanding Section 9.2(a)(i) of the Equity Definitions, on the Settlement Date for any Physical Settlement of any Transaction, Party A shall pay to Party B an amount equal to the Forward Price for such Transaction on the relevant Valuation Date </w:t>
      </w:r>
      <w:r>
        <w:rPr>
          <w:rFonts w:ascii="Times New Roman" w:hAnsi="Times New Roman"/>
          <w:i/>
          <w:color w:val="000000"/>
          <w:sz w:val="20"/>
        </w:rPr>
        <w:t>multiplied by</w:t>
      </w:r>
      <w:r>
        <w:rPr>
          <w:rFonts w:ascii="Times New Roman" w:hAnsi="Times New Roman"/>
          <w:color w:val="000000"/>
          <w:sz w:val="20"/>
        </w:rPr>
        <w:t xml:space="preserve"> the number of Settlement Shares for such Settlement, and Party B shall deliver to Party A such Settlement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Settlement Date: For any Settlement of any Transaction to which Physical Settlement is applicable, the Valuation Date for such Settlement.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Share Settlement: On the Net Share Settlement Date for any Settlement of any Transaction to which Net Share Settlement is applicable, if the Net Share Settlement Amount for such Settlement is greater than zero, Party B shall deliver a number of Shares equal to such Net Share Settlement Amount (rounded down to the nearest integer) to Party A, and if such Net Share Settlement Amount is less than zero, Party A shall deliver a number of Shares equal to the absolute value of such Net Share Settlement Amount (rounded down to the nearest integer) to Party B, in either case, in accordance with Section 9.4 of the Equity Definitions, with such Net Share Settlement Date deemed to be a “Settlement Date” for purposes of such Section 9.4, and, in either case, plus cash in lieu of any fractional Shares included in such Net Share Settlement Amount but not delivered due to rounding required hereby, valued at the Settlement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Share Settlement Date: For any Settlement of any Transaction to which Net Share Settlement is applicable, the date that follows the Valuation Date for such Settlement by one Settlement Cycle.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Net Share Settlement Amount: For any Settlement of any Transaction to which Net Share Settlement is applicable, an amount equal to the Forward Cash Settlement Amount for such Settlement </w:t>
      </w:r>
      <w:r>
        <w:rPr>
          <w:rFonts w:ascii="Times New Roman" w:hAnsi="Times New Roman"/>
          <w:i/>
          <w:color w:val="000000"/>
          <w:sz w:val="20"/>
        </w:rPr>
        <w:t xml:space="preserve">divided by </w:t>
      </w:r>
      <w:r>
        <w:rPr>
          <w:rFonts w:ascii="Times New Roman" w:hAnsi="Times New Roman"/>
          <w:color w:val="000000"/>
          <w:sz w:val="20"/>
        </w:rPr>
        <w:t>the Settlement Price.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Forward Cash Settlement Amount: Notwithstanding Section 8.5(c) of the Equity Definitions, the Forward Cash Settlement Amount for any Cash Settlement or Net Share Settlement of any Transaction shall be equal to (i) the number of Settlement Shares for such Settlement </w:t>
      </w:r>
      <w:r>
        <w:rPr>
          <w:rFonts w:ascii="Times New Roman" w:hAnsi="Times New Roman"/>
          <w:i/>
          <w:color w:val="000000"/>
          <w:sz w:val="20"/>
        </w:rPr>
        <w:t>multiplied by</w:t>
      </w:r>
      <w:r>
        <w:rPr>
          <w:rFonts w:ascii="Times New Roman" w:hAnsi="Times New Roman"/>
          <w:color w:val="000000"/>
          <w:sz w:val="20"/>
        </w:rPr>
        <w:t xml:space="preserve"> (ii) an amount equal to (A) the Settlement Price for such Settlement </w:t>
      </w:r>
      <w:r>
        <w:rPr>
          <w:rFonts w:ascii="Times New Roman" w:hAnsi="Times New Roman"/>
          <w:i/>
          <w:color w:val="000000"/>
          <w:sz w:val="20"/>
        </w:rPr>
        <w:t xml:space="preserve">minus </w:t>
      </w:r>
      <w:r>
        <w:rPr>
          <w:rFonts w:ascii="Times New Roman" w:hAnsi="Times New Roman"/>
          <w:color w:val="000000"/>
          <w:sz w:val="20"/>
        </w:rPr>
        <w:t>(B) the Relevant Forward Price for such Settlement.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Relevant Forward Price: For any Cash Settlement of any Transaction, the arithmetic average of the Forward Prices for such Transaction on each Unwind Date relating to such Settlement.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any Net Share Settlement of any Transaction, the weighted average of the Forward Prices for such Transactions on each Unwind Date relating to such Settlement (weighted based on the number of Shares purchased by Party A or its agent or affiliate on each such Unwind Date in connection with unwinding Party A’s commercially reasonable hedge position in connection with such Settlement, as determined by the Calculation Agent).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Settlement Price: For any Cash Settlement of any Transaction, the arithmetic average of the 10b-18 VWAP on each Unwind Date relating to such Settlement, </w:t>
      </w:r>
      <w:r>
        <w:rPr>
          <w:rFonts w:ascii="Times New Roman" w:hAnsi="Times New Roman"/>
          <w:i/>
          <w:color w:val="000000"/>
          <w:sz w:val="20"/>
        </w:rPr>
        <w:t>plus</w:t>
      </w:r>
      <w:r>
        <w:rPr>
          <w:rFonts w:ascii="Times New Roman" w:hAnsi="Times New Roman"/>
          <w:color w:val="000000"/>
          <w:sz w:val="20"/>
        </w:rPr>
        <w:t xml:space="preserve"> commercially reasonable commissions not to exceed USD 0.01 per Share.</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any Net Share Settlement of any Transaction, the weighted average price of the purchases of Shares made by Party A (or its agent or affiliate) during the Unwind Period in connection with unwinding its commercially reasonable hedge position relating to such Settlement (weighted based on the number of Shares purchased by Party A or its agent or affiliate on each Unwind Date in connection with unwinding its commercially reasonable hedge position in connection with such Settlement, as determined by the Calculation Agent), </w:t>
      </w:r>
      <w:r>
        <w:rPr>
          <w:rFonts w:ascii="Times New Roman" w:hAnsi="Times New Roman"/>
          <w:i/>
          <w:color w:val="000000"/>
          <w:sz w:val="20"/>
        </w:rPr>
        <w:t>plus</w:t>
      </w:r>
      <w:r>
        <w:rPr>
          <w:rFonts w:ascii="Times New Roman" w:hAnsi="Times New Roman"/>
          <w:color w:val="000000"/>
          <w:sz w:val="20"/>
        </w:rPr>
        <w:t xml:space="preserve"> commercially reasonable commissions not to exceed USD 0.01 per Share. </w:t>
      </w:r>
    </w:p>
    <w:p>
      <w:pPr>
        <w:pStyle w:val="TextBody"/>
        <w:bidi w:val="0"/>
        <w:spacing w:before="240" w:after="283"/>
        <w:jc w:val="both"/>
        <w:rPr>
          <w:rFonts w:ascii="Times New Roman" w:hAnsi="Times New Roman"/>
          <w:sz w:val="20"/>
        </w:rPr>
      </w:pPr>
      <w:r>
        <w:rPr>
          <w:rFonts w:ascii="Times New Roman" w:hAnsi="Times New Roman"/>
          <w:color w:val="000000"/>
          <w:sz w:val="20"/>
        </w:rPr>
        <w:t>10b-18 VWAP: For any Exchange Business Day, as determined by the Calculation Agent based on the 10b-18 Volume Weighted Average Price per Share for the regular trading session (including any extensions thereof) of the Exchange on such Exchange Business Day (without regard to pre-open or after hours trading outside of such regular trading session for such Exchange Business Day), as published by Bloomberg at 4:15 p.m. New York time (or 15 minutes following the end of any extension of the regular trading session) on such Exchange Business Day, on Bloomberg page “DEA &lt;Equity&gt; AQR_SEC” (or any successor thereto), or if such price is not so reported on such Exchange Business Day for any reason or is, in the Calculation Agent’s reasonable determination, erroneous, such 10b-18 VWAP shall be as reasonably determined by the Calculation Agent. For purposes of calculating the 10b-18 VWAP for such Exchange Business Day, the Calculation Agent will include only those trades that are reported during the period of time during which Party B could purchase its own shares under Rule 10b-18(b)(2) and are effected pursuant to the conditions of Rule 10b-18(b)(3), each under the Exchange Act (such trades, “</w:t>
      </w:r>
      <w:r>
        <w:rPr>
          <w:rFonts w:ascii="Times New Roman" w:hAnsi="Times New Roman"/>
          <w:b/>
          <w:color w:val="000000"/>
          <w:sz w:val="20"/>
        </w:rPr>
        <w:t>Rule 10b-18 eligible transactions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Unwind Activities: The times and prices at which Party A (or its agent or affiliate) purchases any Shares during any Unwind Period in connection with unwinding its commercially reasonable hedge position in respect of each Transaction shall be determined by Party A in a commercially reasonable manner. Without limiting the generality of the foregoing, in the event that Party A concludes, in its reasonable discretion based on advice of counsel, that it is appropriate with respect to any legal, regulatory or self-regulatory requirements or related policies and procedures (whether or not such requirements, policies or procedures are imposed by law or have been voluntarily adopted by Party A) (a “</w:t>
      </w:r>
      <w:r>
        <w:rPr>
          <w:rFonts w:ascii="Times New Roman" w:hAnsi="Times New Roman"/>
          <w:b/>
          <w:color w:val="000000"/>
          <w:sz w:val="20"/>
        </w:rPr>
        <w:t>Regulatory Disruption</w:t>
      </w:r>
      <w:r>
        <w:rPr>
          <w:rFonts w:ascii="Times New Roman" w:hAnsi="Times New Roman"/>
          <w:color w:val="000000"/>
          <w:sz w:val="20"/>
        </w:rPr>
        <w:t xml:space="preserve">”), for it to refrain from purchasing Shares in connection with unwinding its commercially reasonable hedge position in respect of such Transaction on any Scheduled Trading Day that would have been an Unwind Date but for the occurrence of a Regulatory Disruption, Party A may (but shall not be required to) notify Party B in writing that a Regulatory Disruption has occurred on such Scheduled Trading Day with respect to such Transaction, in which case Party A shall, to the extent practicable in its good faith discretion, specify the nature of such Regulatory Disruption, and, for the avoidance of doubt, such Scheduled Trading Day shall not be an Unwind Date for such Transaction and such Regulatory Disruption shall be deemed to be a Market Disruption Event; </w:t>
      </w:r>
      <w:r>
        <w:rPr>
          <w:rFonts w:ascii="Times New Roman" w:hAnsi="Times New Roman"/>
          <w:i/>
          <w:color w:val="000000"/>
          <w:sz w:val="20"/>
        </w:rPr>
        <w:t>provided</w:t>
      </w:r>
      <w:r>
        <w:rPr>
          <w:rFonts w:ascii="Times New Roman" w:hAnsi="Times New Roman"/>
          <w:color w:val="000000"/>
          <w:sz w:val="20"/>
        </w:rPr>
        <w:t xml:space="preserve"> that Party A may exercise its right to suspend under this sentence only in good faith in relation to events or circumstances that are not the result of actions of it or any of its Affiliates that are taken with the intent to avoid its obligations under the Transactions.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Relevant Settlement Date: For any Settlement of any Transaction, the Settlement Date, Cash Settlement Payment Date or Net Share Settlement Date for such Settlement, as the case may be.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Other Applicable Provisions: To the extent Party A is obligated to deliver Shares under any Transaction, the provisions of Sections 9.2 (last sentence only), 9.8, 9.9, 9.10, 9.11 and 9.12 of the Equity Definitions will be applicable as if “Physical Settlement” applied to such Transaction; </w:t>
      </w:r>
      <w:r>
        <w:rPr>
          <w:rFonts w:ascii="Times New Roman" w:hAnsi="Times New Roman"/>
          <w:i/>
          <w:color w:val="000000"/>
          <w:sz w:val="20"/>
        </w:rPr>
        <w:t>provided</w:t>
      </w:r>
      <w:r>
        <w:rPr>
          <w:rFonts w:ascii="Times New Roman" w:hAnsi="Times New Roman"/>
          <w:color w:val="000000"/>
          <w:sz w:val="20"/>
        </w:rPr>
        <w:t xml:space="preserve"> that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Party B is the issuer of the Shares. </w:t>
      </w:r>
    </w:p>
    <w:p>
      <w:pPr>
        <w:pStyle w:val="TextBody"/>
        <w:bidi w:val="0"/>
        <w:spacing w:before="240" w:after="283"/>
        <w:jc w:val="left"/>
        <w:rPr>
          <w:rFonts w:ascii="Times New Roman" w:hAnsi="Times New Roman"/>
          <w:sz w:val="20"/>
        </w:rPr>
      </w:pPr>
      <w:r>
        <w:rPr>
          <w:rFonts w:ascii="Times New Roman" w:hAnsi="Times New Roman"/>
          <w:b/>
          <w:color w:val="000000"/>
          <w:sz w:val="20"/>
          <w:u w:val="single"/>
        </w:rPr>
        <w:t>Share Adjustments</w:t>
      </w:r>
      <w:r>
        <w:rPr>
          <w:rFonts w:ascii="Times New Roman" w:hAnsi="Times New Roman"/>
          <w:b/>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Potential Adjustment Events: An Extraordinary Dividend shall not constitute a Potential Adjustment Event. For the avoidance of doubt, a cash dividend on the Shares that differs from expected dividends as of the Trade Date of any Transaction shall not be a Potential Adjustment Event under Section 11.2(e)(vii) of the Equity Definitions with respect to such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Extraordinary Dividend: For any Transaction, any dividend or distribution on the Shares with an ex-dividend date occurring on any day following the Trade Date of such Transaction (other than (i) any dividend or distribution of the type described in Section 11.2(e)(i) or Section 11.2(e)(ii)(A) of the Equity Definitions or (ii) a regular, quarterly cash dividend in an amount equal to or less than the Regular Dividend Amount for such calendar quarter for such Transaction that has an ex-dividend date no earlier than the Forward Price Reduction Date occurring in the relevant quarter for such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Regular Dividend Amount: For each Transaction and for each calendar quarter, the amount set forth under the heading “Regular Dividend Amounts” in the Placement Notice as amended by any corresponding Acceptance (each such term as defined in the Distribution Agreement) for such Transaction and for such calendar quarter (or, if no such amount is specified, an amount determined by Party A in good faith), as specified in Schedule I to the Supplemental Confirmation for such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Method of Adjustment: Calculation Agent Adjustment</w:t>
      </w:r>
    </w:p>
    <w:p>
      <w:pPr>
        <w:pStyle w:val="TextBody"/>
        <w:bidi w:val="0"/>
        <w:spacing w:before="240" w:after="283"/>
        <w:jc w:val="left"/>
        <w:rPr>
          <w:rFonts w:ascii="Times New Roman" w:hAnsi="Times New Roman"/>
          <w:sz w:val="20"/>
        </w:rPr>
      </w:pPr>
      <w:r>
        <w:rPr>
          <w:rFonts w:ascii="Times New Roman" w:hAnsi="Times New Roman"/>
          <w:b/>
          <w:color w:val="000000"/>
          <w:sz w:val="20"/>
          <w:u w:val="single"/>
        </w:rPr>
        <w:t>Extraordinary Events</w:t>
      </w:r>
      <w:r>
        <w:rPr>
          <w:rFonts w:ascii="Times New Roman" w:hAnsi="Times New Roman"/>
          <w:b/>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Extraordinary Events: The consequences that would otherwise apply under Article 12 of the Equity Definitions to any applicable Extraordinary Event (excluding any Failure to Deliver, Increased Cost of Hedging, Increased Cost of Stock Borrow or any Extraordinary Event that also constitutes a Bankruptcy Termination Event, but including, for the avoidance of doubt, any other applicable Additional Disruption Event) shall not apply.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Tender Offer: Applicable; </w:t>
      </w:r>
      <w:r>
        <w:rPr>
          <w:rFonts w:ascii="Times New Roman" w:hAnsi="Times New Roman"/>
          <w:i/>
          <w:color w:val="000000"/>
          <w:sz w:val="20"/>
        </w:rPr>
        <w:t>provided</w:t>
      </w:r>
      <w:r>
        <w:rPr>
          <w:rFonts w:ascii="Times New Roman" w:hAnsi="Times New Roman"/>
          <w:color w:val="000000"/>
          <w:sz w:val="20"/>
        </w:rPr>
        <w:t xml:space="preserve"> that Section 12.1(d) of the Equity Definitions shall be amended by replacing the reference therein to “10%” with a reference to “20%”.</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Delisting: In addition to the provisions of Section 12.6(a)(iii) of the Equity Definitions, it shall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be deemed to be the Exchange.</w:t>
      </w:r>
    </w:p>
    <w:p>
      <w:pPr>
        <w:pStyle w:val="TextBody"/>
        <w:bidi w:val="0"/>
        <w:spacing w:before="240" w:after="283"/>
        <w:jc w:val="left"/>
        <w:rPr>
          <w:rFonts w:ascii="Times New Roman" w:hAnsi="Times New Roman"/>
          <w:sz w:val="20"/>
        </w:rPr>
      </w:pPr>
      <w:r>
        <w:rPr>
          <w:rFonts w:ascii="Times New Roman" w:hAnsi="Times New Roman"/>
          <w:b/>
          <w:color w:val="000000"/>
          <w:sz w:val="20"/>
          <w:u w:val="single"/>
        </w:rPr>
        <w:t>Additional Disruption Events</w:t>
      </w:r>
      <w:r>
        <w:rPr>
          <w:rFonts w:ascii="Times New Roman" w:hAnsi="Times New Roman"/>
          <w:b/>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Change in Law: With respect to any Transaction, applicable; </w:t>
      </w:r>
      <w:r>
        <w:rPr>
          <w:rFonts w:ascii="Times New Roman" w:hAnsi="Times New Roman"/>
          <w:i/>
          <w:color w:val="000000"/>
          <w:sz w:val="20"/>
        </w:rPr>
        <w:t>provided</w:t>
      </w:r>
      <w:r>
        <w:rPr>
          <w:rFonts w:ascii="Times New Roman" w:hAnsi="Times New Roman"/>
          <w:color w:val="000000"/>
          <w:sz w:val="20"/>
        </w:rPr>
        <w:t xml:space="preserve"> that (A) any determination as to whether (i) the adoption of or any change in any applicable law or regulation (including, without limitation, any tax law) or (ii) the promulgation of or any change in or public announcement of the formal or informal interpretation by any court, tribunal or regulatory authority with competent jurisdiction of any applicable law or regulation (including any action taken by a taxing authority), in each case, constitutes a “Change in Law” shall be made without regard to Section 739 of the Dodd-Frank Wall Street Reform and Consumer Protection Act of 2010 or any similar legal certainty provision in any legislation enacted, or rule or regulation promulgated, on or after the Trade Date of such Transaction, (B) Section 12.9(a)(ii) of the Equity Definitions is hereby amended (i) by adding the words “(including, for the avoidance of doubt and without limitation, adoption or promulgation of new regulations authorized or mandated by existing statute)” after the word “regulation” in the second line thereof and (ii) by replacing the words “the interpretation” with the words “or public announcement of any formal or informal interpretation” in the third line thereof and (C) the words “, unless the illegality is due to an act or omission of the party seeking to elect termination of the Transaction with the intent to avoid its obligations under the terms of the Transaction” are added immediately following the word “Transaction” in the fifth line thereof; and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Section 12.9(a)(ii) of the Equity Definitions is hereby amended by adding the phrase “and/or Hedge Position” after the word “Shares” in clause (X) thereof and (iii) by immediately following the word “Transaction” in clause (X) thereof, adding the phrase “in the manner contemplated by the Hedging Party on the Trade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Deliver: Applicable with respect to a Transaction if Party A is required to deliver Shares under such Transaction; otherwise, Not Applicable.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Hedging Disruption: Applicable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Increased Cost of Hedging: Applicable; </w:t>
      </w:r>
      <w:r>
        <w:rPr>
          <w:rFonts w:ascii="Times New Roman" w:hAnsi="Times New Roman"/>
          <w:i/>
          <w:color w:val="000000"/>
          <w:sz w:val="20"/>
        </w:rPr>
        <w:t>provided</w:t>
      </w:r>
      <w:r>
        <w:rPr>
          <w:rFonts w:ascii="Times New Roman" w:hAnsi="Times New Roman"/>
          <w:color w:val="000000"/>
          <w:sz w:val="20"/>
        </w:rPr>
        <w:t xml:space="preserve"> that Section 12.9(b)(vi) of the Equity Definitions shall be amended by (i) adding “or” before clause (B) of the second sentence thereof; (ii) deleting clause (C) of the second sentence thereof; (iii) deleting the third and fourth sentences thereof; and (iv) inserting the following language at the end of such Section: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any such increased tax, duty, expense or fee that occurs solely due to the deterioration of the creditworthiness of the Hedging Party relative to comparable financial institutions shall not be an Increased Cost of Hedging.”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Increased Cost of Stock Borrow: Applicable; </w:t>
      </w:r>
      <w:r>
        <w:rPr>
          <w:rFonts w:ascii="Times New Roman" w:hAnsi="Times New Roman"/>
          <w:i/>
          <w:color w:val="000000"/>
          <w:sz w:val="20"/>
        </w:rPr>
        <w:t>provided</w:t>
      </w:r>
      <w:r>
        <w:rPr>
          <w:rFonts w:ascii="Times New Roman" w:hAnsi="Times New Roman"/>
          <w:color w:val="000000"/>
          <w:sz w:val="20"/>
        </w:rPr>
        <w:t xml:space="preserve"> that Section 12.9(b)(v) of the Equity Definitions shall be amended by (i) adding the word “or” immediately before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subsection “(B)” and deleting the comma at the end of subsection (A); (ii) deleting clause (C) of the second sentence thereof and (iii) deleting the third, fourth and fifth sentences thereof. For the avoidance of doubt, upon the announcement of any event that, if consummated, would result in a Merger Event or Tender Offer, the term “rate to borrow Shares” as used in Section 12.9(a)(viii) of the Equity Definitions shall include any commercially reasonable cost borne or amount payable by the Hedging Party in respect of maintaining or reestablishing its hedge position, including, but not limited to, any assessment or other amount payable by the Hedging Party to a lender of Shares in respect of any merger or tender offer premium, as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Initial Stock Loan Rate: For each Transaction, as specified in the Supplemental Confirmation for such Transaction.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Loss of Stock Borrow: Applicable; </w:t>
      </w:r>
      <w:r>
        <w:rPr>
          <w:rFonts w:ascii="Times New Roman" w:hAnsi="Times New Roman"/>
          <w:i/>
          <w:color w:val="000000"/>
          <w:sz w:val="20"/>
        </w:rPr>
        <w:t>provided</w:t>
      </w:r>
      <w:r>
        <w:rPr>
          <w:rFonts w:ascii="Times New Roman" w:hAnsi="Times New Roman"/>
          <w:color w:val="000000"/>
          <w:sz w:val="20"/>
        </w:rPr>
        <w:t xml:space="preserve"> that Section 12.9(b)(iv) of the Equity Definitions shall be amended by (i) deleting clause (A) of the first sentence thereof in its entirety and (ii) deleting the words “neither the Non-Hedging Party nor the Lending Party lends Shares in the amount of the Hedging Shares or” in the second sentence thereof.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Maximum Stock Loan Rate: For each Transaction, as specified in the Supplemental Confirmation for such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Hedging Party: For all applicable Additional Disruption Events, Party A</w:t>
      </w:r>
    </w:p>
    <w:p>
      <w:pPr>
        <w:pStyle w:val="TextBody"/>
        <w:bidi w:val="0"/>
        <w:spacing w:before="240" w:after="283"/>
        <w:jc w:val="both"/>
        <w:rPr>
          <w:rFonts w:ascii="Times New Roman" w:hAnsi="Times New Roman"/>
          <w:color w:val="000000"/>
          <w:sz w:val="20"/>
        </w:rPr>
      </w:pPr>
      <w:bookmarkStart w:id="8" w:name="ole_link22"/>
      <w:bookmarkEnd w:id="8"/>
      <w:r>
        <w:rPr>
          <w:rFonts w:ascii="Times New Roman" w:hAnsi="Times New Roman"/>
          <w:color w:val="000000"/>
          <w:sz w:val="20"/>
        </w:rPr>
        <w:t>Determining Party: For all applicable Extraordinary Events, Party A</w:t>
      </w:r>
    </w:p>
    <w:p>
      <w:pPr>
        <w:pStyle w:val="TextBody"/>
        <w:bidi w:val="0"/>
        <w:spacing w:before="240" w:after="283"/>
        <w:jc w:val="both"/>
        <w:rPr>
          <w:rFonts w:ascii="Times New Roman" w:hAnsi="Times New Roman"/>
          <w:sz w:val="20"/>
        </w:rPr>
      </w:pPr>
      <w:r>
        <w:rPr>
          <w:rFonts w:ascii="Times New Roman" w:hAnsi="Times New Roman"/>
          <w:b/>
          <w:color w:val="000000"/>
          <w:sz w:val="20"/>
          <w:u w:val="single"/>
        </w:rPr>
        <w:t>Early Valuation</w:t>
      </w:r>
      <w:r>
        <w:rPr>
          <w:rFonts w:ascii="Times New Roman" w:hAnsi="Times New Roman"/>
          <w:b/>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Early Valuation: For any Transaction, notwithstanding anything to the contrary herein, in the Agreement, in any Supplemental Confirmation or in the Equity Definitions, at any time (x) following the occurrence of a Hedging Event with respect to such Transaction, the declaration by Issuer of an Extraordinary Dividend, or an ISDA Event with respect to such Transaction or (y) if an Excess Ownership Position, an Excess Charter Ownership Position or an Excess Regulatory Ownership Position exists, Party A (or, in the case of an ISDA Event that is an Event of Default or Termination Event, the party entitled to designate an Early Termination Date in respect of such event pursuant to Section 6 of the Agreement) shall have the right to designate any Scheduled Trading Day to be the “Early Valuation Date” for such Transaction, in which case the provisions set forth in this “Early Valuation” section shall apply to such Transaction, in the case of an Event of Default or Termination Event, in lieu of Section 6 of the Agreement. For the avoidance of doubt, any amount calculated pursuant to this “Early Valuation” section as a result of an Extraordinary Dividend shall not be adjusted by the value associated with such Extraordinary Dividend.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Party A represents and warrants to and agrees with Party B, assuming the accuracy and completeness of the representations of Party B hereunder and the compliance with, and satisfaction of, the covenants and undertakings of Party B hereunder, that (i) based upon advice of counsel, Party A (A) does not know of the existence as of the date hereof of an Excess Ownership Position, an Excess Charter Ownership Position or an Excess Regulatory Ownership Position and (B) based on reasonable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internal inquiry in the ordinary course of Party A’s business does not know as of the date hereof of any event or circumstance that will cause the occurrence of an Excess Ownership Position, an Excess Charter Ownership Position or an Excess Regulatory Ownership Position on any day during the term of any Transaction; (ii) Party A will not knowingly cause the occurrence of an Excess Ownership Position, an Excess Charter Ownership Position or an Excess Regulatory Ownership Position on any day during the term of any Transaction for the purpose, in whole or in part, of causing the occurrence of an Early Valuation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Party A further represents and warrants to Party B, as of each Trade Date hereunder (without giving effect to Section 10 hereof and based on the number of Shares specified by Party B, in the most recent Placement Notice provided to Party A, as one Share less than the number of Shares that would result in an Excess Charter Ownership Position), that were Party A to receive, on such Trade Date, a number of Shares equal to the Capped Number of all Transactions then outstanding upon full Physical Settlement of all such Transactions, then an Excess Charter Ownership Position would not occur on such Trade Date.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If the Early Valuation Date for a Transaction occurs on a date that is not during an Unwind Period for such Transaction, then such Early Valuation Date shall be a Valuation Date for a Physical Settlement of such Transaction, and the number of Settlement Shares for such Settlement shall be the Number of Shares on such Early Valuation Date; </w:t>
      </w:r>
      <w:r>
        <w:rPr>
          <w:rFonts w:ascii="Times New Roman" w:hAnsi="Times New Roman"/>
          <w:i/>
          <w:color w:val="000000"/>
          <w:sz w:val="20"/>
        </w:rPr>
        <w:t>provided</w:t>
      </w:r>
      <w:r>
        <w:rPr>
          <w:rFonts w:ascii="Times New Roman" w:hAnsi="Times New Roman"/>
          <w:color w:val="000000"/>
          <w:sz w:val="20"/>
        </w:rPr>
        <w:t xml:space="preserve"> that Party A may in its sole discretion permit Party B to elect Cash Settlement or Net Share Settlement in respect of such Transaction.</w:t>
      </w:r>
    </w:p>
    <w:p>
      <w:pPr>
        <w:pStyle w:val="TextBody"/>
        <w:bidi w:val="0"/>
        <w:spacing w:before="240" w:after="283"/>
        <w:jc w:val="both"/>
        <w:rPr>
          <w:rFonts w:ascii="Times New Roman" w:hAnsi="Times New Roman"/>
          <w:sz w:val="20"/>
        </w:rPr>
      </w:pPr>
      <w:bookmarkStart w:id="9" w:name="ole_link1"/>
      <w:bookmarkEnd w:id="9"/>
      <w:r>
        <w:rPr>
          <w:rFonts w:ascii="Times New Roman" w:hAnsi="Times New Roman"/>
          <w:color w:val="000000"/>
          <w:sz w:val="20"/>
        </w:rPr>
        <w:t>If the Early Valuation Date for a Transaction occurs during an Unwind Period for such Transaction, then (i) (A) the last Unwind Date of such Unwind Period shall be deemed to be such Early Valuation Date, (B) a Settlement shall occur in respect of such Unwind Period, and the Settlement Method elected by Party B in respect of such Settlement shall apply, and (C) the number of Settlement Shares for such Settlement shall be the number of Unwound Shares for such Unwind Period on such Early Valuation Date, and (ii) (A) such Early Valuation Date shall be a Valuation Date for an additional Physical Settlement of such Transaction (</w:t>
      </w:r>
      <w:r>
        <w:rPr>
          <w:rFonts w:ascii="Times New Roman" w:hAnsi="Times New Roman"/>
          <w:i/>
          <w:color w:val="000000"/>
          <w:sz w:val="20"/>
        </w:rPr>
        <w:t>provided</w:t>
      </w:r>
      <w:r>
        <w:rPr>
          <w:rFonts w:ascii="Times New Roman" w:hAnsi="Times New Roman"/>
          <w:color w:val="000000"/>
          <w:sz w:val="20"/>
        </w:rPr>
        <w:t xml:space="preserve"> that Party A may in its sole discretion elect that the Settlement Method elected by Party B for the Settlement described in clause (i) of this sentence shall apply) and (B) the number of Settlement Shares for such additional Settlement shall be the number of Remaining Shares on such Early Valuation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Notwithstanding the foregoing, in the case of a Nationalization or Merger Event, if at the time of the related Relevant Settlement Date the Shares have changed into cash or any other property or the right to receive cash or any other property, the Calculation Agent shall adjust the nature of the Shares as it determines appropriate to account for such change such that the nature of the Shares is consistent with what shareholders receive in such event.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ISDA Event: (i) Any Event of Default or Termination Event, other than an Event of Default or Termination Event that also constitutes a Bankruptcy Termination Event, that gives rise to the right of either party to designate an Early Termination Date pursuant to Section 6 of the Agreement or (ii) the announcement of any event or transaction that, if consummated,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would result in a Merger Event, Tender Offer, Nationalization, Delisting or Change in Law, in each case, as determined by the Calculation Agent.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Amendment to Merger Event: Section 12.1(b) of the Equity Definitions is hereby amended by deleting the remainder of such Section beginning with the words “in each case if the Merger Date is on or before” in the fourth to last line thereof.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Hedging Event: In respect of any Transaction, the occurrence of any of the following on or following the first Trading Day of the Forward Hedge Selling Period (as defined in the Distribution Agreement): (i) (x) A Loss of Stock Borrow in connection with which Party B does not refer the Hedging Party to a satisfactory Lending Party within the required time period as provided in Section 12.9(b)(iv) of the Equity Definitions or (y) a Hedging Disruption, (ii) (A) an Increased Cost of Stock Borrow or (B) an Increased Cost of Hedging in connection with which, in the case of sub-clause (A) or (B), Party B does not elect, and so notify the Hedging Party of its election, in each case, within the required time period to either amend such Transaction pursuant to Section 12.9(b)(v)(A) or Section 12.9(b)(vi)(A) of the Equity Definitions, as applicable, or pay an amount determined by the Calculation Agent that corresponds to the relevant Price Adjustment pursuant to Section 12.9(b)(v)(B) or Section 12.9(b)(vi)(B) of the Equity Definitions, as applicable, or (iii) the occurrence of a Market Disruption Event during an Unwind Period and the continuance of such Market Disruption Event for at least eight Scheduled Trading Days.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Remaining Shares: For any Transaction, on any day, the Number of Shares for such Transaction as of such day (or, if such day occurs during an Unwind Period for such Transaction, the Number of Shares for such Transaction as of such day </w:t>
      </w:r>
      <w:r>
        <w:rPr>
          <w:rFonts w:ascii="Times New Roman" w:hAnsi="Times New Roman"/>
          <w:i/>
          <w:color w:val="000000"/>
          <w:sz w:val="20"/>
        </w:rPr>
        <w:t>minus</w:t>
      </w:r>
      <w:r>
        <w:rPr>
          <w:rFonts w:ascii="Times New Roman" w:hAnsi="Times New Roman"/>
          <w:color w:val="000000"/>
          <w:sz w:val="20"/>
        </w:rPr>
        <w:t xml:space="preserve"> the Unwound Shares for such Transaction for such Unwind Period on such day).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Unwound Shares: For any Transaction, for any Unwind Period in respect of such Transaction on any day, the aggregate number of Shares with respect to which Party A has unwound its commercially reasonable hedge position in respect of such Transaction in connection with the related Settlement as of such day.</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Acknowledgements: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Non-Reliance: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Agreements and Acknowledgements</w:t>
      </w:r>
    </w:p>
    <w:p>
      <w:pPr>
        <w:pStyle w:val="TextBody"/>
        <w:bidi w:val="0"/>
        <w:jc w:val="both"/>
        <w:rPr>
          <w:rFonts w:ascii="Times New Roman" w:hAnsi="Times New Roman"/>
          <w:color w:val="000000"/>
          <w:sz w:val="20"/>
        </w:rPr>
      </w:pPr>
      <w:r>
        <w:rPr>
          <w:rFonts w:ascii="Times New Roman" w:hAnsi="Times New Roman"/>
          <w:color w:val="000000"/>
          <w:sz w:val="20"/>
        </w:rPr>
        <w:t>Regarding Hedging Activities: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Acknowledgements: Applicable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Transfer: Notwithstanding anything to the contrary in the Agreement, Party A may assign, transfer and set over all rights, title and interest, powers, privileges and remedies of Party A under any Transaction, in whole or in part, to an affiliate of Party A without the consent of Party B; </w:t>
      </w:r>
      <w:r>
        <w:rPr>
          <w:rFonts w:ascii="Times New Roman" w:hAnsi="Times New Roman"/>
          <w:i/>
          <w:color w:val="000000"/>
          <w:sz w:val="20"/>
        </w:rPr>
        <w:t>provided</w:t>
      </w:r>
      <w:r>
        <w:rPr>
          <w:rFonts w:ascii="Times New Roman" w:hAnsi="Times New Roman"/>
          <w:color w:val="000000"/>
          <w:sz w:val="20"/>
        </w:rPr>
        <w:t xml:space="preserve"> that (i) the creditworthiness of such affiliate is not, taking into account any guarantees or other credit support provided for the obligations of such affiliate, materially weaker than Party A’s creditworthiness at such time, (ii) Party B will neither (1) be required to pay, nor is there a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material likelihood that it would be required to pay, an additional amount in respect of an Indemnifiable Tax under Section 2(d)(i)(4) of the Agreement, nor (2) receive a payment, nor is there a material likelihood that it would receive a payment, from which an amount has been deducted or withheld for or on account of any Indemnifiable Tax in respect of which the other party is not required to pay an additional amount, in either case as a result of such transfer or assignment, (iii) each of Party A and such transferee is a “dealer” within the meaning of section 1.1001-4(b)(1) of the U.S. Treasury Regulations and (iv) no Event of Default or Potential Event of Default shall have occurred with respect to either party solely as a result of such transfer and assignment.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Notwithstanding the foregoing or any other provision of this Master Confirmation or any Supplemental Confirmation to the contrary requiring or allowing Party A to purchase, sell, receive or deliver any Shares or other securities to or from Party B, Party A may designate any of its affiliates to purchase, sell, receive or deliver such Shares or other securities and otherwise to perform Party A obligations in respect of any Transaction and any such designee may assume such obligations. Party A shall be discharged of its obligations to Party B only to the extent of any such performance.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Calculation Agent: Party A; </w:t>
      </w:r>
      <w:r>
        <w:rPr>
          <w:rFonts w:ascii="Times New Roman" w:hAnsi="Times New Roman"/>
          <w:i/>
          <w:color w:val="000000"/>
          <w:sz w:val="20"/>
        </w:rPr>
        <w:t>provided</w:t>
      </w:r>
      <w:r>
        <w:rPr>
          <w:rFonts w:ascii="Times New Roman" w:hAnsi="Times New Roman"/>
          <w:color w:val="000000"/>
          <w:sz w:val="20"/>
        </w:rPr>
        <w:t xml:space="preserve"> that, following the occurrence and during the continuation of an Event of Default pursuant to Section 5(a)(vii) of the Agreement with respect to which Party A is the sole Defaulting Party, Party B shall have the right to select a leading dealer in the market for U.S. corporate equity derivatives reasonably acceptable to Party A to replace Party A as Calculation Agent, and the parties shall work in good faith to execute any appropriate documentation required by such replacement Calculation Agent. Following any determination or calculation by the Calculation Agent hereunder, upon a written request by Party B, the Calculation Agent will, within a commercially reasonable period of time following such request, provide to Party B by e-mail to the e-mail address provided by Party B in such written request a report (in a commonly used file format for the storage and manipulation of financial data) displaying in reasonable detail the basis for such determination or calculation, as the case may be; </w:t>
      </w:r>
      <w:r>
        <w:rPr>
          <w:rFonts w:ascii="Times New Roman" w:hAnsi="Times New Roman"/>
          <w:i/>
          <w:color w:val="000000"/>
          <w:sz w:val="20"/>
        </w:rPr>
        <w:t>provided</w:t>
      </w:r>
      <w:r>
        <w:rPr>
          <w:rFonts w:ascii="Times New Roman" w:hAnsi="Times New Roman"/>
          <w:color w:val="000000"/>
          <w:sz w:val="20"/>
        </w:rPr>
        <w:t xml:space="preserve"> that Party A shall not be required to disclose any proprietary or confidential models of Party A or any information that is proprietary or subject to contractual, legal or regulatory obligations to not disclose such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Party B Payment Instructions: To be provided by Party 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Party A Payment Instructions: To be provided by Party A</w:t>
      </w:r>
    </w:p>
    <w:p>
      <w:pPr>
        <w:pStyle w:val="TextBody"/>
        <w:bidi w:val="0"/>
        <w:jc w:val="both"/>
        <w:rPr>
          <w:rFonts w:ascii="Times New Roman" w:hAnsi="Times New Roman"/>
          <w:color w:val="000000"/>
          <w:sz w:val="20"/>
        </w:rPr>
      </w:pPr>
      <w:r>
        <w:rPr>
          <w:rFonts w:ascii="Times New Roman" w:hAnsi="Times New Roman"/>
          <w:color w:val="000000"/>
          <w:sz w:val="20"/>
        </w:rPr>
        <w:t>The Office of Party B for the</w:t>
      </w:r>
    </w:p>
    <w:p>
      <w:pPr>
        <w:pStyle w:val="TextBody"/>
        <w:bidi w:val="0"/>
        <w:jc w:val="both"/>
        <w:rPr>
          <w:rFonts w:ascii="Times New Roman" w:hAnsi="Times New Roman"/>
          <w:color w:val="000000"/>
          <w:sz w:val="20"/>
        </w:rPr>
      </w:pPr>
      <w:r>
        <w:rPr>
          <w:rFonts w:ascii="Times New Roman" w:hAnsi="Times New Roman"/>
          <w:color w:val="000000"/>
          <w:sz w:val="20"/>
        </w:rPr>
        <w:t>Transaction is: Inapplicable, Party B is not a Multibranch Party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Office of Party A for the</w:t>
      </w:r>
    </w:p>
    <w:p>
      <w:pPr>
        <w:pStyle w:val="TextBody"/>
        <w:bidi w:val="0"/>
        <w:jc w:val="both"/>
        <w:rPr>
          <w:rFonts w:ascii="Times New Roman" w:hAnsi="Times New Roman"/>
          <w:color w:val="000000"/>
          <w:sz w:val="20"/>
        </w:rPr>
      </w:pPr>
      <w:r>
        <w:rPr>
          <w:rFonts w:ascii="Times New Roman" w:hAnsi="Times New Roman"/>
          <w:color w:val="000000"/>
          <w:sz w:val="20"/>
        </w:rPr>
        <w:t>Transaction is: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Party B’s Contact Details</w:t>
      </w:r>
    </w:p>
    <w:p>
      <w:pPr>
        <w:pStyle w:val="TextBody"/>
        <w:bidi w:val="0"/>
        <w:jc w:val="both"/>
        <w:rPr>
          <w:rFonts w:ascii="Times New Roman" w:hAnsi="Times New Roman"/>
          <w:color w:val="000000"/>
          <w:sz w:val="20"/>
        </w:rPr>
      </w:pPr>
      <w:r>
        <w:rPr>
          <w:rFonts w:ascii="Times New Roman" w:hAnsi="Times New Roman"/>
          <w:color w:val="000000"/>
          <w:sz w:val="20"/>
        </w:rPr>
        <w:t>for Purpose of Giving Notice: To be provided by Party B</w:t>
      </w:r>
    </w:p>
    <w:p>
      <w:pPr>
        <w:pStyle w:val="TextBody"/>
        <w:bidi w:val="0"/>
        <w:jc w:val="both"/>
        <w:rPr>
          <w:rFonts w:ascii="Times New Roman" w:hAnsi="Times New Roman"/>
          <w:color w:val="000000"/>
          <w:sz w:val="20"/>
        </w:rPr>
      </w:pPr>
      <w:r>
        <w:rPr>
          <w:rFonts w:ascii="Times New Roman" w:hAnsi="Times New Roman"/>
          <w:color w:val="000000"/>
          <w:sz w:val="20"/>
        </w:rPr>
        <w:t>Party A’s Contact Details</w:t>
      </w:r>
    </w:p>
    <w:p>
      <w:pPr>
        <w:pStyle w:val="TextBody"/>
        <w:bidi w:val="0"/>
        <w:jc w:val="both"/>
        <w:rPr>
          <w:rFonts w:ascii="Times New Roman" w:hAnsi="Times New Roman"/>
          <w:color w:val="000000"/>
          <w:sz w:val="20"/>
        </w:rPr>
      </w:pPr>
      <w:r>
        <w:rPr>
          <w:rFonts w:ascii="Times New Roman" w:hAnsi="Times New Roman"/>
          <w:color w:val="000000"/>
          <w:sz w:val="20"/>
        </w:rPr>
        <w:t>for Purpose of Giving Notice: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pPr>
      <w:r>
        <w:rPr>
          <w:rFonts w:ascii="Times New Roman" w:hAnsi="Times New Roman"/>
          <w:color w:val="000000"/>
          <w:sz w:val="20"/>
          <w:u w:val="single"/>
        </w:rPr>
        <w:t>Effectiveness</w:t>
      </w:r>
      <w:r>
        <w:rPr>
          <w:rFonts w:ascii="Times New Roman" w:hAnsi="Times New Roman"/>
          <w:color w:val="000000"/>
          <w:sz w:val="20"/>
        </w:rPr>
        <w:t>. The effectiveness of each Supplemental Confirmation and the related Transaction on the Effective Date for such Supplemental Confirmation shall be subject to the satisfaction (or waiver by Party A) of the following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representations and warranties of Party B and the Operating Partnership contained in the Distribution Agreement, and any certificate delivered pursuant thereto by Party B or the Operating Partnership, shall be true and correct on such Effective Date as if made as of such Effective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of Party B and the Operating Partnership shall have performed all of the obligations required to be performed by it under the Distribution Agreement on or prior to such Effective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the conditions set forth in Section 6 of the Distribution Agreement shall have been satisfied;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effective date of the effective Placement Notice (as defined in the Distribution Agreement) shall have occurred as provided in the Distribution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the representations and warranties of Party B hereunder and under the Agreement shall be true and correct on such Effective Date as if made as of such Effective Date;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Party B shall have performed all of the obligations required to be performed by it hereunder and under the Agreement on or prior to such Effective Date, including without limitation its obligations under Section 6 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Notwithstanding the foregoing or any other provision of this Master Confirmation or any Supplemental Confirmation, if, in respect of any Transaction, (x) on or prior to 9:00 a.m., New York City time, on any Settlement Date (as defined in the Distribution Agreement) in connection with Party A establishing its commercially reasonable hedge position, Party A, in its sole judgment, is unable, after using commercially reasonable efforts, to borrow and deliver for sale the full Number of Shares or (y) in Party A’s sole judgment, it would incur a stock loan cost of more than a rate equal to the Maximum Stock Loan Rate for such Transaction with respect to all or any portion of such full Number of Shares, the effectiveness of the related Supplemental Confirmation and such Transaction shall be limited to the number of Shares Party A is so able to borrow in connection with establishing its commercially reasonable hedge position for such Transaction at a cost of not more than a rate equal to the Maximum Stock Loan Rate for such Transaction, which, for the avoidance of doubt, may be zero.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pPr>
      <w:r>
        <w:rPr>
          <w:rFonts w:ascii="Times New Roman" w:hAnsi="Times New Roman"/>
          <w:color w:val="000000"/>
          <w:sz w:val="20"/>
          <w:u w:val="single"/>
        </w:rPr>
        <w:t>Additional Mutual Representations and Warranties</w:t>
      </w:r>
      <w:r>
        <w:rPr>
          <w:rFonts w:ascii="Times New Roman" w:hAnsi="Times New Roman"/>
          <w:color w:val="000000"/>
          <w:sz w:val="20"/>
        </w:rPr>
        <w:t>. In addition to the representations and warranties in the Agreement, each party represents and warrants to the other party, as of the date hereof and as of each Placement Date (as defined in the Distribution Agreement), Trade Date and Forward Hedge Settlement Date (as defined in the Distribution Agreement), that it is an “eligible contract participant”, as defined in the U.S. Commodity Exchange Act (as amended), and an “accredited investor” as defined in Section 2(a)(15)(ii) of the Securities Act of 1933 (as amended) (the “</w:t>
      </w:r>
      <w:r>
        <w:rPr>
          <w:rFonts w:ascii="Times New Roman" w:hAnsi="Times New Roman"/>
          <w:b/>
          <w:color w:val="000000"/>
          <w:sz w:val="20"/>
        </w:rPr>
        <w:t>Securities Act</w:t>
      </w:r>
      <w:r>
        <w:rPr>
          <w:color w:val="000000"/>
        </w:rPr>
        <w:t>”</w:t>
      </w:r>
      <w:r>
        <w:rPr>
          <w:rFonts w:ascii="Times New Roman" w:hAnsi="Times New Roman"/>
          <w:color w:val="000000"/>
          <w:sz w:val="20"/>
        </w:rPr>
        <w:t>), and is entering into each Transaction hereunder as principal and not for the benefit of any third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pPr>
      <w:r>
        <w:rPr>
          <w:rFonts w:ascii="Times New Roman" w:hAnsi="Times New Roman"/>
          <w:color w:val="000000"/>
          <w:sz w:val="20"/>
          <w:u w:val="single"/>
        </w:rPr>
        <w:t>Additional Representations and Warranties of Party B</w:t>
      </w:r>
      <w:r>
        <w:rPr>
          <w:rFonts w:ascii="Times New Roman" w:hAnsi="Times New Roman"/>
          <w:color w:val="000000"/>
          <w:sz w:val="20"/>
        </w:rPr>
        <w:t xml:space="preserve">. In addition to the representations and warranties in the Agreement and those contained elsewhere herein, Party B represents and warrants to Party A, and agrees with Party A, as of the date hereof and as of each Placement Date (as defined in the Distribution Agreement), Trade Date and Forward Hedge Settlement Date (as defined in the Distribution Agreement), that: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0"/>
        </w:rPr>
        <w:t>without limiting the generality of Section 13.1 of the Equity Definitions, it acknowledges that Party A is not making any representations or warranties with respect to the treatment of any Transaction, including without limitation ASC Topic 260,</w:t>
      </w:r>
      <w:r>
        <w:rPr>
          <w:color w:val="000000"/>
        </w:rPr>
        <w:t xml:space="preserve"> </w:t>
      </w:r>
      <w:r>
        <w:rPr>
          <w:rFonts w:ascii="Times New Roman" w:hAnsi="Times New Roman"/>
          <w:i/>
          <w:color w:val="000000"/>
          <w:sz w:val="20"/>
        </w:rPr>
        <w:t>Earnings Per Share</w:t>
      </w:r>
      <w:r>
        <w:rPr>
          <w:rFonts w:ascii="Times New Roman" w:hAnsi="Times New Roman"/>
          <w:color w:val="000000"/>
          <w:sz w:val="20"/>
        </w:rPr>
        <w:t>, ASC Topic 815,</w:t>
      </w:r>
      <w:r>
        <w:rPr>
          <w:color w:val="000000"/>
        </w:rPr>
        <w:t xml:space="preserve"> </w:t>
      </w:r>
      <w:r>
        <w:rPr>
          <w:rFonts w:ascii="Times New Roman" w:hAnsi="Times New Roman"/>
          <w:i/>
          <w:color w:val="000000"/>
          <w:sz w:val="20"/>
        </w:rPr>
        <w:t>Derivatives and Hedging</w:t>
      </w:r>
      <w:r>
        <w:rPr>
          <w:rFonts w:ascii="Times New Roman" w:hAnsi="Times New Roman"/>
          <w:color w:val="000000"/>
          <w:sz w:val="20"/>
        </w:rPr>
        <w:t>, ASC Topic 480,</w:t>
      </w:r>
      <w:r>
        <w:rPr>
          <w:color w:val="000000"/>
        </w:rPr>
        <w:t xml:space="preserve"> </w:t>
      </w:r>
      <w:r>
        <w:rPr>
          <w:rFonts w:ascii="Times New Roman" w:hAnsi="Times New Roman"/>
          <w:i/>
          <w:color w:val="000000"/>
          <w:sz w:val="20"/>
        </w:rPr>
        <w:t>Distinguishing Liabilities from Equity</w:t>
      </w:r>
      <w:r>
        <w:rPr>
          <w:rFonts w:ascii="Times New Roman" w:hAnsi="Times New Roman"/>
          <w:color w:val="000000"/>
          <w:sz w:val="20"/>
        </w:rPr>
        <w:t>, ASC 815-40,</w:t>
      </w:r>
      <w:r>
        <w:rPr>
          <w:color w:val="000000"/>
        </w:rPr>
        <w:t xml:space="preserve"> </w:t>
      </w:r>
      <w:r>
        <w:rPr>
          <w:rFonts w:ascii="Times New Roman" w:hAnsi="Times New Roman"/>
          <w:i/>
          <w:color w:val="000000"/>
          <w:sz w:val="20"/>
        </w:rPr>
        <w:t>Derivatives and Hedging – Contracts in Entity’s Own Equity</w:t>
      </w:r>
      <w:r>
        <w:rPr>
          <w:color w:val="000000"/>
        </w:rPr>
        <w:t xml:space="preserve"> </w:t>
      </w:r>
      <w:r>
        <w:rPr>
          <w:rFonts w:ascii="Times New Roman" w:hAnsi="Times New Roman"/>
          <w:color w:val="000000"/>
          <w:sz w:val="20"/>
        </w:rPr>
        <w:t>(or any successor issue statements)</w:t>
      </w:r>
      <w:r>
        <w:rPr>
          <w:color w:val="000000"/>
        </w:rPr>
        <w:t xml:space="preserve"> </w:t>
      </w:r>
      <w:r>
        <w:rPr>
          <w:rFonts w:ascii="Times New Roman" w:hAnsi="Times New Roman"/>
          <w:color w:val="000000"/>
          <w:sz w:val="20"/>
        </w:rPr>
        <w:t xml:space="preserve">or under the Financial Accounting Standards Board’s Liabilities &amp; Equity Project;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pPr>
      <w:r>
        <w:rPr>
          <w:rFonts w:ascii="Times New Roman" w:hAnsi="Times New Roman"/>
          <w:color w:val="000000"/>
          <w:sz w:val="20"/>
        </w:rPr>
        <w:t xml:space="preserve">it shall not take any action to reduce or decrease the number of authorized and unissued Shares below the sum of (i) the aggregate Number of Shares across all Transactions </w:t>
      </w:r>
      <w:r>
        <w:rPr>
          <w:rFonts w:ascii="Times New Roman" w:hAnsi="Times New Roman"/>
          <w:i/>
          <w:color w:val="000000"/>
          <w:sz w:val="20"/>
        </w:rPr>
        <w:t>plus</w:t>
      </w:r>
      <w:r>
        <w:rPr>
          <w:color w:val="000000"/>
        </w:rPr>
        <w:t xml:space="preserve"> </w:t>
      </w:r>
      <w:r>
        <w:rPr>
          <w:rFonts w:ascii="Times New Roman" w:hAnsi="Times New Roman"/>
          <w:color w:val="000000"/>
          <w:sz w:val="20"/>
        </w:rPr>
        <w:t xml:space="preserve">(ii) the total number of Shares issuable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0"/>
        </w:rPr>
        <w:t>upon settlement (whether by net share settlement or otherwise) of any other transaction or agreement to which it is a party;</w:t>
      </w:r>
      <w:r>
        <w:rPr>
          <w:color w:val="00000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will not repurchase any Shares if, immediately following such repurchase, the aggregate Number of Shares across all Transactions would be equal to or greater than 9.0% of the number of then-outstanding Shares and it will notify Party A immediately upon the announcement or consummation of any repurchase of Shares in an amount that, taken together with the amount of all repurchases since the date of the last such notice (or, if no such notice has been given, since the Trade Date), exceeds 0.5% of the number of then-outstanding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not entering into this Master Confirmation or any Supplemental Confirmation to create actual or apparent trading activity in the Shares (or any security convertible into or exchangeable for Shares), or to raise or depress or otherwise manipulate the price of the Shares (or any security convertible into or exchangeable for Shares) for the purpose of inducing the purchase or sale of the Shares (or any security convertible into or exchangeable for Shares) by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pPr>
      <w:r>
        <w:rPr>
          <w:rFonts w:ascii="Times New Roman" w:hAnsi="Times New Roman"/>
          <w:color w:val="000000"/>
          <w:sz w:val="20"/>
        </w:rPr>
        <w:t>it is not aware of any material non-public information regarding itself or the Shares; it is entering into this Master Confirmation (and any Supplemental Confirmation) and will provide any Settlement Notice in good faith and not as part of a plan or scheme to evade compliance with Rule 10b-5 or any other provision of the federal securities laws; it has not entered into or altered any hedging transaction relating to the Shares corresponding to or offsetting any Transaction; and it has consulted with its own advisors as to the legal aspects of its adoption and implementation of this Master Confirmation and any Supplemental Confirmations under Rule 10b5-1 under the Exchange Act (“</w:t>
      </w:r>
      <w:r>
        <w:rPr>
          <w:rFonts w:ascii="Times New Roman" w:hAnsi="Times New Roman"/>
          <w:b/>
          <w:color w:val="000000"/>
          <w:sz w:val="20"/>
        </w:rPr>
        <w:t>Rule 10b5-1</w:t>
      </w:r>
      <w:r>
        <w:rPr>
          <w:color w:val="000000"/>
        </w:rPr>
        <w:t>”</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pPr>
      <w:r>
        <w:rPr>
          <w:rFonts w:ascii="Times New Roman" w:hAnsi="Times New Roman"/>
          <w:color w:val="000000"/>
          <w:sz w:val="20"/>
        </w:rPr>
        <w:t xml:space="preserve">to its knowledge,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Party A or its affiliates owning or holding (however defined) Shares; </w:t>
      </w:r>
      <w:r>
        <w:rPr>
          <w:rFonts w:ascii="Times New Roman" w:hAnsi="Times New Roman"/>
          <w:i/>
          <w:color w:val="000000"/>
          <w:sz w:val="20"/>
        </w:rPr>
        <w:t>provided</w:t>
      </w:r>
      <w:r>
        <w:rPr>
          <w:color w:val="000000"/>
        </w:rPr>
        <w:t xml:space="preserve"> </w:t>
      </w:r>
      <w:r>
        <w:rPr>
          <w:rFonts w:ascii="Times New Roman" w:hAnsi="Times New Roman"/>
          <w:color w:val="000000"/>
          <w:sz w:val="20"/>
        </w:rPr>
        <w:t>that Party B makes no such representation or warranty regarding any such requirement that is applicable generally to the ownership of equity securities by Party 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any Trade Date and as of the date of any payment or delivery by Party B or Party A hereunder, it is not and will not be “insolvent” (as such term is defined under Section 101(32) of the Bankruptcy Code);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not, and after giving effect to the transactions contemplated hereby will not be, required to register as an “investment company” as such term is defined in the Investment Company Act of 1940, as amended;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 is an “institutional account” as defined in FINRA Rule 4512(c); and (ii) is capable of evaluating investment risks independently, both in general and with regard to all transactions and investment strategies involving a security or securities, and will exercise independent judgment in evaluating any recommendations of Party A or its associated persons;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(j)</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ownership positions held by Party A or any of its affiliates solely in its capacity as a nominee or fiduciary do not constitute “ownership” by Party A, and Party A shall not be deemed or treated as the “owner” of such positions for purposes of the Issuer’s Articles of Incorporation;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UNDERSTANDS THAT THE TRANSACTIONS ARE SUBJECT TO COMPLEX RISKS WHICH MAY ARISE WITHOUT WARNING AND MAY AT TIMES BE VOLATILE AND THAT LOSSES MAY OCCUR QUICKLY AND IN UNANTICIPATED MAGNITUDE AND IS WILLING TO ACCEPT SUCH TERMS AND CONDITIONS AND ASSUME (FINANCIALLY AND OTHERWISE) SUCH RISKS.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both"/>
        <w:rPr/>
      </w:pPr>
      <w:r>
        <w:rPr>
          <w:rFonts w:ascii="Times New Roman" w:hAnsi="Times New Roman"/>
          <w:color w:val="000000"/>
          <w:sz w:val="20"/>
          <w:u w:val="single"/>
        </w:rPr>
        <w:t>Additional Covenants of Party B</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Party B acknowledges and agrees that any Shares delivered by Party B to Party A on any Settlement Date or Net Share Settlement Date will be (i) newly issued, (ii) approved for listing or quotation on the Exchange, subject to official notice of issuance, and (iii) registered under the Exchange Act, and, when delivered by Party A (or an affiliate of Party A) to securities lenders from whom Party A (or an affiliate of Party A) borrowed Shares in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0"/>
        </w:rPr>
        <w:t>connection with hedging its exposure to any Transaction, will be freely saleable without further registration or other restrictions under the Securities Act in the hands of those securities lenders, irrespective of whether any such stock loan is effected by Party A or an affiliate of Party A. Accordingly, Party B agrees that any Shares so delivered will not bear a restrictive legend and will be deposited in, and the delivery thereof shall be effected through the facilities of, the Clearance System. In addition, Party B represents and agrees that any such Shares shall be, upon such delivery, duly and validly authorized, issued and outstanding, fully paid and nonassessable, free of any lien, charge, claim or other encumbrance.</w:t>
      </w:r>
      <w:r>
        <w:rPr>
          <w:color w:val="00000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Party B agrees that Party B shall not enter into or alter any hedging transaction relating to the Shares corresponding to or offsetting any Transaction. Without limiting the generality of the provisions set forth opposite the caption “Unwind Activities” in Section 2 of this Master Confirmation, Party B acknowledges that it has no right to, and agrees that it will not seek to, control or influence Party A’s decision to make any “purchases or sales” (within the meaning of Rule 10b5-1(c)(1)(i)(B)(3)) under or in connection with any Transaction, including, without limitation, Party A’s decision to enter into any hedging transactions.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Party B acknowledges and agrees that any amendment, modification, waiver or termination of this Master Confirmation or any Supplemental Confirmation must be effected in accordance with the requirements for the amendment or termination of a “plan” as defined in Rule 10b5-1(c). Without limiting the generality of the foregoing, any such amendment, modification, waiver or termination shall be made in good faith and not as part of a plan or scheme to evade the prohibitions of Rule 10b-5, and no such amendment, modification or waiver shall be made at any time at which Party B or any officer, director, manager or similar person of Party B is aware of any material non-public information regarding Party B or the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Party B shall promptly provide notice thereof to Party A (i) upon the occurrence of any event that would constitute an Event of Default or a Termination Event in respect of which Party B is a Defaulting Party or an Affected Party, as the case may be, and (ii) upon announcement of any event that, if consummated, would constitute an Extraordinary Event or Potential Adjustment Event.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pPr>
      <w:r>
        <w:rPr>
          <w:rFonts w:ascii="Times New Roman" w:hAnsi="Times New Roman"/>
          <w:color w:val="000000"/>
          <w:sz w:val="20"/>
        </w:rPr>
        <w:t>Neither Party B nor any of its “affiliated purchasers” (as defined by Rule 10b-18 under the Exchange Act (“</w:t>
      </w:r>
      <w:r>
        <w:rPr>
          <w:rFonts w:ascii="Times New Roman" w:hAnsi="Times New Roman"/>
          <w:b/>
          <w:color w:val="000000"/>
          <w:sz w:val="20"/>
        </w:rPr>
        <w:t>Rule 10b-18</w:t>
      </w:r>
      <w:r>
        <w:rPr>
          <w:color w:val="000000"/>
        </w:rPr>
        <w:t>”</w:t>
      </w:r>
      <w:r>
        <w:rPr>
          <w:rFonts w:ascii="Times New Roman" w:hAnsi="Times New Roman"/>
          <w:color w:val="000000"/>
          <w:sz w:val="20"/>
        </w:rPr>
        <w:t>)) shall take any action that would cause any purchases of Shares by Party A or any of its Affiliates in connection with any Cash Settlement or Net Share Settlement of any Transaction not to meet the requirements of the safe harbor provided by Rule 10b-18 if such purchases were made by Party B. Without limiting the generality of the foregoing, during any Unwind Period, except with the prior written consent of Party A, Party B will not, and will cause its affiliated purchasers (as defined in Rule 10b-18) not to, directly or indirectly (including, without limitation, by means of a derivative instrument) purchase, offer to purchase, place any bid or limit order that would effect a purchase of, or announce or commence any tender offer relating to, any Shares (or equivalent interest, including a unit of beneficial interest in a trust or limited partnership or a depository share) or any security convertible into or exchangeable for the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pPr>
      <w:r>
        <w:rPr>
          <w:rFonts w:ascii="Times New Roman" w:hAnsi="Times New Roman"/>
          <w:color w:val="000000"/>
          <w:sz w:val="20"/>
        </w:rPr>
        <w:t>Party B will not be subject to any “restricted period” (as such term is defined in Regulation M promulgated under the Exchange Act (“</w:t>
      </w:r>
      <w:r>
        <w:rPr>
          <w:rFonts w:ascii="Times New Roman" w:hAnsi="Times New Roman"/>
          <w:b/>
          <w:color w:val="000000"/>
          <w:sz w:val="20"/>
        </w:rPr>
        <w:t>Regulation M</w:t>
      </w:r>
      <w:r>
        <w:rPr>
          <w:color w:val="000000"/>
        </w:rPr>
        <w:t>”</w:t>
      </w:r>
      <w:r>
        <w:rPr>
          <w:rFonts w:ascii="Times New Roman" w:hAnsi="Times New Roman"/>
          <w:color w:val="000000"/>
          <w:sz w:val="20"/>
        </w:rPr>
        <w:t>)) in respect of Shares or any security with respect to which the Shares are a “reference security” (as such term is defined in Regulation M) during any Unwind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Party B shall: (i) prior to the opening of trading in the Shares on any day on which Party B makes, or expects to be made, any public announcement (as defined in Rule 165(f) under the Securities Act) of any Merger Transaction, notify Party A of such public announcement; (ii) promptly notify Party A following any such announcement that such announcement has been made; (iii) promptly (but in any event prior to the next opening of the regular trading session on the Exchange) provide Party A with written notice specifying (A) Party B’s average daily Rule 10b-18 Purchases (as defined in Rule 10b-18) during the three full calendar months immediately preceding the announcement date for the Merger Transaction that were not effected through Party A or its affiliates and (B) the number of Shares purchased pursuant to the proviso in Rule 10b-18(b)(4) under the Exchange Act for the three full calendar months preceding such announcement date. Such written notice shall be deemed to be a certification by Party B to Party A that such information is true and correct. In addition, Party B shall promptly notify Party A of the earlier to occur of the completion of such transaction and the completion of the vote by target shareholders. Party B acknowledges that any such notice may result in a Regulatory Disruption, a Trading Condition or, if such notice relates to an event that is also an ISDA Event, an Early Valuation, or may affect the length of any ongoing Unwind Period;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0"/>
        </w:rPr>
        <w:t>accordingly, Party B acknowledges that its delivery of such notice must comply with the standards set forth in Section 6(c) above. “</w:t>
      </w:r>
      <w:r>
        <w:rPr>
          <w:rFonts w:ascii="Times New Roman" w:hAnsi="Times New Roman"/>
          <w:b/>
          <w:color w:val="000000"/>
          <w:sz w:val="20"/>
        </w:rPr>
        <w:t>Merger Transaction</w:t>
      </w:r>
      <w:r>
        <w:rPr>
          <w:color w:val="000000"/>
        </w:rPr>
        <w:t xml:space="preserve">” </w:t>
      </w:r>
      <w:r>
        <w:rPr>
          <w:rFonts w:ascii="Times New Roman" w:hAnsi="Times New Roman"/>
          <w:color w:val="000000"/>
          <w:sz w:val="20"/>
        </w:rPr>
        <w:t>means any merger, acquisition or similar transaction involving a recapitalization as contemplated by Rule 10b-18(a)(13)(iv) under the Exchange Act. For the avoidance of doubt, a Merger Transaction or the announcement thereof shall not give either party the right to designate an Early Valuation Date and/or to accelerate or preclude an election by Party B of Physical Settlement, unless such Merger Transaction or the announcement thereof is also an ISDA Event.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Party B shall promptly execute any Supplemental Confirmation delivered to Party B by Party 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both"/>
        <w:rPr/>
      </w:pPr>
      <w:r>
        <w:rPr>
          <w:rFonts w:ascii="Times New Roman" w:hAnsi="Times New Roman"/>
          <w:color w:val="000000"/>
          <w:sz w:val="20"/>
          <w:u w:val="single"/>
        </w:rPr>
        <w:t>Termination on Bankruptcy</w:t>
      </w:r>
      <w:r>
        <w:rPr>
          <w:rFonts w:ascii="Times New Roman" w:hAnsi="Times New Roman"/>
          <w:color w:val="000000"/>
          <w:sz w:val="20"/>
        </w:rPr>
        <w:t>. The parties hereto agree that, notwithstanding anything to the contrary in the Agreement or the Equity Definitions, each Transaction constitutes a contract to issue a security of Party B as contemplated by Section 365(c)(2) of the Bankruptcy Code and that each Transaction and the obligations and rights of Party B and Party A thereunder (except for any liability as a result of breach of any of the representations or warranties provided by Party B in Section 4 or Section 5 above) shall immediately terminate, without the necessity of any notice, payment (whether directly, by netting or otherwise) or other action by Party B or Party A, if, on or prior to the final Settlement Date, Cash Settlement Payment Date or Net Share Settlement Date of any Transaction, an Insolvency Filing occurs or any other proceeding commences with respect to Party B under the Bankruptcy Code (a “</w:t>
      </w:r>
      <w:r>
        <w:rPr>
          <w:rFonts w:ascii="Times New Roman" w:hAnsi="Times New Roman"/>
          <w:b/>
          <w:color w:val="000000"/>
          <w:sz w:val="20"/>
        </w:rPr>
        <w:t>Bankruptcy Termination Event</w:t>
      </w:r>
      <w:r>
        <w:rPr>
          <w:color w:val="000000"/>
        </w:rPr>
        <w: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both"/>
        <w:rPr/>
      </w:pPr>
      <w:r>
        <w:rPr>
          <w:rFonts w:ascii="Times New Roman" w:hAnsi="Times New Roman"/>
          <w:color w:val="000000"/>
          <w:sz w:val="20"/>
          <w:u w:val="single"/>
        </w:rPr>
        <w:t>Additional Provisions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 Party A acknowledges and agrees that Party B’s obligations under the Transactions are not secured by any collateral and that neither this Master Confirmation not any Supplemental Confirmations are not intended to convey to Party A rights with respect to the transactions contemplated hereby that are senior to the claims of common stockholders in any U.S. bankruptcy proceedings of Party B; </w:t>
      </w:r>
      <w:r>
        <w:rPr>
          <w:rFonts w:ascii="Times New Roman" w:hAnsi="Times New Roman"/>
          <w:i/>
          <w:color w:val="000000"/>
          <w:sz w:val="20"/>
        </w:rPr>
        <w:t>provided</w:t>
      </w:r>
      <w:r>
        <w:rPr>
          <w:rFonts w:ascii="Times New Roman" w:hAnsi="Times New Roman"/>
          <w:color w:val="000000"/>
          <w:sz w:val="20"/>
        </w:rPr>
        <w:t xml:space="preserve"> that nothing herein shall limit or shall be deemed to limit Party A’s right to pursue remedies in the event of a breach by Party B of its obligations and agreements with respect to this Master Confirmation, any Supplemental Confirmation or the Agreement; </w:t>
      </w:r>
      <w:r>
        <w:rPr>
          <w:rFonts w:ascii="Times New Roman" w:hAnsi="Times New Roman"/>
          <w:i/>
          <w:color w:val="000000"/>
          <w:sz w:val="20"/>
        </w:rPr>
        <w:t>provided further</w:t>
      </w:r>
      <w:r>
        <w:rPr>
          <w:rFonts w:ascii="Times New Roman" w:hAnsi="Times New Roman"/>
          <w:color w:val="000000"/>
          <w:sz w:val="20"/>
        </w:rPr>
        <w:t xml:space="preserve"> that nothing herein shall limit or shall be deemed to limit Party A’s rights in respect of any transaction other than the Transactions to which this Master Confirmation relates.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[Reserved]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parties hereto intend for:</w:t>
      </w:r>
    </w:p>
    <w:p>
      <w:pPr>
        <w:pStyle w:val="TextBody"/>
        <w:bidi w:val="0"/>
        <w:jc w:val="both"/>
        <w:rPr>
          <w:rFonts w:ascii="Times New Roman" w:hAnsi="Times New Roman"/>
          <w:color w:val="000000"/>
          <w:sz w:val="20"/>
        </w:rPr>
      </w:pPr>
      <w:r>
        <w:rPr>
          <w:rFonts w:ascii="Times New Roman" w:hAnsi="Times New Roman"/>
          <w:color w:val="000000"/>
          <w:sz w:val="20"/>
        </w:rPr>
        <w:t>(i) each Transaction to be a “securities contract” as defined in Section 741(7) of the Bankruptcy Code, and the parties hereto to be entitled to the protections afforded by, among other Sections, Sections 362(b)(6), 362(b)(27), 362(o), 546(e), 546(j), 555 and 561 of the Bankruptcy Code;</w:t>
      </w:r>
    </w:p>
    <w:p>
      <w:pPr>
        <w:pStyle w:val="TextBody"/>
        <w:bidi w:val="0"/>
        <w:jc w:val="both"/>
        <w:rPr>
          <w:rFonts w:ascii="Times New Roman" w:hAnsi="Times New Roman"/>
          <w:color w:val="000000"/>
          <w:sz w:val="20"/>
        </w:rPr>
      </w:pPr>
      <w:r>
        <w:rPr>
          <w:rFonts w:ascii="Times New Roman" w:hAnsi="Times New Roman"/>
          <w:color w:val="000000"/>
          <w:sz w:val="20"/>
        </w:rPr>
        <w:t>(ii) the rights given to Party A pursuant to “Early Valuation” in Section 2 above to constitute “contractual rights” to cause the liquidation of a “securities contract” and to set off mutual debts and claims in connection with a “securities contract”, as such terms are used in Sections 555 and 362(b)(6) of the Bankruptcy Code;</w:t>
      </w:r>
    </w:p>
    <w:p>
      <w:pPr>
        <w:pStyle w:val="TextBody"/>
        <w:bidi w:val="0"/>
        <w:jc w:val="both"/>
        <w:rPr>
          <w:rFonts w:ascii="Times New Roman" w:hAnsi="Times New Roman"/>
          <w:color w:val="000000"/>
          <w:sz w:val="20"/>
        </w:rPr>
      </w:pPr>
      <w:r>
        <w:rPr>
          <w:rFonts w:ascii="Times New Roman" w:hAnsi="Times New Roman"/>
          <w:color w:val="000000"/>
          <w:sz w:val="20"/>
        </w:rPr>
        <w:t>(iii) any cash, securities or other property provided as performance assurance, credit support or collateral with respect to any Transaction to constitute “margin payments” and “transfers” under a “securities contract” as defined in the Bankruptcy Code;</w:t>
      </w:r>
    </w:p>
    <w:p>
      <w:pPr>
        <w:pStyle w:val="TextBody"/>
        <w:bidi w:val="0"/>
        <w:jc w:val="both"/>
        <w:rPr>
          <w:rFonts w:ascii="Times New Roman" w:hAnsi="Times New Roman"/>
          <w:color w:val="000000"/>
          <w:sz w:val="20"/>
        </w:rPr>
      </w:pPr>
      <w:r>
        <w:rPr>
          <w:rFonts w:ascii="Times New Roman" w:hAnsi="Times New Roman"/>
          <w:color w:val="000000"/>
          <w:sz w:val="20"/>
        </w:rPr>
        <w:t>(iv) all payments for, under or in connection with any Transaction, all payments for Shares and the transfer of Shares to constitute “settlement payments” and “transfers” under a “securities contract” as defined in the Bankruptcy Code; and</w:t>
      </w:r>
    </w:p>
    <w:p>
      <w:pPr>
        <w:pStyle w:val="TextBody"/>
        <w:bidi w:val="0"/>
        <w:jc w:val="both"/>
        <w:rPr>
          <w:rFonts w:ascii="Times New Roman" w:hAnsi="Times New Roman"/>
          <w:color w:val="000000"/>
          <w:sz w:val="20"/>
        </w:rPr>
      </w:pPr>
      <w:r>
        <w:rPr>
          <w:rFonts w:ascii="Times New Roman" w:hAnsi="Times New Roman"/>
          <w:color w:val="000000"/>
          <w:sz w:val="20"/>
        </w:rPr>
        <w:t>(v) any or all obligations that either party has with respect to this Master Confirmation, any Supplemental Confirmation or the Agreement to constitute property held by or due from such party to margin, guaranty or settle obligations of the other party with respect to the transactions under the Agreement (including the Transactions) or any other agreement between such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pPr>
      <w:r>
        <w:rPr>
          <w:rFonts w:ascii="Times New Roman" w:hAnsi="Times New Roman"/>
          <w:color w:val="000000"/>
          <w:sz w:val="20"/>
        </w:rPr>
        <w:t>Notwithstanding any other provision of the Agreement, this Master Confirmation or any Supplemental Confirmation, in no event will Party B be required to deliver in the aggregate in respect of all Settlement Dates, Net Share Settlement Dates or other dates on which Shares are delivered in respect of any amount owed under a Transaction a number of Shares greater than 1.25 times the Number of Shares for such Transaction as of the Trade Date for such Transaction (the “</w:t>
      </w:r>
      <w:r>
        <w:rPr>
          <w:rFonts w:ascii="Times New Roman" w:hAnsi="Times New Roman"/>
          <w:b/>
          <w:color w:val="000000"/>
          <w:sz w:val="20"/>
        </w:rPr>
        <w:t>Capped Number</w:t>
      </w:r>
      <w:r>
        <w:rPr>
          <w:color w:val="000000"/>
        </w:rPr>
        <w:t>”</w:t>
      </w:r>
      <w:r>
        <w:rPr>
          <w:rFonts w:ascii="Times New Roman" w:hAnsi="Times New Roman"/>
          <w:color w:val="000000"/>
          <w:sz w:val="20"/>
        </w:rPr>
        <w:t xml:space="preserve">). The Capped Number shall be subject to adjustment only on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0"/>
        </w:rPr>
        <w:t>account of (x) Potential Adjustment Events of the type specified in (1) Sections 11.2(e)(i) through (vi) of the Equity Definitions or (2) Section 11.2(e)(vii) of the Equity Definitions so long as, in the case of this sub-clause (2), such event is within Issuer’s control, (y) Merger Events requiring corporate action of Issuer (or any surviving entity of the Issuer hereunder in connection with any such Merger Event) and (z) Announcement Events that are not outside Issuer’s control. Party B represents and warrants to Party A (which representation and warranty shall be deemed to be repeated on each day that any Transaction is outstanding) that the aggregate Capped Number of the Transactions is equal to or less than the number of authorized but unissued Shares that are not reserved for future issuance in connection with transactions in the Shares (other than the Transactions) on the date of the determination of the Capped Number (such Shares, the “</w:t>
      </w:r>
      <w:r>
        <w:rPr>
          <w:rFonts w:ascii="Times New Roman" w:hAnsi="Times New Roman"/>
          <w:b/>
          <w:color w:val="000000"/>
          <w:sz w:val="20"/>
        </w:rPr>
        <w:t>Available Shares</w:t>
      </w:r>
      <w:r>
        <w:rPr>
          <w:color w:val="000000"/>
        </w:rPr>
        <w:t>”</w:t>
      </w:r>
      <w:r>
        <w:rPr>
          <w:rFonts w:ascii="Times New Roman" w:hAnsi="Times New Roman"/>
          <w:color w:val="000000"/>
          <w:sz w:val="20"/>
        </w:rPr>
        <w:t>). In the event Party B shall not have delivered the full number of Shares otherwise deliverable as a result of this Section 8(d) (the resulting deficit, the “</w:t>
      </w:r>
      <w:r>
        <w:rPr>
          <w:rFonts w:ascii="Times New Roman" w:hAnsi="Times New Roman"/>
          <w:b/>
          <w:color w:val="000000"/>
          <w:sz w:val="20"/>
        </w:rPr>
        <w:t>Deficit Shares</w:t>
      </w:r>
      <w:r>
        <w:rPr>
          <w:color w:val="000000"/>
        </w:rPr>
        <w:t>”</w:t>
      </w:r>
      <w:r>
        <w:rPr>
          <w:rFonts w:ascii="Times New Roman" w:hAnsi="Times New Roman"/>
          <w:color w:val="000000"/>
          <w:sz w:val="20"/>
        </w:rPr>
        <w:t>), Party B shall be continually obligated to deliver Shares, from time to time until the full number of Deficit Shares have been delivered pursuant to this paragraph, when, and to the extent that, (A) Shares are repurchased, acquired or otherwise received by Party B or any of its subsidiaries after the applicable Trade Date (whether or not in exchange for cash, fair value or any other consideration), (B) authorized and unissued Shares reserved for issuance in respect of other transactions prior to such date which prior to the relevant date become no longer so reserved and (C) Party B additionally authorizes any unissued Shares that are not reserved for other transactions (such events as set forth in clauses (A), (B) and (C) above, collectively, the “</w:t>
      </w:r>
      <w:r>
        <w:rPr>
          <w:rFonts w:ascii="Times New Roman" w:hAnsi="Times New Roman"/>
          <w:b/>
          <w:color w:val="000000"/>
          <w:sz w:val="20"/>
        </w:rPr>
        <w:t>Share Issuance Events</w:t>
      </w:r>
      <w:r>
        <w:rPr>
          <w:color w:val="000000"/>
        </w:rPr>
        <w:t>”</w:t>
      </w:r>
      <w:r>
        <w:rPr>
          <w:rFonts w:ascii="Times New Roman" w:hAnsi="Times New Roman"/>
          <w:color w:val="000000"/>
          <w:sz w:val="20"/>
        </w:rPr>
        <w:t>). Party B shall promptly notify Party A of the occurrence of any of the Share Issuance Events (including the number of Shares subject to clause (A), (B) or (C) and the corresponding number of Shares to be delivered) and, as promptly as reasonably practicable, deliver such Shares thereafter. Party B shall not, until Party B’s obligations under each Transaction have been satisfied in full, use any Shares that become available for potential delivery to Party A as a result of any Share Issuance Event for the settlement or satisfaction of any transaction or obligation other than the Transactions or reserve any such Shares for future issuance for any purpose other than to satisfy Party B’s obligations to Party A under the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pPr>
      <w:r>
        <w:rPr>
          <w:rFonts w:ascii="Times New Roman" w:hAnsi="Times New Roman"/>
          <w:color w:val="000000"/>
          <w:sz w:val="20"/>
        </w:rPr>
        <w:t>The parties intend for this Master Confirmation and each Supplemental Confirmation to constitute a “Contract” as described in the letter dated October 6, 2003 submitted on behalf of Goldman, Sachs &amp; Co. to Paula Dubberly of the staff of the Securities and Exchange Commission (the “</w:t>
      </w:r>
      <w:r>
        <w:rPr>
          <w:rFonts w:ascii="Times New Roman" w:hAnsi="Times New Roman"/>
          <w:b/>
          <w:color w:val="000000"/>
          <w:sz w:val="20"/>
        </w:rPr>
        <w:t>Staff</w:t>
      </w:r>
      <w:r>
        <w:rPr>
          <w:color w:val="000000"/>
        </w:rPr>
        <w:t>”</w:t>
      </w:r>
      <w:r>
        <w:rPr>
          <w:rFonts w:ascii="Times New Roman" w:hAnsi="Times New Roman"/>
          <w:color w:val="000000"/>
          <w:sz w:val="20"/>
        </w:rPr>
        <w:t>) to which the Staff responded in an interpretive letter dated October 9, 2003.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parties intend for each Transaction (taking into account purchases of Shares in connection with any Cash Settlement or Net Share Settlement of any Transaction) to comply with the requirements of Rule 10b5-1(c)(1)(i)(A) under the Exchange Act and for this Master Confirmation and each Supplemental Confirmation to constitute a binding contract or instruction satisfying the requirements of 10b5-1(c) and to be interpreted to comply with the requirements of Rule 10b5-1(c).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[Notwithstanding any provisions of the Agreement, all communications relating to any Transaction or the Agreement shall be transmitted exclusively through Party A at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Party B acknowledges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term of any Transaction, Party A and its affiliates may buy or sell Shares or other securities or buy or sell options or futures contracts or enter into swaps or other derivative securities in order to establish, adjust or unwind its hedge position with respect to any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Party A and its affiliates may also be active in the market for the Shares and derivatives linked to the Shares other than in connection with hedging activities in relation to any Transaction, including acting as agent or as principal and for its own account or on behalf of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Party A shall make its own determination as to whether, when or in what manner any hedging or market activities in Party B’s securities shall be conducted and shall do so in a manner that it deems appropriate to hedge its price and market risk with respect to the Forward Price and the Settlement Price of any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(iv)</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market activities of Party A and its affiliates with respect to the Shares may affect the market price and volatility of the Shares, as well as the Forward Price and the Settlement Price of any Transaction, each in a manner that may be adverse to Party B; and</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Transaction is a derivatives transaction; Party A may purchase or sell shares for its own account at an average price that may be greater than, or less than, the price received by Party B under the terms of any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240" w:after="283"/>
        <w:jc w:val="both"/>
        <w:rPr/>
      </w:pPr>
      <w:r>
        <w:rPr>
          <w:rFonts w:ascii="Times New Roman" w:hAnsi="Times New Roman"/>
          <w:color w:val="000000"/>
          <w:sz w:val="20"/>
          <w:u w:val="single"/>
        </w:rPr>
        <w:t>Indemnification</w:t>
      </w:r>
      <w:r>
        <w:rPr>
          <w:rFonts w:ascii="Times New Roman" w:hAnsi="Times New Roman"/>
          <w:color w:val="000000"/>
          <w:sz w:val="20"/>
        </w:rPr>
        <w:t>. Party B agrees to indemnify and hold harmless Party A, its affiliates and its assignees and their respective directors, officers, employees, agents and controlling persons (Party A and each such person being an “</w:t>
      </w:r>
      <w:r>
        <w:rPr>
          <w:rFonts w:ascii="Times New Roman" w:hAnsi="Times New Roman"/>
          <w:b/>
          <w:color w:val="000000"/>
          <w:sz w:val="20"/>
        </w:rPr>
        <w:t>Indemnified Party</w:t>
      </w:r>
      <w:r>
        <w:rPr>
          <w:color w:val="000000"/>
        </w:rPr>
        <w:t>”</w:t>
      </w:r>
      <w:r>
        <w:rPr>
          <w:rFonts w:ascii="Times New Roman" w:hAnsi="Times New Roman"/>
          <w:color w:val="000000"/>
          <w:sz w:val="20"/>
        </w:rPr>
        <w:t>) from and against any and all losses (excluding, for the avoidance of doubt, financial losses resulting from the economic terms of any Transaction), claims, damages and liabilities (or actions in respect thereof), joint or several, incurred by or asserted against such Indemnified Party arising out of any breach of any covenant or representation made by Party B in this Master Confirmation, any Supplemental Confirmation or the Agreement. Party B will not be liable under the foregoing indemnification provision to the extent that any loss, claim, damage, liability or expense is found in a nonappealable judgment by a court of competent jurisdiction to have resulted from Party A’s willful misconduct, gross negligence or bad faith in performing the services that are subject of any Transaction. If for any reason the foregoing indemnification is unavailable to any Indemnified Party or insufficient to hold harmless any Indemnified Party, then Party B shall contribute, to the maximum extent permitted by law, to the amount paid or payable by the Indemnified Party as a result of such loss, claim, damage or liability. In addition, Party B will reimburse any Indemnified Party for all reasonable expenses (including reasonable counsel fees and expenses) as they are incurred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Party B. Party B also agrees that no Indemnified Party shall have any liability to Party B or any person asserting claims on behalf of or in right of Party B in connection with or as a result of any matter referred to in this Master Confirmation or any Supplemental Confirmation except to the extent that any losses, claims, damages, liabilities or expenses incurred by Party B result from the gross negligence, willful misconduct or bad faith of the Indemnified Party. The provisions of this Section 9 shall survive the completion of the Transactions contemplated by this Master Confirmation and any Supplemental Confirmation and any assignment and/or delegation of any Transaction made pursuant to the Agreement or this Master Confirmation (or any Supplemental Confirmation) shall inure to the benefit of any permitted assignee of Party A. For the avoidance of doubt, any payments due as a result of this provision may not be used to set off any obligation of Party A upon settlement of any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240" w:after="283"/>
        <w:jc w:val="both"/>
        <w:rPr/>
      </w:pPr>
      <w:r>
        <w:rPr>
          <w:rFonts w:ascii="Times New Roman" w:hAnsi="Times New Roman"/>
          <w:color w:val="000000"/>
          <w:sz w:val="20"/>
          <w:u w:val="single"/>
        </w:rPr>
        <w:t>Beneficial Ownership</w:t>
      </w:r>
      <w:r>
        <w:rPr>
          <w:rFonts w:ascii="Times New Roman" w:hAnsi="Times New Roman"/>
          <w:color w:val="000000"/>
          <w:sz w:val="20"/>
        </w:rPr>
        <w:t>. Notwithstanding anything to the contrary in the Agreement, this Master Confirmation or any Supplemental Confirmation, in no event shall Party A be entitled to receive, or be deemed to receive, Shares to the extent that, (i) upon such receipt of such Shares, the “beneficial ownership” (within the meaning of Section 13(d) of the Exchange Act and the rules promulgated thereunder) of Shares by Party A, any other person that would have beneficial ownership of such Shares (any such person, an “</w:t>
      </w:r>
      <w:r>
        <w:rPr>
          <w:rFonts w:ascii="Times New Roman" w:hAnsi="Times New Roman"/>
          <w:b/>
          <w:color w:val="000000"/>
          <w:sz w:val="20"/>
        </w:rPr>
        <w:t>Additional Owner</w:t>
      </w:r>
      <w:r>
        <w:rPr>
          <w:rFonts w:ascii="Times New Roman" w:hAnsi="Times New Roman"/>
          <w:color w:val="000000"/>
          <w:sz w:val="20"/>
        </w:rPr>
        <w:t>,” which shall include without limitation any of Party’s affiliates’ business units subject to aggregation with Party A for purposes of the “beneficial ownership” test under Section 13(d) of the Exchange Act), or any “group” (within the meaning of Rule 13d-5(b)(1) under the Exchange Act) of which Party A or any Additional Owner is a member (any such group, a “</w:t>
      </w:r>
      <w:r>
        <w:rPr>
          <w:rFonts w:ascii="Times New Roman" w:hAnsi="Times New Roman"/>
          <w:b/>
          <w:color w:val="000000"/>
          <w:sz w:val="20"/>
        </w:rPr>
        <w:t>Party A Group</w:t>
      </w:r>
      <w:r>
        <w:rPr>
          <w:color w:val="000000"/>
        </w:rPr>
        <w:t>”</w:t>
      </w:r>
      <w:r>
        <w:rPr>
          <w:rFonts w:ascii="Times New Roman" w:hAnsi="Times New Roman"/>
          <w:color w:val="000000"/>
          <w:sz w:val="20"/>
        </w:rPr>
        <w:t>), would be equal to or greater than 4.5% of the outstanding Shares (such condition, an “</w:t>
      </w:r>
      <w:r>
        <w:rPr>
          <w:rFonts w:ascii="Times New Roman" w:hAnsi="Times New Roman"/>
          <w:b/>
          <w:color w:val="000000"/>
          <w:sz w:val="20"/>
        </w:rPr>
        <w:t>Excess Ownership Position</w:t>
      </w:r>
      <w:r>
        <w:rPr>
          <w:color w:val="000000"/>
        </w:rPr>
        <w:t>”</w:t>
      </w:r>
      <w:r>
        <w:rPr>
          <w:rFonts w:ascii="Times New Roman" w:hAnsi="Times New Roman"/>
          <w:color w:val="000000"/>
          <w:sz w:val="20"/>
        </w:rPr>
        <w:t>), (ii) the receipt of such Shares would result in a violation of any restriction on ownership and transfer set forth in Section 6.2.1(a) of Party B’s Amended and Restated Articles of Amendment and Restatement, taking into account any waivers that are then in effect (such condition, the “</w:t>
      </w:r>
      <w:r>
        <w:rPr>
          <w:rFonts w:ascii="Times New Roman" w:hAnsi="Times New Roman"/>
          <w:b/>
          <w:color w:val="000000"/>
          <w:sz w:val="20"/>
        </w:rPr>
        <w:t>Excess Charter Ownership Position</w:t>
      </w:r>
      <w:r>
        <w:rPr>
          <w:color w:val="000000"/>
        </w:rPr>
        <w:t>”</w:t>
      </w:r>
      <w:r>
        <w:rPr>
          <w:rFonts w:ascii="Times New Roman" w:hAnsi="Times New Roman"/>
          <w:color w:val="000000"/>
          <w:sz w:val="20"/>
        </w:rPr>
        <w:t>) or (iii) upon such receipt of such Shares, Party A, any Party A Group or any Additional Owner (any of Party A, any Party A Group or any Additional Owner, a “</w:t>
      </w:r>
      <w:r>
        <w:rPr>
          <w:rFonts w:ascii="Times New Roman" w:hAnsi="Times New Roman"/>
          <w:b/>
          <w:color w:val="000000"/>
          <w:sz w:val="20"/>
        </w:rPr>
        <w:t>Party A Person</w:t>
      </w:r>
      <w:r>
        <w:rPr>
          <w:color w:val="000000"/>
        </w:rPr>
        <w:t>”</w:t>
      </w:r>
      <w:r>
        <w:rPr>
          <w:rFonts w:ascii="Times New Roman" w:hAnsi="Times New Roman"/>
          <w:color w:val="000000"/>
          <w:sz w:val="20"/>
        </w:rPr>
        <w:t>) under Sections 3-601 through 3-603 of the Maryland Code (Corporations and Associations) or any state or federal bank holding company or banking laws, or any federal, state or local laws, regulations or regulatory orders applicable to ownership of Shares (“</w:t>
      </w:r>
      <w:r>
        <w:rPr>
          <w:rFonts w:ascii="Times New Roman" w:hAnsi="Times New Roman"/>
          <w:b/>
          <w:color w:val="000000"/>
          <w:sz w:val="20"/>
        </w:rPr>
        <w:t>Applicable Laws</w:t>
      </w:r>
      <w:r>
        <w:rPr>
          <w:color w:val="000000"/>
        </w:rPr>
        <w:t>”</w:t>
      </w:r>
      <w:r>
        <w:rPr>
          <w:rFonts w:ascii="Times New Roman" w:hAnsi="Times New Roman"/>
          <w:color w:val="000000"/>
          <w:sz w:val="20"/>
        </w:rPr>
        <w:t xml:space="preserve">), would own, beneficially own, constructively own, control, hold the power to vote or otherwise meet a relevant definition of ownership in excess of a number of Shares equal to (x) the lesser of (A) the maximum number of Shares that would be permitted under Applicable Laws and (B) the number of Shares that would give rise to reporting or registration obligations or other requirements (including obtaining prior approval by a state or federal regulator) of a Party A Person under Applicable Laws and with respect to which such requirements have not been met or the relevant approval has not been received or that would give rise to any consequences under the constitutive documents of Party B) or any contract or agreement to which Party B is a party, in each case </w:t>
      </w:r>
      <w:r>
        <w:rPr>
          <w:rFonts w:ascii="Times New Roman" w:hAnsi="Times New Roman"/>
          <w:i/>
          <w:color w:val="000000"/>
          <w:sz w:val="20"/>
        </w:rPr>
        <w:t>minus</w:t>
      </w:r>
      <w:r>
        <w:rPr>
          <w:color w:val="000000"/>
        </w:rPr>
        <w:t xml:space="preserve"> </w:t>
      </w:r>
      <w:r>
        <w:rPr>
          <w:rFonts w:ascii="Times New Roman" w:hAnsi="Times New Roman"/>
          <w:color w:val="000000"/>
          <w:sz w:val="20"/>
        </w:rPr>
        <w:t>(y) 1% of the number of Shares outstanding on the date of determination (such condition described in clause (iii), an “</w:t>
      </w:r>
      <w:r>
        <w:rPr>
          <w:rFonts w:ascii="Times New Roman" w:hAnsi="Times New Roman"/>
          <w:b/>
          <w:color w:val="000000"/>
          <w:sz w:val="20"/>
        </w:rPr>
        <w:t>Excess Regulatory Ownership Position</w:t>
      </w:r>
      <w:r>
        <w:rPr>
          <w:color w:val="000000"/>
        </w:rPr>
        <w:t>”</w:t>
      </w:r>
      <w:r>
        <w:rPr>
          <w:rFonts w:ascii="Times New Roman" w:hAnsi="Times New Roman"/>
          <w:color w:val="000000"/>
          <w:sz w:val="20"/>
        </w:rPr>
        <w:t xml:space="preserve">). If any delivery owed to Party A hereunder is not made, in whole or in part, as a result of this provision, (i) Party B’s obligation to make such delivery shall not be extinguished and Party B shall make such delivery as promptly as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practicable after, but in no event later than one Exchange Business Day after, Party A gives notice to Party B that such delivery would not result in (x) any Party A Person directly or indirectly so beneficially owning in excess of 9.0% of the outstanding Shares or (y) the occurrence of an Excess Charter Ownership Position or Excess Regulatory Ownership Position and (ii) if such delivery relates to a Physical Settlement, notwithstanding anything to the contrary herein, Party A shall not be obligated to satisfy the portion of its payment obligation corresponding to any Shares required to be so delivered until the date Party B makes such delivery. Upon request of Party A, Party B shall promptly confirm to Party A the number of Shares then outstanding and Party A shall then promptly advise Party B with respect to any limitations under this Section 10 applicable to any anticipated delivery of Shares hereunder; provided, however, that neither a failure by Party B to notify Party A of the number of Shares then outstanding nor a failure of Party A to advise Party B with respect to any applicable limitations shall be deemed a default hereunder and notwithstanding such failure the remainder of this Section 10 shall continue to apply. For the avoidance of doubt, any delivery of Shares made by Party B to Party A that Party A was not entitled to receive under the terms of this Section 10 shall not be deemed to satisfy any of the delivery obligations of Party B hereunder and Party A shall promptly return such Shares to Party B, pending which Party A shall be deemed to hold any such Shares solely as custodian for the benefit of Party 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240" w:after="283"/>
        <w:jc w:val="both"/>
        <w:rPr/>
      </w:pPr>
      <w:r>
        <w:rPr>
          <w:rFonts w:ascii="Times New Roman" w:hAnsi="Times New Roman"/>
          <w:color w:val="000000"/>
          <w:sz w:val="20"/>
          <w:u w:val="single"/>
        </w:rPr>
        <w:t>Non-Confidentiality</w:t>
      </w:r>
      <w:r>
        <w:rPr>
          <w:rFonts w:ascii="Times New Roman" w:hAnsi="Times New Roman"/>
          <w:color w:val="000000"/>
          <w:sz w:val="20"/>
        </w:rPr>
        <w:t xml:space="preserve">. The parties hereby agree that (i) effective from the date of commencement of discussions concerning any Transaction, Party B and each of its employees, representatives, or other agents may disclose to any and all persons, without limitation of any kind, the tax treatment and tax structure of such Transaction and all materials of any kind, including opinions or other tax analyses, provided by Party A and its affiliates to Party B relating to such tax treatment and tax structure; </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the foregoing does not constitute an authorization to disclose the identity of Party A or its affiliates, agents or advisers, or, except to the extent relating to such tax structure or tax treatment, any specific pricing terms or commercial or financial information, and (ii) Party A does not assert any claim of proprietary ownership in respect of any description contained herein or therein relating to the use of any entities, plans or arrangements to give rise to a particular United States federal income tax treatment for Party B.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12.</w:t>
      </w:r>
    </w:p>
    <w:p>
      <w:pPr>
        <w:pStyle w:val="TextBody"/>
        <w:bidi w:val="0"/>
        <w:spacing w:before="240" w:after="283"/>
        <w:jc w:val="both"/>
        <w:rPr/>
      </w:pPr>
      <w:r>
        <w:rPr>
          <w:rFonts w:ascii="Times New Roman" w:hAnsi="Times New Roman"/>
          <w:color w:val="000000"/>
          <w:sz w:val="20"/>
          <w:u w:val="single"/>
        </w:rPr>
        <w:t>Restricted Shares</w:t>
      </w:r>
      <w:r>
        <w:rPr>
          <w:rFonts w:ascii="Times New Roman" w:hAnsi="Times New Roman"/>
          <w:color w:val="000000"/>
          <w:sz w:val="20"/>
        </w:rPr>
        <w:t>. If Party B is unable to comply with the covenant of Party B contained in Section 6 above or Party A otherwise determines in its reasonable opinion that any Shares to be delivered to Party A by Party B under any Transaction may not be freely returned by Party A to securities lenders as described in the covenant of Party B contained in Section 6 above, then delivery of any such Settlement Shares (the “</w:t>
      </w:r>
      <w:r>
        <w:rPr>
          <w:rFonts w:ascii="Times New Roman" w:hAnsi="Times New Roman"/>
          <w:b/>
          <w:color w:val="000000"/>
          <w:sz w:val="20"/>
        </w:rPr>
        <w:t>Unregistered Settlement Shares</w:t>
      </w:r>
      <w:r>
        <w:rPr>
          <w:color w:val="000000"/>
        </w:rPr>
        <w:t>”</w:t>
      </w:r>
      <w:r>
        <w:rPr>
          <w:rFonts w:ascii="Times New Roman" w:hAnsi="Times New Roman"/>
          <w:color w:val="000000"/>
          <w:sz w:val="20"/>
        </w:rPr>
        <w:t xml:space="preserve">) shall be effected pursuant to Annex B hereto, unless waived by Party 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13.</w:t>
      </w:r>
    </w:p>
    <w:p>
      <w:pPr>
        <w:pStyle w:val="TextBody"/>
        <w:bidi w:val="0"/>
        <w:spacing w:before="240" w:after="283"/>
        <w:jc w:val="both"/>
        <w:rPr/>
      </w:pPr>
      <w:r>
        <w:rPr>
          <w:rFonts w:ascii="Times New Roman" w:hAnsi="Times New Roman"/>
          <w:color w:val="000000"/>
          <w:sz w:val="20"/>
          <w:u w:val="single"/>
        </w:rPr>
        <w:t>Use of Shares</w:t>
      </w:r>
      <w:r>
        <w:rPr>
          <w:rFonts w:ascii="Times New Roman" w:hAnsi="Times New Roman"/>
          <w:color w:val="000000"/>
          <w:sz w:val="20"/>
        </w:rPr>
        <w:t>. Party A acknowledges and agrees that, except in the case of a Private Placement Settlement, Party A shall use any Shares delivered by Party B to Party A on any Settlement Date with respect to any Transaction to return to securities lenders to close out borrowings created by Party A in connection with its hedging activities related to exposure under such Transaction or otherwise in compliance with applicable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14.</w:t>
      </w:r>
    </w:p>
    <w:p>
      <w:pPr>
        <w:pStyle w:val="TextBody"/>
        <w:bidi w:val="0"/>
        <w:spacing w:before="240" w:after="283"/>
        <w:jc w:val="both"/>
        <w:rPr/>
      </w:pPr>
      <w:r>
        <w:rPr>
          <w:rFonts w:ascii="Times New Roman" w:hAnsi="Times New Roman"/>
          <w:color w:val="000000"/>
          <w:sz w:val="20"/>
          <w:u w:val="single"/>
        </w:rPr>
        <w:t>Rule 10b-18</w:t>
      </w:r>
      <w:r>
        <w:rPr>
          <w:rFonts w:ascii="Times New Roman" w:hAnsi="Times New Roman"/>
          <w:color w:val="000000"/>
          <w:sz w:val="20"/>
        </w:rPr>
        <w:t>. In connection with bids and purchases of Shares in connection with any Net Share Settlement or Cash Settlement of any Transaction, Party A shall use commercially reasonable efforts to conduct its activities, or cause its affiliates to conduct their activities, in a manner consistent with the requirements of the safe harbor provided by Rule 10b-18 under the Exchange Act, as if such provisions were applicable to such purchases and taking into account any applicable Securities and Exchange Commission no-action letters as appropriate, and subject to any delays between the execution and reporting of a trade of the Shares on the Exchange and other circumstances beyond Party A’s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15.</w:t>
      </w:r>
    </w:p>
    <w:p>
      <w:pPr>
        <w:pStyle w:val="TextBody"/>
        <w:bidi w:val="0"/>
        <w:spacing w:before="240" w:after="283"/>
        <w:jc w:val="both"/>
        <w:rPr/>
      </w:pPr>
      <w:r>
        <w:rPr>
          <w:rFonts w:ascii="Times New Roman" w:hAnsi="Times New Roman"/>
          <w:color w:val="000000"/>
          <w:sz w:val="20"/>
          <w:u w:val="single"/>
        </w:rPr>
        <w:t>Governing Law</w:t>
      </w:r>
      <w:r>
        <w:rPr>
          <w:rFonts w:ascii="Times New Roman" w:hAnsi="Times New Roman"/>
          <w:color w:val="000000"/>
          <w:sz w:val="20"/>
        </w:rPr>
        <w:t xml:space="preserve">. Notwithstanding anything to the contrary in the Agreement, this Master Confirmation, any Supplemental Confirmation and all matters arising in connection with the Agreement, this Master Confirmation or any Supplemental Confirmation shall be governed by, and construed and enforced in accordance with, the laws of the State of New York (without reference to its choice of laws doctrine other than Title 14 of Article 5 of the New York General Obligations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16.</w:t>
      </w:r>
    </w:p>
    <w:p>
      <w:pPr>
        <w:pStyle w:val="TextBody"/>
        <w:bidi w:val="0"/>
        <w:spacing w:before="240" w:after="283"/>
        <w:jc w:val="both"/>
        <w:rPr/>
      </w:pPr>
      <w:r>
        <w:rPr>
          <w:rFonts w:ascii="Times New Roman" w:hAnsi="Times New Roman"/>
          <w:color w:val="000000"/>
          <w:sz w:val="20"/>
          <w:u w:val="single"/>
        </w:rPr>
        <w:t>Set-Off</w:t>
      </w:r>
      <w:r>
        <w:rPr>
          <w:rFonts w:ascii="Times New Roman" w:hAnsi="Times New Roman"/>
          <w:color w:val="000000"/>
          <w:sz w:val="20"/>
        </w:rPr>
        <w:t xml:space="preserve">. Each party waives any and all rights it may have to set-off delivery or payment obligations it owes to the other party under any Transaction against any delivery or payment obligations owed to it by the other party, whether arising under the Agreement, under any other agreement between parties hereto, by operation of law or otherwise.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17.</w:t>
      </w:r>
    </w:p>
    <w:p>
      <w:pPr>
        <w:pStyle w:val="TextBody"/>
        <w:bidi w:val="0"/>
        <w:spacing w:before="240" w:after="283"/>
        <w:jc w:val="both"/>
        <w:rPr/>
      </w:pPr>
      <w:r>
        <w:rPr>
          <w:rFonts w:ascii="Times New Roman" w:hAnsi="Times New Roman"/>
          <w:color w:val="000000"/>
          <w:sz w:val="20"/>
          <w:u w:val="single"/>
        </w:rPr>
        <w:t>Staggered Settlement</w:t>
      </w:r>
      <w:r>
        <w:rPr>
          <w:rFonts w:ascii="Times New Roman" w:hAnsi="Times New Roman"/>
          <w:color w:val="000000"/>
          <w:sz w:val="20"/>
        </w:rPr>
        <w:t>. Notwithstanding anything to the contrary herein, Party A may, by prior notice to Party B, satisfy its obligation to deliver any Shares or other securities on any date due (an “</w:t>
      </w:r>
      <w:r>
        <w:rPr>
          <w:rFonts w:ascii="Times New Roman" w:hAnsi="Times New Roman"/>
          <w:b/>
          <w:color w:val="000000"/>
          <w:sz w:val="20"/>
        </w:rPr>
        <w:t>Original Delivery Date</w:t>
      </w:r>
      <w:r>
        <w:rPr>
          <w:color w:val="000000"/>
        </w:rPr>
        <w:t>”</w:t>
      </w:r>
      <w:r>
        <w:rPr>
          <w:rFonts w:ascii="Times New Roman" w:hAnsi="Times New Roman"/>
          <w:color w:val="000000"/>
          <w:sz w:val="20"/>
        </w:rPr>
        <w:t xml:space="preserve">)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18.</w:t>
      </w:r>
    </w:p>
    <w:p>
      <w:pPr>
        <w:pStyle w:val="TextBody"/>
        <w:bidi w:val="0"/>
        <w:spacing w:before="240" w:after="283"/>
        <w:jc w:val="both"/>
        <w:rPr/>
      </w:pPr>
      <w:r>
        <w:rPr>
          <w:rFonts w:ascii="Times New Roman" w:hAnsi="Times New Roman"/>
          <w:color w:val="000000"/>
          <w:sz w:val="20"/>
          <w:u w:val="single"/>
        </w:rPr>
        <w:t>Waiver of Right to Trial by Jury</w:t>
      </w:r>
      <w:r>
        <w:rPr>
          <w:rFonts w:ascii="Times New Roman" w:hAnsi="Times New Roman"/>
          <w:color w:val="000000"/>
          <w:sz w:val="20"/>
        </w:rPr>
        <w:t xml:space="preserve">. </w:t>
      </w:r>
      <w:r>
        <w:rPr>
          <w:rFonts w:ascii="Times New Roman" w:hAnsi="Times New Roman"/>
          <w:b/>
          <w:color w:val="000000"/>
          <w:sz w:val="20"/>
        </w:rPr>
        <w:t>EACH OF PARTY A AND PARTY B HEREBY IRREVOCABLY WAIVES (ON SUCH PARTY’S OWN BEHALF AND, TO THE EXTENT PERMITTED BY APPLICABLE LAW, ON BEHALF OF SUCH PARTY’S STOCKHOLDERS) ALL RIGHT TO TRIAL BY JURY IN ANY ACTION, PROCEEDING OR COUNTERCLAIM (WHETHER BASED ON CONTRACT, TORT OR OTHERWISE) ARISING OUT OF OR RELATING TO THIS MASTER CONFIRMATION OR ANY SUPPLEMENTAL CONFIRMATION OR THE ACTIONS OF PARTY A, PARTY B OR THEIR AFFILIATES IN THE NEGOTIATION, PERFORMANCE OR ENFORCEMENT 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19.</w:t>
      </w:r>
    </w:p>
    <w:p>
      <w:pPr>
        <w:pStyle w:val="TextBody"/>
        <w:bidi w:val="0"/>
        <w:spacing w:before="240" w:after="283"/>
        <w:jc w:val="both"/>
        <w:rPr/>
      </w:pPr>
      <w:r>
        <w:rPr>
          <w:rFonts w:ascii="Times New Roman" w:hAnsi="Times New Roman"/>
          <w:color w:val="000000"/>
          <w:sz w:val="20"/>
          <w:u w:val="single"/>
        </w:rPr>
        <w:t>Jurisdiction</w:t>
      </w:r>
      <w:r>
        <w:rPr>
          <w:rFonts w:ascii="Times New Roman" w:hAnsi="Times New Roman"/>
          <w:color w:val="000000"/>
          <w:sz w:val="20"/>
        </w:rPr>
        <w:t xml:space="preserve">. </w:t>
      </w:r>
      <w:r>
        <w:rPr>
          <w:rFonts w:ascii="Times New Roman" w:hAnsi="Times New Roman"/>
          <w:b/>
          <w:color w:val="000000"/>
          <w:sz w:val="20"/>
        </w:rPr>
        <w:t>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20.</w:t>
      </w:r>
    </w:p>
    <w:p>
      <w:pPr>
        <w:pStyle w:val="TextBody"/>
        <w:bidi w:val="0"/>
        <w:spacing w:before="240" w:after="283"/>
        <w:jc w:val="both"/>
        <w:rPr/>
      </w:pPr>
      <w:r>
        <w:rPr>
          <w:rFonts w:ascii="Times New Roman" w:hAnsi="Times New Roman"/>
          <w:color w:val="000000"/>
          <w:sz w:val="20"/>
          <w:u w:val="single"/>
        </w:rPr>
        <w:t>Counterparts</w:t>
      </w:r>
      <w:r>
        <w:rPr>
          <w:rFonts w:ascii="Times New Roman" w:hAnsi="Times New Roman"/>
          <w:color w:val="000000"/>
          <w:sz w:val="20"/>
        </w:rPr>
        <w:t>. This Master Confirmation may be executed in any number of counterparts, all of which shall constitute one and the same instrument, and any party hereto may execute this Master Confirmation by signing and delivering one or more counterparts. Counterparts may be delivered via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21.</w:t>
      </w:r>
    </w:p>
    <w:p>
      <w:pPr>
        <w:pStyle w:val="TextBody"/>
        <w:bidi w:val="0"/>
        <w:spacing w:before="240" w:after="283"/>
        <w:jc w:val="both"/>
        <w:rPr/>
      </w:pPr>
      <w:r>
        <w:rPr>
          <w:rFonts w:ascii="Times New Roman" w:hAnsi="Times New Roman"/>
          <w:color w:val="000000"/>
          <w:sz w:val="20"/>
          <w:u w:val="single"/>
        </w:rPr>
        <w:t>Delivery of Cash</w:t>
      </w:r>
      <w:r>
        <w:rPr>
          <w:rFonts w:ascii="Times New Roman" w:hAnsi="Times New Roman"/>
          <w:color w:val="000000"/>
          <w:sz w:val="20"/>
        </w:rPr>
        <w:t xml:space="preserve">. For the avoidance of doubt, nothing in this Master Confirmation or any Supplemental Confirmation shall be interpreted as requiring Party B to deliver cash or other assets in respect of the settlement of any Transaction, except in circumstances where the required cash or other asset settlement thereof is permitted for classification of the contract as equity by ASC 815-40, </w:t>
      </w:r>
      <w:r>
        <w:rPr>
          <w:rFonts w:ascii="Times New Roman" w:hAnsi="Times New Roman"/>
          <w:i/>
          <w:color w:val="000000"/>
          <w:sz w:val="20"/>
        </w:rPr>
        <w:t>Derivatives and Hedging – Contracts in Entity’s Own Equity</w:t>
      </w:r>
      <w:r>
        <w:rPr>
          <w:rFonts w:ascii="Times New Roman" w:hAnsi="Times New Roman"/>
          <w:color w:val="000000"/>
          <w:sz w:val="20"/>
        </w:rPr>
        <w:t>, as in effect on the Trade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22.</w:t>
      </w:r>
    </w:p>
    <w:p>
      <w:pPr>
        <w:pStyle w:val="TextBody"/>
        <w:bidi w:val="0"/>
        <w:spacing w:before="240" w:after="283"/>
        <w:jc w:val="both"/>
        <w:rPr/>
      </w:pPr>
      <w:r>
        <w:rPr>
          <w:rFonts w:ascii="Times New Roman" w:hAnsi="Times New Roman"/>
          <w:color w:val="000000"/>
          <w:sz w:val="20"/>
          <w:u w:val="single"/>
        </w:rPr>
        <w:t>Adjustments</w:t>
      </w:r>
      <w:r>
        <w:rPr>
          <w:rFonts w:ascii="Times New Roman" w:hAnsi="Times New Roman"/>
          <w:color w:val="000000"/>
          <w:sz w:val="20"/>
        </w:rPr>
        <w:t>. For the avoidance of doubt, whenever the Calculation Agent, the Hedging Party or the Determining Party is called upon to make an adjustment pursuant to the terms of this Master Confirmation, any Supplemental Confirmation or the Equity Definitions to take into account the effect of an event, the Calculation Agent, the Hedging Party or the Determining Party, as applicable, shall do so in good faith and in a commercially reasonable manner and shall make such adjustment by reference to the effect of such event on the Hedging Party, assuming that the Hedging Party maintains a commercially reasonable hedge position at the time of the event.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23.</w:t>
      </w:r>
    </w:p>
    <w:p>
      <w:pPr>
        <w:pStyle w:val="TextBody"/>
        <w:bidi w:val="0"/>
        <w:spacing w:before="240" w:after="283"/>
        <w:jc w:val="both"/>
        <w:rPr/>
      </w:pPr>
      <w:r>
        <w:rPr>
          <w:rFonts w:ascii="Times New Roman" w:hAnsi="Times New Roman"/>
          <w:color w:val="000000"/>
          <w:sz w:val="20"/>
          <w:u w:val="single"/>
        </w:rPr>
        <w:t>Ownership Limit</w:t>
      </w:r>
      <w:r>
        <w:rPr>
          <w:rFonts w:ascii="Times New Roman" w:hAnsi="Times New Roman"/>
          <w:color w:val="000000"/>
          <w:sz w:val="20"/>
        </w:rPr>
        <w:t>. Party B represents and undertakes to Party A that Party A, solely in its capacity as “Forward Purchaser” or “Forward Seller” (each as defined in the Equity Distribution Agreement) and solely with respect to its entering into and consummating the transactions contemplated by this Master Confirmation, any Supplemental Confirmation and the Distribution Agreement, will not, either individually or collectively with any other Forward Purchasers or Forward Sellers, be subject to the ownership limitations set forth in clauses (1) and (2) of Section 6.2.1(a)(i) of Party B’s Amended and Restated Articles of Amendment and Restatement.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24.</w:t>
      </w:r>
    </w:p>
    <w:p>
      <w:pPr>
        <w:pStyle w:val="TextBody"/>
        <w:bidi w:val="0"/>
        <w:spacing w:before="240" w:after="283"/>
        <w:jc w:val="both"/>
        <w:rPr/>
      </w:pPr>
      <w:r>
        <w:rPr>
          <w:rFonts w:ascii="Times New Roman" w:hAnsi="Times New Roman"/>
          <w:color w:val="000000"/>
          <w:sz w:val="20"/>
          <w:u w:val="single"/>
        </w:rPr>
        <w:t>Other Forwards</w:t>
      </w:r>
      <w:r>
        <w:rPr>
          <w:rFonts w:ascii="Times New Roman" w:hAnsi="Times New Roman"/>
          <w:color w:val="000000"/>
          <w:sz w:val="20"/>
        </w:rPr>
        <w:t>. Party B agrees that it shall not (x) cause to occur, or permit to exist, any Forward Hedge Selling Period (as defined in the Distribution Agreement) at any time there is (1) a “Forward Hedge Selling Period” (or equivalent concept) relating to any other issuer forward sale or similar transaction (including, without limitation, any “Transaction” under (as and defined under) any substantially identical master forward confirmation) with any financial institution other than Party A (an “</w:t>
      </w:r>
      <w:r>
        <w:rPr>
          <w:rFonts w:ascii="Times New Roman" w:hAnsi="Times New Roman"/>
          <w:b/>
          <w:color w:val="000000"/>
          <w:sz w:val="20"/>
        </w:rPr>
        <w:t>Other Forward Transaction</w:t>
      </w:r>
      <w:r>
        <w:rPr>
          <w:color w:val="000000"/>
        </w:rPr>
        <w:t>”</w:t>
      </w:r>
      <w:r>
        <w:rPr>
          <w:rFonts w:ascii="Times New Roman" w:hAnsi="Times New Roman"/>
          <w:color w:val="000000"/>
          <w:sz w:val="20"/>
        </w:rPr>
        <w:t>), (2) any “Unwind Period” (or equivalent concept) hereunder or under any Other Forward Transaction or (3) any other period in which Party B directly or indirectly issues and sells Shares pursuant to an underwriting agreement (or similar agreement including, without limitation, any equity distribution agreement) (such period, a “</w:t>
      </w:r>
      <w:r>
        <w:rPr>
          <w:rFonts w:ascii="Times New Roman" w:hAnsi="Times New Roman"/>
          <w:b/>
          <w:color w:val="000000"/>
          <w:sz w:val="20"/>
        </w:rPr>
        <w:t>Selling Period</w:t>
      </w:r>
      <w:r>
        <w:rPr>
          <w:color w:val="000000"/>
        </w:rPr>
        <w:t>”</w:t>
      </w:r>
      <w:r>
        <w:rPr>
          <w:rFonts w:ascii="Times New Roman" w:hAnsi="Times New Roman"/>
          <w:color w:val="000000"/>
          <w:sz w:val="20"/>
        </w:rPr>
        <w:t xml:space="preserve">) that Party B enters into with any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institution other than Party A, or (y) cause to occur, or permit to exist, any Unwind Period at any time there is (1) an “Unwind Period” (or equivalent concept) under any Other Forward Transaction, (2) a “Forward Hedge Selling Period” (or equivalent concept) under any Other Forward Transaction or (3) any Selling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25.</w:t>
      </w:r>
    </w:p>
    <w:p>
      <w:pPr>
        <w:pStyle w:val="TextBody"/>
        <w:bidi w:val="0"/>
        <w:spacing w:before="240" w:after="283"/>
        <w:jc w:val="both"/>
        <w:rPr/>
      </w:pPr>
      <w:r>
        <w:rPr>
          <w:rFonts w:ascii="Times New Roman" w:hAnsi="Times New Roman"/>
          <w:color w:val="000000"/>
          <w:sz w:val="20"/>
          <w:u w:val="single"/>
        </w:rPr>
        <w:t>[Matters Relating to Agent</w:t>
      </w:r>
      <w:r>
        <w:rPr>
          <w:rFonts w:ascii="Times New Roman" w:hAnsi="Times New Roman"/>
          <w:color w:val="000000"/>
          <w:sz w:val="20"/>
        </w:rPr>
        <w:t>. Agent is acting as agent for Party A in connection with this Master Confirmation, any Supplemental Confirmation and the Agreement. As such all delivery of funds, assets, notices, demands and communications of any kind relating to this Master Confirmation, any Supplemental Confirmation or the Agreement and any Transaction between Party A and Party B shall be transmitted exclusively through Agent. Agent has no obligation by way of issuance, endorsement, guarantee or otherwise with respect to the performance of either Party A or Party B under this Master Confirmation, any Supplemental Confirmation or the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26.</w:t>
      </w:r>
    </w:p>
    <w:p>
      <w:pPr>
        <w:pStyle w:val="TextBody"/>
        <w:bidi w:val="0"/>
        <w:spacing w:before="240" w:after="283"/>
        <w:jc w:val="both"/>
        <w:rPr/>
      </w:pPr>
      <w:r>
        <w:rPr>
          <w:rFonts w:ascii="Times New Roman" w:hAnsi="Times New Roman"/>
          <w:color w:val="000000"/>
          <w:sz w:val="20"/>
          <w:u w:val="single"/>
        </w:rPr>
        <w:t>Tax Matters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purpose of Section 3(f) of the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Party A makes the following representations: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Party B makes the following representations: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It is a “U.S. person” (as that term is used in Treasury Regulation section 1.1441-4(a)(3)(ii)) for U.S. federal income tax purposes.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It is a real estate investment trust for U.S. federal income tax purposes and is organized under the laws of the State of Maryland, and is an exempt recipient under Treasury Regulation section 1.6049-4(c)(1)(ii)(J).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Withholding Tax imposed on payments to non-US counterparties under the United States Foreign Account Tax Compliance Act</w:t>
      </w:r>
      <w:r>
        <w:rPr>
          <w:rFonts w:ascii="Times New Roman" w:hAnsi="Times New Roman"/>
          <w:color w:val="000000"/>
          <w:sz w:val="20"/>
        </w:rPr>
        <w:t>. “Indemnifiable Tax”, as defined in Section 14 of the Agreement, shall not include any U.S. federal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871(m) Protocol</w:t>
      </w:r>
      <w:r>
        <w:rPr>
          <w:rFonts w:ascii="Times New Roman" w:hAnsi="Times New Roman"/>
          <w:color w:val="000000"/>
          <w:sz w:val="20"/>
        </w:rPr>
        <w:t>. The parties agree that the definitions and provisions contained in the ISDA 2015 Section 871(m) Protocol, as published by ISDA and as may be amended, supplemented, replaced or superseded from time to time shall be incorporated into and apply to the Agreement solely for purposes of this Master Confirmation as if set forth in full 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Tax documentation</w:t>
      </w:r>
      <w:r>
        <w:rPr>
          <w:rFonts w:ascii="Times New Roman" w:hAnsi="Times New Roman"/>
          <w:color w:val="000000"/>
          <w:sz w:val="20"/>
        </w:rPr>
        <w:t>. For the purposes of Sections 4(a)(i) and 4(a)(ii) of the Agreement, Party B shall provide to Party A a valid and duly executed U.S. Internal Revenue Service Form [W-9], or any successor thereto, and Party A shall provide to Party B a valid and duly executed U.S. Internal Revenue Service Form W-[9] or any successor thereto (i) on or before the date of execution of this Master Confirmation; (ii) promptly upon reasonable demand by Party A; and (iii) promptly upon learning that any such tax form previously provided has become invalid, obsolete, or incorrect. Additionally, Party B or Party A shall, promptly upon reasonable request by the other party, provide such other tax forms and documents reasonably requested by such other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Change of Account</w:t>
      </w:r>
      <w:r>
        <w:rPr>
          <w:rFonts w:ascii="Times New Roman" w:hAnsi="Times New Roman"/>
          <w:color w:val="000000"/>
          <w:sz w:val="20"/>
        </w:rPr>
        <w:t>. Section 2(b) of the Agreement is hereby amended by the addition of the following after the word “delivery” in the first line thereof: “to another account in the same legal and tax jurisdiction”.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27.</w:t>
      </w:r>
    </w:p>
    <w:p>
      <w:pPr>
        <w:pStyle w:val="TextBody"/>
        <w:bidi w:val="0"/>
        <w:jc w:val="both"/>
        <w:rPr>
          <w:rFonts w:ascii="Times New Roman" w:hAnsi="Times New Roman"/>
          <w:color w:val="000000"/>
          <w:sz w:val="20"/>
        </w:rPr>
      </w:pPr>
      <w:r>
        <w:rPr>
          <w:rFonts w:ascii="Times New Roman" w:hAnsi="Times New Roman"/>
          <w:color w:val="000000"/>
          <w:sz w:val="20"/>
        </w:rPr>
        <w:t>[Reserved]</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[Reserved]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[Reserved]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[Reserved]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31.</w:t>
      </w:r>
    </w:p>
    <w:p>
      <w:pPr>
        <w:pStyle w:val="TextBody"/>
        <w:bidi w:val="0"/>
        <w:spacing w:before="240" w:after="283"/>
        <w:jc w:val="both"/>
        <w:rPr/>
      </w:pPr>
      <w:r>
        <w:rPr>
          <w:rFonts w:ascii="Times New Roman" w:hAnsi="Times New Roman"/>
          <w:color w:val="000000"/>
          <w:sz w:val="20"/>
        </w:rPr>
        <w:t>[</w:t>
      </w:r>
      <w:r>
        <w:rPr>
          <w:rFonts w:ascii="Times New Roman" w:hAnsi="Times New Roman"/>
          <w:color w:val="000000"/>
          <w:sz w:val="20"/>
          <w:u w:val="single"/>
        </w:rPr>
        <w:t>Recognition of U.S. Special Resolution Regimes</w:t>
      </w:r>
      <w:r>
        <w:rPr>
          <w:rFonts w:ascii="Times New Roman" w:hAnsi="Times New Roman"/>
          <w:color w:val="000000"/>
          <w:sz w:val="20"/>
        </w:rPr>
        <w:t>. For purposes of this Section 31, references to “this Agreement” shall be deemed to be references to this Master Confirmation, any Supplemental Confirmation and the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In the event Party A becomes subject to a proceeding under the FDI Act or OLA (together, the "U.S. Special Resolution Regimes"), the transfer of this Agreement or any other Relevant Agreement, and any interest and obligation in or under, and any property securing, this Agreement or such other Relevant Agreement, from Party A will be effective to the same extent as the transfer would be effective under the U.S. Special Resolution Regime if this Agreement or such other Relevant Agreement, and any interest and obligation in or under, and any property securing, this Agreement or such other Relevant Agreement, as the case may be, were governed by the laws of the United States or a State of the United States.</w:t>
      </w:r>
    </w:p>
    <w:p>
      <w:pPr>
        <w:pStyle w:val="Heading2"/>
        <w:bidi w:val="0"/>
        <w:spacing w:before="240" w:after="283"/>
        <w:jc w:val="both"/>
        <w:rPr>
          <w:rFonts w:ascii="Times New Roman" w:hAnsi="Times New Roman"/>
          <w:b w:val="false"/>
          <w:color w:val="000000"/>
          <w:sz w:val="20"/>
        </w:rPr>
      </w:pPr>
      <w:r>
        <w:rPr>
          <w:rFonts w:ascii="Times New Roman" w:hAnsi="Times New Roman"/>
          <w:b w:val="false"/>
          <w:color w:val="000000"/>
          <w:sz w:val="20"/>
        </w:rPr>
        <w:t>(ii) In the event Party A or any Party A Affiliate becomes subject to a proceeding under a U.S. Special Resolution Regime, Default Rights with respect to this Agreement or any other Relevant Agreement that may be exercised against Party A are permitted to be exercised to no greater extent than such Default Rights could be exercised under such U.S. Special Resolution Regime if this Agreement or such other Relevant Agreement as the case may be, were governed by the laws of the United States or a State of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pPr>
      <w:r>
        <w:rPr>
          <w:rFonts w:ascii="Times New Roman" w:hAnsi="Times New Roman"/>
          <w:color w:val="000000"/>
          <w:sz w:val="20"/>
          <w:u w:val="single"/>
        </w:rPr>
        <w:t>Limitation on Exercise of Certain Default Rights Related to a Party A Affiliate’s Entry Into Insolvency Proceedings</w:t>
      </w:r>
      <w:r>
        <w:rPr>
          <w:rFonts w:ascii="Times New Roman" w:hAnsi="Times New Roman"/>
          <w:color w:val="000000"/>
          <w:sz w:val="20"/>
        </w:rPr>
        <w:t xml:space="preserve">. Notwithstanding anything to the contrary in this Agreement or any other agreement, the parties hereto expressly acknowledge and agree that subject to Section 31(c), Party B shall not be permitted to exercise any Default Right against Party A with respect to this Agreement or any other Relevant Agreement that is related, directly or indirectly, to a Party A Affiliate becoming subject to an Insolvency Proceeding.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pPr>
      <w:r>
        <w:rPr>
          <w:rFonts w:ascii="Times New Roman" w:hAnsi="Times New Roman"/>
          <w:color w:val="000000"/>
          <w:sz w:val="20"/>
          <w:u w:val="single"/>
        </w:rPr>
        <w:t>General Creditor Protections</w:t>
      </w:r>
      <w:r>
        <w:rPr>
          <w:rFonts w:ascii="Times New Roman" w:hAnsi="Times New Roman"/>
          <w:color w:val="000000"/>
          <w:sz w:val="20"/>
        </w:rPr>
        <w:t>. Nothing in Section 31(b) shall restrict the exercise by Party B of any Default Right against Party A with respect to this Agreement or any other Relevant Agreement that arises as a result of:</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(i) Party A becoming subject to an Insolvency Proceeding; or</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(ii) Party A not satisfying a payment or delivery obligation pursuant to (A) this Agreement or any other Relevant Agreement, or (B) another contract between Party A and Party B that gives rise to a Default Right under this Agreement or any other Relevant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pPr>
      <w:r>
        <w:rPr>
          <w:rFonts w:ascii="Times New Roman" w:hAnsi="Times New Roman"/>
          <w:color w:val="000000"/>
          <w:sz w:val="20"/>
          <w:u w:val="single"/>
        </w:rPr>
        <w:t>Burden of Proof</w:t>
      </w:r>
      <w:r>
        <w:rPr>
          <w:rFonts w:ascii="Times New Roman" w:hAnsi="Times New Roman"/>
          <w:color w:val="000000"/>
          <w:sz w:val="20"/>
        </w:rPr>
        <w:t>. After a Party A Affiliate has become subject to an Insolvency Proceeding, if Party B seeks to exercise any Default Right with respect to this Agreement or any other Relevant Agreement, Party B shall have the burden of proof, by clear and convincing evidence, that the exercise of such Default Right is permitted hereunder or thereunder.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pPr>
      <w:r>
        <w:rPr>
          <w:rFonts w:ascii="Times New Roman" w:hAnsi="Times New Roman"/>
          <w:color w:val="000000"/>
          <w:sz w:val="20"/>
          <w:u w:val="single"/>
        </w:rPr>
        <w:t>Applicability of Section 31(a)</w:t>
      </w:r>
      <w:r>
        <w:rPr>
          <w:rFonts w:ascii="Times New Roman" w:hAnsi="Times New Roman"/>
          <w:color w:val="000000"/>
          <w:sz w:val="20"/>
        </w:rPr>
        <w:t>. The requirements of Section 31(a) apply notwithstanding Section 31(b) and Section 31(c).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 xml:space="preserve">General Conditions </w:t>
      </w:r>
    </w:p>
    <w:p>
      <w:pPr>
        <w:pStyle w:val="Heading1"/>
        <w:bidi w:val="0"/>
        <w:spacing w:before="240" w:after="283"/>
        <w:jc w:val="both"/>
        <w:rPr>
          <w:rFonts w:ascii="Times New Roman" w:hAnsi="Times New Roman"/>
          <w:sz w:val="20"/>
        </w:rPr>
      </w:pPr>
      <w:r>
        <w:rPr>
          <w:rFonts w:ascii="Times New Roman" w:hAnsi="Times New Roman"/>
          <w:b w:val="false"/>
          <w:color w:val="000000"/>
          <w:sz w:val="20"/>
        </w:rPr>
        <w:t>(i) Effective Date. The provisions set forth in Section 31 will come into effect on the later of the Applicable Compliance Date and the date of this Agreement.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0"/>
        </w:rPr>
        <w:t>(ii) Prior Adherence to the U.S. Protocol. If Party A and Party B have adhered to the ISDA U.S. Protocol prior to the date of this Agreement, the terms of the ISDA U.S. Protocol shall be incorporated into and form</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a part of this Agreement and shall replace the terms of this Section 31. For purposes of incorporating the ISDA U.S. Protocol, Party A shall be deemed to be a Regulated Entity, Party B shall be deemed to be an Adhering Party and the Agreement shall be deemed to be a Protocol Covered Agreement.</w:t>
      </w:r>
    </w:p>
    <w:p>
      <w:pPr>
        <w:pStyle w:val="Heading2"/>
        <w:bidi w:val="0"/>
        <w:spacing w:before="240" w:after="283"/>
        <w:jc w:val="both"/>
        <w:rPr>
          <w:rFonts w:ascii="Times New Roman" w:hAnsi="Times New Roman"/>
          <w:b w:val="false"/>
          <w:color w:val="000000"/>
          <w:sz w:val="20"/>
        </w:rPr>
      </w:pPr>
      <w:r>
        <w:rPr>
          <w:rFonts w:ascii="Times New Roman" w:hAnsi="Times New Roman"/>
          <w:b w:val="false"/>
          <w:color w:val="000000"/>
          <w:sz w:val="20"/>
        </w:rPr>
        <w:t>(iii) Subsequent Adherence to the U.S. Protocol. If, after the date of this Agreement, both Party A and Party B shall have become adhering parties to the ISDA U.S. Protocol, the terms of the ISDA U.S. Protocol will supersede and replace this Section 31.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w:t>
      </w:r>
    </w:p>
    <w:p>
      <w:pPr>
        <w:pStyle w:val="TextBody"/>
        <w:bidi w:val="0"/>
        <w:spacing w:before="240" w:after="283"/>
        <w:jc w:val="both"/>
        <w:rPr/>
      </w:pPr>
      <w:r>
        <w:rPr>
          <w:rFonts w:ascii="Times New Roman" w:hAnsi="Times New Roman"/>
          <w:color w:val="000000"/>
          <w:sz w:val="20"/>
          <w:u w:val="single"/>
        </w:rPr>
        <w:t>Definitions</w:t>
      </w:r>
      <w:r>
        <w:rPr>
          <w:rFonts w:ascii="Times New Roman" w:hAnsi="Times New Roman"/>
          <w:color w:val="000000"/>
          <w:sz w:val="20"/>
        </w:rPr>
        <w:t>. For the purposes of Section 31, the following definitions apply:</w:t>
      </w:r>
    </w:p>
    <w:p>
      <w:pPr>
        <w:pStyle w:val="Heading1"/>
        <w:bidi w:val="0"/>
        <w:spacing w:before="240" w:after="283"/>
        <w:jc w:val="both"/>
        <w:rPr/>
      </w:pPr>
      <w:r>
        <w:rPr>
          <w:color w:val="000000"/>
        </w:rPr>
        <w:t>“</w:t>
      </w:r>
      <w:r>
        <w:rPr>
          <w:rFonts w:ascii="Times New Roman" w:hAnsi="Times New Roman"/>
          <w:color w:val="000000"/>
          <w:sz w:val="20"/>
        </w:rPr>
        <w:t xml:space="preserve">Applicable Compliance Date” </w:t>
      </w:r>
      <w:r>
        <w:rPr>
          <w:rFonts w:ascii="Times New Roman" w:hAnsi="Times New Roman"/>
          <w:b w:val="false"/>
          <w:color w:val="000000"/>
          <w:sz w:val="20"/>
        </w:rPr>
        <w:t>with respect to this Agreement shall be determined as follows: (a) if Party B is an entity subject to the requirements of the QFC Stay Rules, January 1, 2019, (b) if Party B is a Financial Counterparty (other than a Small Financial Institution) that is not an entity subject to the requirements of the QFC Stay Rules, July 1, 2019 and (c) if Party B is not described in clause (a) or (b), January 1, 2020.</w:t>
      </w:r>
      <w:r>
        <w:rPr>
          <w:rFonts w:ascii="Times New Roman" w:hAnsi="Times New Roman"/>
          <w:color w:val="000000"/>
          <w:sz w:val="20"/>
        </w:rPr>
        <w:t xml:space="preserve"> </w:t>
      </w:r>
    </w:p>
    <w:p>
      <w:pPr>
        <w:pStyle w:val="Heading2"/>
        <w:bidi w:val="0"/>
        <w:spacing w:before="240" w:after="283"/>
        <w:jc w:val="both"/>
        <w:rPr/>
      </w:pPr>
      <w:r>
        <w:rPr>
          <w:color w:val="000000"/>
        </w:rPr>
        <w:t>“</w:t>
      </w:r>
      <w:r>
        <w:rPr>
          <w:rFonts w:ascii="Times New Roman" w:hAnsi="Times New Roman"/>
          <w:color w:val="000000"/>
          <w:sz w:val="20"/>
        </w:rPr>
        <w:t xml:space="preserve">BHC Affiliate” </w:t>
      </w:r>
      <w:r>
        <w:rPr>
          <w:rFonts w:ascii="Times New Roman" w:hAnsi="Times New Roman"/>
          <w:b w:val="false"/>
          <w:color w:val="000000"/>
          <w:sz w:val="20"/>
        </w:rPr>
        <w:t>has the same meaning as the term “affiliate” as defined in, and shall be interpreted in accordance with, 12 U.S.C. 1813(w) and 12 U.S.C. 1841(k).</w:t>
      </w:r>
      <w:r>
        <w:rPr>
          <w:rFonts w:ascii="Times New Roman" w:hAnsi="Times New Roman"/>
          <w:color w:val="000000"/>
          <w:sz w:val="20"/>
        </w:rPr>
        <w:t xml:space="preserve"> </w:t>
      </w:r>
    </w:p>
    <w:p>
      <w:pPr>
        <w:pStyle w:val="Heading1"/>
        <w:bidi w:val="0"/>
        <w:spacing w:before="240" w:after="283"/>
        <w:jc w:val="both"/>
        <w:rPr/>
      </w:pPr>
      <w:r>
        <w:rPr>
          <w:color w:val="000000"/>
        </w:rPr>
        <w:t>“</w:t>
      </w:r>
      <w:r>
        <w:rPr>
          <w:rFonts w:ascii="Times New Roman" w:hAnsi="Times New Roman"/>
          <w:color w:val="000000"/>
          <w:sz w:val="20"/>
        </w:rPr>
        <w:t xml:space="preserve">Consolidated Affiliate” </w:t>
      </w:r>
      <w:r>
        <w:rPr>
          <w:rFonts w:ascii="Times New Roman" w:hAnsi="Times New Roman"/>
          <w:b w:val="false"/>
          <w:color w:val="000000"/>
          <w:sz w:val="20"/>
        </w:rPr>
        <w:t>has the same meaning specified in, and shall be interpreted in accordance with, 12 C.F.R. 252.81, 12 C.F.R. 382.1 and 12 C.F.R. 47.2.</w:t>
      </w:r>
    </w:p>
    <w:p>
      <w:pPr>
        <w:pStyle w:val="Heading1"/>
        <w:bidi w:val="0"/>
        <w:spacing w:before="240" w:after="283"/>
        <w:jc w:val="both"/>
        <w:rPr/>
      </w:pPr>
      <w:r>
        <w:rPr>
          <w:color w:val="000000"/>
        </w:rPr>
        <w:t>“</w:t>
      </w:r>
      <w:r>
        <w:rPr>
          <w:rFonts w:ascii="Times New Roman" w:hAnsi="Times New Roman"/>
          <w:color w:val="000000"/>
          <w:sz w:val="20"/>
        </w:rPr>
        <w:t xml:space="preserve">Credit Enhancement” </w:t>
      </w:r>
      <w:r>
        <w:rPr>
          <w:rFonts w:ascii="Times New Roman" w:hAnsi="Times New Roman"/>
          <w:b w:val="false"/>
          <w:color w:val="000000"/>
          <w:sz w:val="20"/>
        </w:rPr>
        <w:t>means, with respect to this Agreement or any other Relevant Agreement, any credit enhancement or other credit support arrangement in support of the obligations of Party A or Party B hereunder or thereunder or with respect hereto or thereto, including any guarantee or collateral arrangement (including any pledge, charge, mortgage or other security interest in collateral or title transfer arrangement), trust or similar arrangement, letter of credit, transfer of margin or any similar arrangement.</w:t>
      </w:r>
    </w:p>
    <w:p>
      <w:pPr>
        <w:pStyle w:val="Heading1"/>
        <w:bidi w:val="0"/>
        <w:spacing w:before="240" w:after="283"/>
        <w:jc w:val="both"/>
        <w:rPr/>
      </w:pPr>
      <w:r>
        <w:rPr>
          <w:color w:val="000000"/>
        </w:rPr>
        <w:t>“</w:t>
      </w:r>
      <w:r>
        <w:rPr>
          <w:rFonts w:ascii="Times New Roman" w:hAnsi="Times New Roman"/>
          <w:color w:val="000000"/>
          <w:sz w:val="20"/>
        </w:rPr>
        <w:t xml:space="preserve">Default Right” </w:t>
      </w:r>
      <w:r>
        <w:rPr>
          <w:rFonts w:ascii="Times New Roman" w:hAnsi="Times New Roman"/>
          <w:b w:val="false"/>
          <w:color w:val="000000"/>
          <w:sz w:val="20"/>
        </w:rPr>
        <w:t>means, with respect to this Agreement (including any Transaction or Confirmation hereunder) or any other Relevant Agreement, any:</w:t>
      </w:r>
    </w:p>
    <w:p>
      <w:pPr>
        <w:pStyle w:val="Heading1"/>
        <w:bidi w:val="0"/>
        <w:spacing w:before="240" w:after="283"/>
        <w:jc w:val="both"/>
        <w:rPr>
          <w:rFonts w:ascii="Times New Roman" w:hAnsi="Times New Roman"/>
          <w:sz w:val="20"/>
        </w:rPr>
      </w:pPr>
      <w:r>
        <w:rPr>
          <w:rFonts w:ascii="Times New Roman" w:hAnsi="Times New Roman"/>
          <w:b w:val="false"/>
          <w:color w:val="000000"/>
          <w:sz w:val="20"/>
        </w:rPr>
        <w:t>(i) right of a party, whether contractual or otherwise (including, without limitation, rights incorporated by reference to any other contract, agreement, or document, and rights afforded by statute, civil code, regulation, and common law), to liquidate, terminate, cancel, rescind, or accelerate such agreement or transactions thereunder, set off or net amounts owing in respect thereto (except rights related to same-day payment netting), exercise remedies in respect of collateral or other credit support or property related thereto (including the purchase and sale of property), demand payment or delivery thereunder or in respect thereof (other than a right or operation of a contractual provision arising solely from a change in the value of collateral or margin or a change in the amount of an economic exposure), suspend, delay, or defer payment or performance thereunder, or modify the obligations of a party thereunder, or any similar rights; and</w:t>
      </w:r>
      <w:r>
        <w:rPr>
          <w:rFonts w:ascii="Times New Roman" w:hAnsi="Times New Roman"/>
          <w:color w:val="000000"/>
          <w:sz w:val="20"/>
        </w:rPr>
        <w:t xml:space="preserve"> </w:t>
      </w:r>
    </w:p>
    <w:p>
      <w:pPr>
        <w:pStyle w:val="Heading2"/>
        <w:bidi w:val="0"/>
        <w:spacing w:before="240" w:after="283"/>
        <w:jc w:val="both"/>
        <w:rPr>
          <w:rFonts w:ascii="Times New Roman" w:hAnsi="Times New Roman"/>
          <w:sz w:val="20"/>
        </w:rPr>
      </w:pPr>
      <w:r>
        <w:rPr>
          <w:rFonts w:ascii="Times New Roman" w:hAnsi="Times New Roman"/>
          <w:b w:val="false"/>
          <w:color w:val="000000"/>
          <w:sz w:val="20"/>
        </w:rPr>
        <w:t>(ii) right or contractual provision that alters the amount of collateral or margin that must be provided with respect to an exposure thereunder, including by altering any initial amount, threshold amount, variation margin, minimum transfer amount, the margin value of collateral, or any similar amount, that entitles a party to demand the return of any collateral or margin transferred by it to the other party or a custodian or that modifies a transferee’s right to reuse collateral or margin (if such right previously existed), or any similar rights, in each case, other than a right or operation of a contractual provision arising solely from a change in the value of collateral or margin or a change in the amount of an economic exposure; but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(iii) solely with respect to Section 31(b) does not include any right under a contract that allows a party to terminate the contract on demand or at its option at a specified time, or from time to time, without the need to show cause.</w:t>
      </w:r>
    </w:p>
    <w:p>
      <w:pPr>
        <w:pStyle w:val="Heading1"/>
        <w:bidi w:val="0"/>
        <w:spacing w:before="240" w:after="283"/>
        <w:jc w:val="both"/>
        <w:rPr/>
      </w:pPr>
      <w:r>
        <w:rPr>
          <w:color w:val="000000"/>
        </w:rPr>
        <w:t>“</w:t>
      </w:r>
      <w:r>
        <w:rPr>
          <w:rFonts w:ascii="Times New Roman" w:hAnsi="Times New Roman"/>
          <w:color w:val="000000"/>
          <w:sz w:val="20"/>
        </w:rPr>
        <w:t xml:space="preserve">FDI Act” </w:t>
      </w:r>
      <w:r>
        <w:rPr>
          <w:rFonts w:ascii="Times New Roman" w:hAnsi="Times New Roman"/>
          <w:b w:val="false"/>
          <w:color w:val="000000"/>
          <w:sz w:val="20"/>
        </w:rPr>
        <w:t>means the Federal Deposit Insurance Act and the regulations promulgated thereunder.</w:t>
      </w:r>
      <w:r>
        <w:rPr>
          <w:rFonts w:ascii="Times New Roman" w:hAnsi="Times New Roman"/>
          <w:color w:val="000000"/>
          <w:sz w:val="20"/>
        </w:rPr>
        <w:t xml:space="preserve"> </w:t>
      </w:r>
    </w:p>
    <w:p>
      <w:pPr>
        <w:pStyle w:val="Heading1"/>
        <w:bidi w:val="0"/>
        <w:spacing w:before="240" w:after="283"/>
        <w:jc w:val="both"/>
        <w:rPr/>
      </w:pPr>
      <w:r>
        <w:rPr>
          <w:color w:val="000000"/>
        </w:rPr>
        <w:t>“</w:t>
      </w:r>
      <w:r>
        <w:rPr>
          <w:rFonts w:ascii="Times New Roman" w:hAnsi="Times New Roman"/>
          <w:color w:val="000000"/>
          <w:sz w:val="20"/>
        </w:rPr>
        <w:t xml:space="preserve">Financial Counterparty” </w:t>
      </w:r>
      <w:r>
        <w:rPr>
          <w:rFonts w:ascii="Times New Roman" w:hAnsi="Times New Roman"/>
          <w:b w:val="false"/>
          <w:color w:val="000000"/>
          <w:sz w:val="20"/>
        </w:rPr>
        <w:t>has the meaning given to such term in, and shall be interpreted in accordance with, 12 C.F.R. 252.81, 12 C.F.R. 382.1 and 12 C.F.R. 47.2.</w:t>
      </w:r>
    </w:p>
    <w:p>
      <w:pPr>
        <w:pStyle w:val="Heading1"/>
        <w:bidi w:val="0"/>
        <w:spacing w:before="240" w:after="283"/>
        <w:jc w:val="both"/>
        <w:rPr/>
      </w:pPr>
      <w:r>
        <w:rPr>
          <w:color w:val="000000"/>
        </w:rPr>
        <w:t>“</w:t>
      </w:r>
      <w:r>
        <w:rPr>
          <w:rFonts w:ascii="Times New Roman" w:hAnsi="Times New Roman"/>
          <w:color w:val="000000"/>
          <w:sz w:val="20"/>
        </w:rPr>
        <w:t xml:space="preserve">Insolvency Proceeding” </w:t>
      </w:r>
      <w:r>
        <w:rPr>
          <w:rFonts w:ascii="Times New Roman" w:hAnsi="Times New Roman"/>
          <w:b w:val="false"/>
          <w:color w:val="000000"/>
          <w:sz w:val="20"/>
        </w:rPr>
        <w:t>means a receivership, insolvency, liquidation, resolution, or similar proceeding.</w:t>
      </w:r>
    </w:p>
    <w:p>
      <w:pPr>
        <w:pStyle w:val="Heading1"/>
        <w:bidi w:val="0"/>
        <w:spacing w:before="240" w:after="283"/>
        <w:jc w:val="both"/>
        <w:rPr/>
      </w:pPr>
      <w:r>
        <w:rPr>
          <w:color w:val="000000"/>
        </w:rPr>
        <w:t>“</w:t>
      </w:r>
      <w:r>
        <w:rPr>
          <w:rFonts w:ascii="Times New Roman" w:hAnsi="Times New Roman"/>
          <w:color w:val="000000"/>
          <w:sz w:val="20"/>
        </w:rPr>
        <w:t xml:space="preserve">ISDA U.S. Protocol” </w:t>
      </w:r>
      <w:r>
        <w:rPr>
          <w:rFonts w:ascii="Times New Roman" w:hAnsi="Times New Roman"/>
          <w:b w:val="false"/>
          <w:color w:val="000000"/>
          <w:sz w:val="20"/>
        </w:rPr>
        <w:t>means the ISDA 2018 U.S. Resolution Stay Protocol, as published by ISDA on July 31, 2018.</w:t>
      </w:r>
      <w:r>
        <w:rPr>
          <w:rFonts w:ascii="Times New Roman" w:hAnsi="Times New Roman"/>
          <w:color w:val="000000"/>
          <w:sz w:val="20"/>
        </w:rPr>
        <w:t xml:space="preserve"> </w:t>
      </w:r>
    </w:p>
    <w:p>
      <w:pPr>
        <w:pStyle w:val="Heading1"/>
        <w:bidi w:val="0"/>
        <w:spacing w:before="240" w:after="283"/>
        <w:jc w:val="both"/>
        <w:rPr/>
      </w:pPr>
      <w:r>
        <w:rPr>
          <w:color w:val="000000"/>
        </w:rPr>
        <w:t>“</w:t>
      </w:r>
      <w:r>
        <w:rPr>
          <w:rFonts w:ascii="Times New Roman" w:hAnsi="Times New Roman"/>
          <w:color w:val="000000"/>
          <w:sz w:val="20"/>
        </w:rPr>
        <w:t xml:space="preserve">OLA” </w:t>
      </w:r>
      <w:r>
        <w:rPr>
          <w:rFonts w:ascii="Times New Roman" w:hAnsi="Times New Roman"/>
          <w:b w:val="false"/>
          <w:color w:val="000000"/>
          <w:sz w:val="20"/>
        </w:rPr>
        <w:t>means Title II of the Dodd-Frank Wall Street Reform and Consumer Protection Act and the regulations promulgated thereunder.</w:t>
      </w:r>
      <w:r>
        <w:rPr>
          <w:rFonts w:ascii="Times New Roman" w:hAnsi="Times New Roman"/>
          <w:color w:val="000000"/>
          <w:sz w:val="20"/>
        </w:rPr>
        <w:t xml:space="preserve"> </w:t>
      </w:r>
    </w:p>
    <w:p>
      <w:pPr>
        <w:pStyle w:val="Heading1"/>
        <w:bidi w:val="0"/>
        <w:spacing w:before="240" w:after="283"/>
        <w:jc w:val="both"/>
        <w:rPr/>
      </w:pPr>
      <w:r>
        <w:rPr>
          <w:color w:val="000000"/>
        </w:rPr>
        <w:t>“</w:t>
      </w:r>
      <w:r>
        <w:rPr>
          <w:rFonts w:ascii="Times New Roman" w:hAnsi="Times New Roman"/>
          <w:color w:val="000000"/>
          <w:sz w:val="20"/>
        </w:rPr>
        <w:t xml:space="preserve">Party A Affiliate” </w:t>
      </w:r>
      <w:r>
        <w:rPr>
          <w:rFonts w:ascii="Times New Roman" w:hAnsi="Times New Roman"/>
          <w:b w:val="false"/>
          <w:color w:val="000000"/>
          <w:sz w:val="20"/>
        </w:rPr>
        <w:t>means, with respect to Party A, a BHC Affiliate of that party.</w:t>
      </w:r>
      <w:r>
        <w:rPr>
          <w:rFonts w:ascii="Times New Roman" w:hAnsi="Times New Roman"/>
          <w:color w:val="000000"/>
          <w:sz w:val="20"/>
        </w:rPr>
        <w:t xml:space="preserve"> </w:t>
      </w:r>
    </w:p>
    <w:p>
      <w:pPr>
        <w:pStyle w:val="Heading1"/>
        <w:bidi w:val="0"/>
        <w:spacing w:before="240" w:after="283"/>
        <w:jc w:val="both"/>
        <w:rPr/>
      </w:pPr>
      <w:r>
        <w:rPr>
          <w:color w:val="000000"/>
        </w:rPr>
        <w:t>“</w:t>
      </w:r>
      <w:r>
        <w:rPr>
          <w:rFonts w:ascii="Times New Roman" w:hAnsi="Times New Roman"/>
          <w:color w:val="000000"/>
          <w:sz w:val="20"/>
        </w:rPr>
        <w:t xml:space="preserve">Party B Affiliate” </w:t>
      </w:r>
      <w:r>
        <w:rPr>
          <w:rFonts w:ascii="Times New Roman" w:hAnsi="Times New Roman"/>
          <w:b w:val="false"/>
          <w:color w:val="000000"/>
          <w:sz w:val="20"/>
        </w:rPr>
        <w:t>means a Consolidated Affiliate of Party B.</w:t>
      </w:r>
    </w:p>
    <w:p>
      <w:pPr>
        <w:pStyle w:val="Heading1"/>
        <w:bidi w:val="0"/>
        <w:spacing w:before="240" w:after="283"/>
        <w:jc w:val="both"/>
        <w:rPr/>
      </w:pPr>
      <w:r>
        <w:rPr>
          <w:color w:val="000000"/>
        </w:rPr>
        <w:t>“</w:t>
      </w:r>
      <w:r>
        <w:rPr>
          <w:rFonts w:ascii="Times New Roman" w:hAnsi="Times New Roman"/>
          <w:color w:val="000000"/>
          <w:sz w:val="20"/>
        </w:rPr>
        <w:t xml:space="preserve">QFC Stay Rules” </w:t>
      </w:r>
      <w:r>
        <w:rPr>
          <w:rFonts w:ascii="Times New Roman" w:hAnsi="Times New Roman"/>
          <w:b w:val="false"/>
          <w:color w:val="000000"/>
          <w:sz w:val="20"/>
        </w:rPr>
        <w:t>means the regulations codified at 12 C.F.R. 252.81–8 (the “Federal Reserve Rule”), 12 C.F.R. 382.1-7 (the “FDIC Rule”) and 12 C.F.R. 47.1-8 (the “OCC Rule”), respectively. All references herein to the specific provisions of the Federal Reserve Rule, the FDICs Rule and the OCC Rule shall be construed, with respect to Party A, to the particular QFC Stay Rule(s) applicable to it.</w:t>
      </w:r>
    </w:p>
    <w:p>
      <w:pPr>
        <w:pStyle w:val="Heading1"/>
        <w:bidi w:val="0"/>
        <w:spacing w:before="240" w:after="283"/>
        <w:jc w:val="both"/>
        <w:rPr/>
      </w:pPr>
      <w:r>
        <w:rPr>
          <w:color w:val="000000"/>
        </w:rPr>
        <w:t>“</w:t>
      </w:r>
      <w:r>
        <w:rPr>
          <w:rFonts w:ascii="Times New Roman" w:hAnsi="Times New Roman"/>
          <w:color w:val="000000"/>
          <w:sz w:val="20"/>
        </w:rPr>
        <w:t xml:space="preserve">Relevant Agreement” </w:t>
      </w:r>
      <w:r>
        <w:rPr>
          <w:rFonts w:ascii="Times New Roman" w:hAnsi="Times New Roman"/>
          <w:b w:val="false"/>
          <w:color w:val="000000"/>
          <w:sz w:val="20"/>
        </w:rPr>
        <w:t>means this Agreement (including all Transactions and Confirmations hereunder) and any Credit Enhancement relating hereto or thereto.</w:t>
      </w:r>
    </w:p>
    <w:p>
      <w:pPr>
        <w:pStyle w:val="Heading1"/>
        <w:bidi w:val="0"/>
        <w:spacing w:before="240" w:after="283"/>
        <w:jc w:val="both"/>
        <w:rPr/>
      </w:pPr>
      <w:r>
        <w:rPr>
          <w:color w:val="000000"/>
        </w:rPr>
        <w:t>“</w:t>
      </w:r>
      <w:r>
        <w:rPr>
          <w:rFonts w:ascii="Times New Roman" w:hAnsi="Times New Roman"/>
          <w:color w:val="000000"/>
          <w:sz w:val="20"/>
        </w:rPr>
        <w:t xml:space="preserve">Small Financial Institution” </w:t>
      </w:r>
      <w:r>
        <w:rPr>
          <w:rFonts w:ascii="Times New Roman" w:hAnsi="Times New Roman"/>
          <w:b w:val="false"/>
          <w:color w:val="000000"/>
          <w:sz w:val="20"/>
        </w:rPr>
        <w:t>has the meaning given to such term in, and shall be interpreted in accordance with, 12 C.F.R. 252.81, 12 C.F.R. 382.1 and 12 C.F.R. 47.2.</w:t>
      </w:r>
    </w:p>
    <w:p>
      <w:pPr>
        <w:pStyle w:val="Heading1"/>
        <w:bidi w:val="0"/>
        <w:spacing w:before="240" w:after="283"/>
        <w:jc w:val="both"/>
        <w:rPr/>
      </w:pPr>
      <w:r>
        <w:rPr>
          <w:color w:val="000000"/>
        </w:rPr>
        <w:t>“</w:t>
      </w:r>
      <w:r>
        <w:rPr>
          <w:rFonts w:ascii="Times New Roman" w:hAnsi="Times New Roman"/>
          <w:color w:val="000000"/>
          <w:sz w:val="20"/>
        </w:rPr>
        <w:t xml:space="preserve">State” </w:t>
      </w:r>
      <w:r>
        <w:rPr>
          <w:rFonts w:ascii="Times New Roman" w:hAnsi="Times New Roman"/>
          <w:b w:val="false"/>
          <w:color w:val="000000"/>
          <w:sz w:val="20"/>
        </w:rPr>
        <w:t>means any state, commonwealth, territory, or possession of the United States of America, the District of Columbia, the Commonwealth of Puerto Rico, the Commonwealth of the Northern Mariana Islands, American Samoa, Guam, or the United States Virgin Islands.]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Party B hereby agrees (a) to check this Master Confirmation carefully and immediately upon receipt so that errors or discrepancies can be promptly identified and rectified and (b) to confirm that the foregoing (in the exact form provided by Party A) correctly sets forth the terms of the agreement between Party A and Party B hereunder, by manually signing this Master Confirmation or this page hereof as evidence of agreement to such terms and providing the other information requested herein and immediately returning an executed copy to us.</w:t>
      </w:r>
    </w:p>
    <w:p>
      <w:pPr>
        <w:pStyle w:val="TextBody"/>
        <w:bidi w:val="0"/>
        <w:spacing w:before="480" w:after="283"/>
        <w:jc w:val="left"/>
        <w:rPr>
          <w:rFonts w:ascii="Times New Roman" w:hAnsi="Times New Roman"/>
          <w:color w:val="000000"/>
          <w:sz w:val="20"/>
        </w:rPr>
      </w:pPr>
      <w:r>
        <w:rPr>
          <w:rFonts w:ascii="Times New Roman" w:hAnsi="Times New Roman"/>
          <w:color w:val="000000"/>
          <w:sz w:val="20"/>
        </w:rPr>
        <w:t>Yours faithfully,</w:t>
      </w:r>
    </w:p>
    <w:p>
      <w:pPr>
        <w:pStyle w:val="TextBody"/>
        <w:bidi w:val="0"/>
        <w:jc w:val="left"/>
        <w:rPr/>
      </w:pPr>
      <w:r>
        <w:rPr/>
        <w:t> </w:t>
      </w:r>
    </w:p>
    <w:p>
      <w:pPr>
        <w:pStyle w:val="Heading2"/>
        <w:bidi w:val="0"/>
        <w:jc w:val="left"/>
        <w:rPr>
          <w:rFonts w:ascii="Times New Roman" w:hAnsi="Times New Roman"/>
          <w:color w:val="000000"/>
          <w:sz w:val="20"/>
        </w:rPr>
      </w:pPr>
      <w:r>
        <w:rPr>
          <w:rFonts w:ascii="Times New Roman" w:hAnsi="Times New Roman"/>
          <w:color w:val="000000"/>
          <w:sz w:val="20"/>
        </w:rPr>
        <w:t>[[●], as agent for</w:t>
      </w:r>
    </w:p>
    <w:p>
      <w:pPr>
        <w:pStyle w:val="Heading2"/>
        <w:bidi w:val="0"/>
        <w:jc w:val="left"/>
        <w:rPr>
          <w:rFonts w:ascii="Times New Roman" w:hAnsi="Times New Roman"/>
          <w:sz w:val="20"/>
        </w:rPr>
      </w:pPr>
      <w:r>
        <w:rPr>
          <w:rFonts w:ascii="Times New Roman" w:hAnsi="Times New Roman"/>
          <w:color w:val="000000"/>
          <w:sz w:val="20"/>
        </w:rPr>
        <w:t>[DEALER]]</w:t>
      </w:r>
      <w:r>
        <w:rPr>
          <w:rFonts w:ascii="Times New Roman" w:hAnsi="Times New Roman"/>
          <w:b w:val="false"/>
          <w:color w:val="000000"/>
          <w:sz w:val="20"/>
        </w:rPr>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_____________________________</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Authorized Representative </w:t>
      </w:r>
    </w:p>
    <w:p>
      <w:pPr>
        <w:pStyle w:val="TextBody"/>
        <w:bidi w:val="0"/>
        <w:jc w:val="left"/>
        <w:rPr/>
      </w:pPr>
      <w:r>
        <w:rPr/>
        <w:t> </w:t>
      </w:r>
    </w:p>
    <w:p>
      <w:pPr>
        <w:pStyle w:val="TextBody"/>
        <w:bidi w:val="0"/>
        <w:jc w:val="left"/>
        <w:rPr/>
      </w:pPr>
      <w:r>
        <w:rPr/>
        <w:t> </w:t>
      </w:r>
    </w:p>
    <w:p>
      <w:pPr>
        <w:pStyle w:val="Heading2"/>
        <w:bidi w:val="0"/>
        <w:jc w:val="left"/>
        <w:rPr>
          <w:rFonts w:ascii="Times New Roman" w:hAnsi="Times New Roman"/>
          <w:color w:val="000000"/>
          <w:sz w:val="20"/>
        </w:rPr>
      </w:pPr>
      <w:r>
        <w:rPr>
          <w:rFonts w:ascii="Times New Roman" w:hAnsi="Times New Roman"/>
          <w:color w:val="000000"/>
          <w:sz w:val="20"/>
        </w:rPr>
        <w:t xml:space="preserve">[DEALER] </w:t>
        <w:b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_____________________________</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Authorized Representative </w:t>
      </w:r>
    </w:p>
    <w:p>
      <w:pPr>
        <w:pStyle w:val="TextBody"/>
        <w:bidi w:val="0"/>
        <w:spacing w:before="24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Forward Master Confirmation]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Agreed and accepted by: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EASTERLY GOVERNMENT PROPERTIES, INC.</w:t>
      </w:r>
    </w:p>
    <w:p>
      <w:pPr>
        <w:pStyle w:val="TextBody"/>
        <w:bidi w:val="0"/>
        <w:spacing w:before="240" w:after="283"/>
        <w:jc w:val="left"/>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w:t>
      </w:r>
      <w:r>
        <w:rPr>
          <w:rFonts w:ascii="Times New Roman" w:hAnsi="Times New Roman"/>
          <w:color w:val="000000"/>
          <w:sz w:val="20"/>
        </w:rPr>
        <w:br/>
        <w:t>Name:</w:t>
        <w:br/>
        <w:t xml:space="preserve">Title: </w:t>
      </w:r>
    </w:p>
    <w:p>
      <w:pPr>
        <w:pStyle w:val="TextBody"/>
        <w:bidi w:val="0"/>
        <w:spacing w:before="24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Forward Master Confirmation]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right"/>
        <w:rPr>
          <w:rFonts w:ascii="Times New Roman" w:hAnsi="Times New Roman"/>
          <w:b/>
          <w:color w:val="000000"/>
          <w:sz w:val="20"/>
        </w:rPr>
      </w:pPr>
      <w:r>
        <w:rPr>
          <w:rFonts w:ascii="Times New Roman" w:hAnsi="Times New Roman"/>
          <w:b/>
          <w:color w:val="000000"/>
          <w:sz w:val="20"/>
        </w:rPr>
        <w:t>ANNEX 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OF SUPPLEMENTAL CONFIRMATION</w:t>
      </w:r>
    </w:p>
    <w:p>
      <w:pPr>
        <w:pStyle w:val="TextBody"/>
        <w:bidi w:val="0"/>
        <w:spacing w:before="240" w:after="283"/>
        <w:jc w:val="left"/>
        <w:rPr/>
      </w:pPr>
      <w:r>
        <w:rPr/>
        <w:t> </w:t>
      </w:r>
    </w:p>
    <w:tbl>
      <w:tblPr>
        <w:tblW w:w="5060" w:type="dxa"/>
        <w:jc w:val="left"/>
        <w:tblInd w:w="0" w:type="dxa"/>
        <w:tblLayout w:type="fixed"/>
        <w:tblCellMar>
          <w:top w:w="28" w:type="dxa"/>
          <w:left w:w="28" w:type="dxa"/>
          <w:bottom w:w="28" w:type="dxa"/>
          <w:right w:w="28" w:type="dxa"/>
        </w:tblCellMar>
      </w:tblPr>
      <w:tblGrid>
        <w:gridCol w:w="805"/>
        <w:gridCol w:w="4255"/>
      </w:tblGrid>
      <w:tr>
        <w:trPr/>
        <w:tc>
          <w:tcPr>
            <w:tcW w:w="805" w:type="dxa"/>
            <w:tcBorders/>
            <w:vAlign w:val="center"/>
          </w:tcPr>
          <w:p>
            <w:pPr>
              <w:pStyle w:val="TableContents"/>
              <w:bidi w:val="0"/>
              <w:spacing w:before="0" w:after="283"/>
              <w:jc w:val="left"/>
              <w:rPr>
                <w:sz w:val="4"/>
                <w:szCs w:val="4"/>
              </w:rPr>
            </w:pPr>
            <w:r>
              <w:rPr>
                <w:sz w:val="4"/>
                <w:szCs w:val="4"/>
              </w:rPr>
            </w:r>
          </w:p>
        </w:tc>
        <w:tc>
          <w:tcPr>
            <w:tcW w:w="4255" w:type="dxa"/>
            <w:tcBorders/>
            <w:vAlign w:val="center"/>
          </w:tcPr>
          <w:p>
            <w:pPr>
              <w:pStyle w:val="TableContents"/>
              <w:bidi w:val="0"/>
              <w:spacing w:before="0" w:after="283"/>
              <w:jc w:val="left"/>
              <w:rPr>
                <w:sz w:val="4"/>
                <w:szCs w:val="4"/>
              </w:rPr>
            </w:pPr>
            <w:r>
              <w:rPr>
                <w:sz w:val="4"/>
                <w:szCs w:val="4"/>
              </w:rPr>
            </w:r>
          </w:p>
        </w:tc>
      </w:tr>
      <w:tr>
        <w:trPr/>
        <w:tc>
          <w:tcPr>
            <w:tcW w:w="80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ind w:left="0" w:right="0" w:firstLine="144"/>
              <w:jc w:val="right"/>
              <w:rPr>
                <w:rFonts w:ascii="Times New Roman" w:hAnsi="Times New Roman"/>
                <w:b/>
                <w:color w:val="000000"/>
                <w:sz w:val="20"/>
              </w:rPr>
            </w:pPr>
            <w:r>
              <w:rPr>
                <w:rFonts w:ascii="Times New Roman" w:hAnsi="Times New Roman"/>
                <w:b/>
                <w:color w:val="000000"/>
                <w:sz w:val="20"/>
              </w:rPr>
              <w:t>To:</w:t>
            </w:r>
          </w:p>
        </w:tc>
        <w:tc>
          <w:tcPr>
            <w:tcW w:w="425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ind w:left="0" w:right="0" w:firstLine="144"/>
              <w:jc w:val="left"/>
              <w:rPr>
                <w:rFonts w:ascii="Times New Roman" w:hAnsi="Times New Roman"/>
                <w:sz w:val="20"/>
              </w:rPr>
            </w:pPr>
            <w:r>
              <w:rPr>
                <w:rFonts w:ascii="Times New Roman" w:hAnsi="Times New Roman"/>
                <w:color w:val="000000"/>
                <w:sz w:val="20"/>
              </w:rPr>
              <w:t>Easterly Government Properties, Inc. (“</w:t>
            </w:r>
            <w:r>
              <w:rPr>
                <w:rFonts w:ascii="Times New Roman" w:hAnsi="Times New Roman"/>
                <w:b/>
                <w:color w:val="000000"/>
                <w:sz w:val="20"/>
              </w:rPr>
              <w:t>Party B</w:t>
            </w:r>
            <w:r>
              <w:rPr>
                <w:rFonts w:ascii="Times New Roman" w:hAnsi="Times New Roman"/>
                <w:color w:val="000000"/>
                <w:sz w:val="20"/>
              </w:rPr>
              <w:t>”)</w:t>
            </w:r>
          </w:p>
        </w:tc>
      </w:tr>
      <w:tr>
        <w:trPr/>
        <w:tc>
          <w:tcPr>
            <w:tcW w:w="80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44"/>
              <w:jc w:val="right"/>
              <w:rPr>
                <w:rFonts w:ascii="Times New Roman" w:hAnsi="Times New Roman"/>
                <w:b/>
                <w:color w:val="000000"/>
                <w:sz w:val="20"/>
              </w:rPr>
            </w:pPr>
            <w:r>
              <w:rPr>
                <w:rFonts w:ascii="Times New Roman" w:hAnsi="Times New Roman"/>
                <w:b/>
                <w:color w:val="000000"/>
                <w:sz w:val="20"/>
              </w:rPr>
              <w:t>From:</w:t>
            </w:r>
          </w:p>
        </w:tc>
        <w:tc>
          <w:tcPr>
            <w:tcW w:w="4255" w:type="dxa"/>
            <w:tcBorders>
              <w:bottom w:val="single" w:sz="4" w:space="0" w:color="000000"/>
              <w:right w:val="single" w:sz="4" w:space="0" w:color="000000"/>
            </w:tcBorders>
            <w:tcMar>
              <w:top w:w="0" w:type="dxa"/>
              <w:left w:w="0" w:type="dxa"/>
              <w:right w:w="108" w:type="dxa"/>
            </w:tcMar>
            <w:vAlign w:val="center"/>
          </w:tcPr>
          <w:p>
            <w:pPr>
              <w:pStyle w:val="TableContents"/>
              <w:bidi w:val="0"/>
              <w:ind w:left="0" w:right="0" w:firstLine="144"/>
              <w:jc w:val="left"/>
              <w:rPr>
                <w:rFonts w:ascii="Times New Roman" w:hAnsi="Times New Roman"/>
                <w:sz w:val="20"/>
              </w:rPr>
            </w:pPr>
            <w:r>
              <w:rPr>
                <w:rFonts w:ascii="Times New Roman" w:hAnsi="Times New Roman"/>
                <w:color w:val="000000"/>
                <w:sz w:val="20"/>
              </w:rPr>
              <w:t>[DEALER] (“</w:t>
            </w:r>
            <w:r>
              <w:rPr>
                <w:rFonts w:ascii="Times New Roman" w:hAnsi="Times New Roman"/>
                <w:b/>
                <w:color w:val="000000"/>
                <w:sz w:val="20"/>
              </w:rPr>
              <w:t>Party A</w:t>
            </w:r>
            <w:r>
              <w:rPr>
                <w:rFonts w:ascii="Times New Roman" w:hAnsi="Times New Roman"/>
                <w:color w:val="000000"/>
                <w:sz w:val="20"/>
              </w:rPr>
              <w:t>”)</w:t>
            </w:r>
          </w:p>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[DEALER CONTACT INFORMATION]</w:t>
            </w:r>
          </w:p>
        </w:tc>
      </w:tr>
      <w:tr>
        <w:trPr/>
        <w:tc>
          <w:tcPr>
            <w:tcW w:w="80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44"/>
              <w:jc w:val="right"/>
              <w:rPr>
                <w:rFonts w:ascii="Times New Roman" w:hAnsi="Times New Roman"/>
                <w:b/>
                <w:color w:val="000000"/>
                <w:sz w:val="20"/>
              </w:rPr>
            </w:pPr>
            <w:r>
              <w:rPr>
                <w:rFonts w:ascii="Times New Roman" w:hAnsi="Times New Roman"/>
                <w:b/>
                <w:color w:val="000000"/>
                <w:sz w:val="20"/>
              </w:rPr>
              <w:t>Re:</w:t>
            </w:r>
          </w:p>
        </w:tc>
        <w:tc>
          <w:tcPr>
            <w:tcW w:w="42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Issuer Share Forward Sale Transactions</w:t>
            </w:r>
          </w:p>
        </w:tc>
      </w:tr>
      <w:tr>
        <w:trPr/>
        <w:tc>
          <w:tcPr>
            <w:tcW w:w="80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44"/>
              <w:jc w:val="right"/>
              <w:rPr>
                <w:rFonts w:ascii="Times New Roman" w:hAnsi="Times New Roman"/>
                <w:b/>
                <w:color w:val="000000"/>
                <w:sz w:val="20"/>
              </w:rPr>
            </w:pPr>
            <w:r>
              <w:rPr>
                <w:rFonts w:ascii="Times New Roman" w:hAnsi="Times New Roman"/>
                <w:b/>
                <w:color w:val="000000"/>
                <w:sz w:val="20"/>
              </w:rPr>
              <w:t>Date:</w:t>
            </w:r>
          </w:p>
        </w:tc>
        <w:tc>
          <w:tcPr>
            <w:tcW w:w="42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44"/>
              <w:jc w:val="both"/>
              <w:rPr>
                <w:rFonts w:ascii="Times New Roman" w:hAnsi="Times New Roman"/>
                <w:color w:val="000000"/>
                <w:sz w:val="20"/>
              </w:rPr>
            </w:pPr>
            <w:r>
              <w:rPr>
                <w:rFonts w:ascii="Times New Roman" w:hAnsi="Times New Roman"/>
                <w:color w:val="000000"/>
                <w:sz w:val="20"/>
              </w:rPr>
              <w:t>[_______]</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240" w:after="283"/>
        <w:jc w:val="left"/>
        <w:rPr>
          <w:rFonts w:ascii="Times New Roman" w:hAnsi="Times New Roman"/>
          <w:sz w:val="20"/>
        </w:rPr>
      </w:pPr>
      <w:r>
        <w:rPr>
          <w:rFonts w:ascii="Times New Roman" w:hAnsi="Times New Roman"/>
          <w:color w:val="000000"/>
          <w:sz w:val="20"/>
        </w:rPr>
        <w:t>The purpose of this Supplemental Confirmation is to confirm the terms and conditions of the Transaction entered into between [Dealer] (“</w:t>
      </w:r>
      <w:r>
        <w:rPr>
          <w:rFonts w:ascii="Times New Roman" w:hAnsi="Times New Roman"/>
          <w:b/>
          <w:color w:val="000000"/>
          <w:sz w:val="20"/>
        </w:rPr>
        <w:t>Party A</w:t>
      </w:r>
      <w:r>
        <w:rPr>
          <w:rFonts w:ascii="Times New Roman" w:hAnsi="Times New Roman"/>
          <w:color w:val="000000"/>
          <w:sz w:val="20"/>
        </w:rPr>
        <w:t>”) and Easterly Government Properties, Inc. (“</w:t>
      </w:r>
      <w:r>
        <w:rPr>
          <w:rFonts w:ascii="Times New Roman" w:hAnsi="Times New Roman"/>
          <w:b/>
          <w:color w:val="000000"/>
          <w:sz w:val="20"/>
        </w:rPr>
        <w:t>Party B</w:t>
      </w:r>
      <w:r>
        <w:rPr>
          <w:rFonts w:ascii="Times New Roman" w:hAnsi="Times New Roman"/>
          <w:color w:val="000000"/>
          <w:sz w:val="20"/>
        </w:rPr>
        <w:t>”) on the Trade Date specified below. This Supplemental Confirmation is a binding contract between Party A and Party B as of the relevant Trade Date for the Transaction referenced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pPr>
      <w:r>
        <w:rPr>
          <w:rFonts w:ascii="Times New Roman" w:hAnsi="Times New Roman"/>
          <w:color w:val="000000"/>
          <w:sz w:val="20"/>
        </w:rPr>
        <w:t>This Supplemental Confirmation supplements, forms part of, and is subject to the Master Confirmation dated as of August 4, 2026 (the “</w:t>
      </w:r>
      <w:r>
        <w:rPr>
          <w:rFonts w:ascii="Times New Roman" w:hAnsi="Times New Roman"/>
          <w:b/>
          <w:color w:val="000000"/>
          <w:sz w:val="20"/>
        </w:rPr>
        <w:t>Master Confirmation</w:t>
      </w:r>
      <w:r>
        <w:rPr>
          <w:color w:val="000000"/>
        </w:rPr>
        <w:t>”</w:t>
      </w:r>
      <w:r>
        <w:rPr>
          <w:rFonts w:ascii="Times New Roman" w:hAnsi="Times New Roman"/>
          <w:color w:val="000000"/>
          <w:sz w:val="20"/>
        </w:rPr>
        <w:t>) between Party A and Party B, as amended and supplemented from time to time. All provisions contained in the Master Confirmation govern this Supplemental Confirmation except as expressly modified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the Transaction to which this Supplemental Confirmation relates are as follows:</w:t>
      </w:r>
    </w:p>
    <w:p>
      <w:pPr>
        <w:pStyle w:val="TextBody"/>
        <w:bidi w:val="0"/>
        <w:spacing w:before="100" w:after="100"/>
        <w:jc w:val="left"/>
        <w:rPr>
          <w:rFonts w:ascii="Times New Roman" w:hAnsi="Times New Roman"/>
          <w:sz w:val="20"/>
        </w:rPr>
      </w:pPr>
      <w:r>
        <w:rPr>
          <w:rFonts w:ascii="Times New Roman" w:hAnsi="Times New Roman"/>
          <w:color w:val="000000"/>
          <w:sz w:val="20"/>
          <w:u w:val="single"/>
        </w:rPr>
        <w:t>Trade Date</w:t>
      </w:r>
      <w:r>
        <w:rPr>
          <w:rFonts w:ascii="Times New Roman" w:hAnsi="Times New Roman"/>
          <w:color w:val="000000"/>
          <w:sz w:val="20"/>
        </w:rPr>
        <w:t>: [_______]</w:t>
      </w:r>
    </w:p>
    <w:p>
      <w:pPr>
        <w:pStyle w:val="TextBody"/>
        <w:bidi w:val="0"/>
        <w:spacing w:before="0" w:after="100"/>
        <w:jc w:val="left"/>
        <w:rPr>
          <w:rFonts w:ascii="Times New Roman" w:hAnsi="Times New Roman"/>
          <w:sz w:val="20"/>
        </w:rPr>
      </w:pPr>
      <w:r>
        <w:rPr>
          <w:rFonts w:ascii="Times New Roman" w:hAnsi="Times New Roman"/>
          <w:color w:val="000000"/>
          <w:sz w:val="20"/>
          <w:u w:val="single"/>
        </w:rPr>
        <w:t>Effective Date</w:t>
      </w:r>
      <w:r>
        <w:rPr>
          <w:rFonts w:ascii="Times New Roman" w:hAnsi="Times New Roman"/>
          <w:color w:val="000000"/>
          <w:sz w:val="20"/>
        </w:rPr>
        <w:t>: [_______]</w:t>
      </w:r>
    </w:p>
    <w:p>
      <w:pPr>
        <w:pStyle w:val="TextBody"/>
        <w:bidi w:val="0"/>
        <w:spacing w:before="0" w:after="100"/>
        <w:jc w:val="left"/>
        <w:rPr>
          <w:rFonts w:ascii="Times New Roman" w:hAnsi="Times New Roman"/>
          <w:sz w:val="20"/>
        </w:rPr>
      </w:pPr>
      <w:r>
        <w:rPr>
          <w:rFonts w:ascii="Times New Roman" w:hAnsi="Times New Roman"/>
          <w:color w:val="000000"/>
          <w:sz w:val="20"/>
          <w:u w:val="single"/>
        </w:rPr>
        <w:t>Number of Shares</w:t>
      </w:r>
      <w:r>
        <w:rPr>
          <w:rFonts w:ascii="Times New Roman" w:hAnsi="Times New Roman"/>
          <w:color w:val="000000"/>
          <w:sz w:val="20"/>
        </w:rPr>
        <w:t>: [_______]</w:t>
      </w:r>
    </w:p>
    <w:p>
      <w:pPr>
        <w:pStyle w:val="TextBody"/>
        <w:bidi w:val="0"/>
        <w:spacing w:before="0" w:after="100"/>
        <w:jc w:val="left"/>
        <w:rPr>
          <w:rFonts w:ascii="Times New Roman" w:hAnsi="Times New Roman"/>
          <w:sz w:val="20"/>
        </w:rPr>
      </w:pPr>
      <w:r>
        <w:rPr>
          <w:rFonts w:ascii="Times New Roman" w:hAnsi="Times New Roman"/>
          <w:color w:val="000000"/>
          <w:sz w:val="20"/>
          <w:u w:val="single"/>
        </w:rPr>
        <w:t>Maturity Date</w:t>
      </w:r>
      <w:r>
        <w:rPr>
          <w:rFonts w:ascii="Times New Roman" w:hAnsi="Times New Roman"/>
          <w:color w:val="000000"/>
          <w:sz w:val="20"/>
        </w:rPr>
        <w:t>: [_______]</w:t>
      </w:r>
    </w:p>
    <w:p>
      <w:pPr>
        <w:pStyle w:val="TextBody"/>
        <w:bidi w:val="0"/>
        <w:spacing w:before="0" w:after="100"/>
        <w:jc w:val="left"/>
        <w:rPr>
          <w:rFonts w:ascii="Times New Roman" w:hAnsi="Times New Roman"/>
          <w:sz w:val="20"/>
        </w:rPr>
      </w:pPr>
      <w:r>
        <w:rPr>
          <w:rFonts w:ascii="Times New Roman" w:hAnsi="Times New Roman"/>
          <w:color w:val="000000"/>
          <w:sz w:val="20"/>
          <w:u w:val="single"/>
        </w:rPr>
        <w:t>Initial Forward Price</w:t>
      </w:r>
      <w:r>
        <w:rPr>
          <w:rFonts w:ascii="Times New Roman" w:hAnsi="Times New Roman"/>
          <w:color w:val="000000"/>
          <w:sz w:val="20"/>
        </w:rPr>
        <w:t>: USD [____]</w:t>
      </w:r>
    </w:p>
    <w:p>
      <w:pPr>
        <w:pStyle w:val="TextBody"/>
        <w:bidi w:val="0"/>
        <w:spacing w:before="0" w:after="100"/>
        <w:jc w:val="left"/>
        <w:rPr>
          <w:rFonts w:ascii="Times New Roman" w:hAnsi="Times New Roman"/>
          <w:sz w:val="20"/>
        </w:rPr>
      </w:pPr>
      <w:r>
        <w:rPr>
          <w:rFonts w:ascii="Times New Roman" w:hAnsi="Times New Roman"/>
          <w:color w:val="000000"/>
          <w:sz w:val="20"/>
          <w:u w:val="single"/>
        </w:rPr>
        <w:t>Threshold Price</w:t>
      </w:r>
      <w:r>
        <w:rPr>
          <w:rFonts w:ascii="Times New Roman" w:hAnsi="Times New Roman"/>
          <w:color w:val="000000"/>
          <w:sz w:val="20"/>
        </w:rPr>
        <w:t>: USD [____]</w:t>
      </w:r>
    </w:p>
    <w:p>
      <w:pPr>
        <w:pStyle w:val="TextBody"/>
        <w:bidi w:val="0"/>
        <w:spacing w:before="0" w:after="100"/>
        <w:jc w:val="left"/>
        <w:rPr>
          <w:rFonts w:ascii="Times New Roman" w:hAnsi="Times New Roman"/>
          <w:sz w:val="20"/>
        </w:rPr>
      </w:pPr>
      <w:r>
        <w:rPr>
          <w:rFonts w:ascii="Times New Roman" w:hAnsi="Times New Roman"/>
          <w:color w:val="000000"/>
          <w:sz w:val="20"/>
          <w:u w:val="single"/>
        </w:rPr>
        <w:t>Volume-Weighted Hedge Price</w:t>
      </w:r>
      <w:r>
        <w:rPr>
          <w:rFonts w:ascii="Times New Roman" w:hAnsi="Times New Roman"/>
          <w:color w:val="000000"/>
          <w:sz w:val="20"/>
        </w:rPr>
        <w:t>: [_______]</w:t>
      </w:r>
    </w:p>
    <w:p>
      <w:pPr>
        <w:pStyle w:val="TextBody"/>
        <w:bidi w:val="0"/>
        <w:spacing w:before="0" w:after="100"/>
        <w:jc w:val="left"/>
        <w:rPr>
          <w:rFonts w:ascii="Times New Roman" w:hAnsi="Times New Roman"/>
          <w:sz w:val="20"/>
        </w:rPr>
      </w:pPr>
      <w:r>
        <w:rPr>
          <w:rFonts w:ascii="Times New Roman" w:hAnsi="Times New Roman"/>
          <w:color w:val="000000"/>
          <w:sz w:val="20"/>
          <w:u w:val="single"/>
        </w:rPr>
        <w:t>Spread</w:t>
      </w:r>
      <w:r>
        <w:rPr>
          <w:rFonts w:ascii="Times New Roman" w:hAnsi="Times New Roman"/>
          <w:color w:val="000000"/>
          <w:sz w:val="20"/>
        </w:rPr>
        <w:t>: [_.__]% per annum</w:t>
      </w:r>
    </w:p>
    <w:p>
      <w:pPr>
        <w:pStyle w:val="TextBody"/>
        <w:bidi w:val="0"/>
        <w:spacing w:before="0" w:after="100"/>
        <w:jc w:val="left"/>
        <w:rPr>
          <w:rFonts w:ascii="Times New Roman" w:hAnsi="Times New Roman"/>
          <w:sz w:val="20"/>
        </w:rPr>
      </w:pPr>
      <w:r>
        <w:rPr>
          <w:rFonts w:ascii="Times New Roman" w:hAnsi="Times New Roman"/>
          <w:color w:val="000000"/>
          <w:sz w:val="20"/>
          <w:u w:val="single"/>
        </w:rPr>
        <w:t>Initial Stock Loan Rate</w:t>
      </w:r>
      <w:r>
        <w:rPr>
          <w:rFonts w:ascii="Times New Roman" w:hAnsi="Times New Roman"/>
          <w:color w:val="000000"/>
          <w:sz w:val="20"/>
        </w:rPr>
        <w:t>: [_______]</w:t>
      </w:r>
    </w:p>
    <w:p>
      <w:pPr>
        <w:pStyle w:val="TextBody"/>
        <w:bidi w:val="0"/>
        <w:spacing w:before="0" w:after="100"/>
        <w:jc w:val="left"/>
        <w:rPr>
          <w:rFonts w:ascii="Times New Roman" w:hAnsi="Times New Roman"/>
          <w:sz w:val="20"/>
        </w:rPr>
      </w:pPr>
      <w:r>
        <w:rPr>
          <w:rFonts w:ascii="Times New Roman" w:hAnsi="Times New Roman"/>
          <w:color w:val="000000"/>
          <w:sz w:val="20"/>
          <w:u w:val="single"/>
        </w:rPr>
        <w:t>Maximum Stock Loan Rate</w:t>
      </w:r>
      <w:r>
        <w:rPr>
          <w:rFonts w:ascii="Times New Roman" w:hAnsi="Times New Roman"/>
          <w:color w:val="000000"/>
          <w:sz w:val="20"/>
        </w:rPr>
        <w:t>: [_______]</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Party B hereby agrees (a) to check this Supplemental Confirmation carefully and immediately upon receipt so that errors or discrepancies can be promptly identified and rectified and (b) to confirm that the foregoing (in the exact form provided by Party A) correctly sets forth the terms of the agreement between Party A and Party B hereunder, by manually signing this Supplemental Confirmation or this page hereof as evidence of agreement to such terms and providing the other information requested herein and immediately returning an executed copy to us.</w:t>
      </w:r>
    </w:p>
    <w:p>
      <w:pPr>
        <w:pStyle w:val="TextBody"/>
        <w:bidi w:val="0"/>
        <w:spacing w:before="480" w:after="283"/>
        <w:jc w:val="left"/>
        <w:rPr>
          <w:rFonts w:ascii="Times New Roman" w:hAnsi="Times New Roman"/>
          <w:color w:val="000000"/>
          <w:sz w:val="20"/>
        </w:rPr>
      </w:pPr>
      <w:r>
        <w:rPr>
          <w:rFonts w:ascii="Times New Roman" w:hAnsi="Times New Roman"/>
          <w:color w:val="000000"/>
          <w:sz w:val="20"/>
        </w:rPr>
        <w:t>Yours faithfully,</w:t>
      </w:r>
    </w:p>
    <w:p>
      <w:pPr>
        <w:pStyle w:val="TextBody"/>
        <w:bidi w:val="0"/>
        <w:jc w:val="left"/>
        <w:rPr/>
      </w:pPr>
      <w:r>
        <w:rPr/>
        <w:t> </w:t>
      </w:r>
    </w:p>
    <w:p>
      <w:pPr>
        <w:pStyle w:val="Heading2"/>
        <w:bidi w:val="0"/>
        <w:jc w:val="left"/>
        <w:rPr>
          <w:rFonts w:ascii="Times New Roman" w:hAnsi="Times New Roman"/>
          <w:color w:val="000000"/>
          <w:sz w:val="20"/>
        </w:rPr>
      </w:pPr>
      <w:r>
        <w:rPr>
          <w:rFonts w:ascii="Times New Roman" w:hAnsi="Times New Roman"/>
          <w:color w:val="000000"/>
          <w:sz w:val="20"/>
        </w:rPr>
        <w:t>[[●], as agent for</w:t>
      </w:r>
    </w:p>
    <w:p>
      <w:pPr>
        <w:pStyle w:val="Heading2"/>
        <w:bidi w:val="0"/>
        <w:jc w:val="left"/>
        <w:rPr>
          <w:rFonts w:ascii="Times New Roman" w:hAnsi="Times New Roman"/>
          <w:sz w:val="20"/>
        </w:rPr>
      </w:pPr>
      <w:r>
        <w:rPr>
          <w:rFonts w:ascii="Times New Roman" w:hAnsi="Times New Roman"/>
          <w:color w:val="000000"/>
          <w:sz w:val="20"/>
        </w:rPr>
        <w:t>[DEALER]]</w:t>
      </w:r>
      <w:r>
        <w:rPr>
          <w:rFonts w:ascii="Times New Roman" w:hAnsi="Times New Roman"/>
          <w:b w:val="false"/>
          <w:color w:val="000000"/>
          <w:sz w:val="20"/>
        </w:rPr>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_____________________________</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Authorized Representative </w:t>
      </w:r>
    </w:p>
    <w:p>
      <w:pPr>
        <w:pStyle w:val="TextBody"/>
        <w:bidi w:val="0"/>
        <w:jc w:val="left"/>
        <w:rPr/>
      </w:pPr>
      <w:r>
        <w:rPr/>
        <w:t> </w:t>
      </w:r>
    </w:p>
    <w:p>
      <w:pPr>
        <w:pStyle w:val="TextBody"/>
        <w:bidi w:val="0"/>
        <w:jc w:val="left"/>
        <w:rPr/>
      </w:pPr>
      <w:r>
        <w:rPr/>
        <w:t> </w:t>
      </w:r>
    </w:p>
    <w:p>
      <w:pPr>
        <w:pStyle w:val="Heading2"/>
        <w:bidi w:val="0"/>
        <w:jc w:val="left"/>
        <w:rPr>
          <w:rFonts w:ascii="Times New Roman" w:hAnsi="Times New Roman"/>
          <w:color w:val="000000"/>
          <w:sz w:val="20"/>
        </w:rPr>
      </w:pPr>
      <w:r>
        <w:rPr>
          <w:rFonts w:ascii="Times New Roman" w:hAnsi="Times New Roman"/>
          <w:color w:val="000000"/>
          <w:sz w:val="20"/>
        </w:rPr>
        <w:t xml:space="preserve">[DEALER] </w:t>
        <w:b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_____________________________</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Authorized Representative </w:t>
      </w:r>
    </w:p>
    <w:p>
      <w:pPr>
        <w:pStyle w:val="TextBody"/>
        <w:bidi w:val="0"/>
        <w:spacing w:before="24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Supplemental Confirmation]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Agreed and accepted by: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EASTERLY GOVERNMENT PROPERTIES, INC.</w:t>
      </w:r>
    </w:p>
    <w:p>
      <w:pPr>
        <w:pStyle w:val="TextBody"/>
        <w:bidi w:val="0"/>
        <w:spacing w:before="240" w:after="283"/>
        <w:jc w:val="left"/>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w:t>
      </w:r>
      <w:r>
        <w:rPr>
          <w:rFonts w:ascii="Times New Roman" w:hAnsi="Times New Roman"/>
          <w:color w:val="000000"/>
          <w:sz w:val="20"/>
        </w:rPr>
        <w:br/>
        <w:t>Name:</w:t>
        <w:br/>
        <w:t xml:space="preserve">Title: </w:t>
      </w:r>
    </w:p>
    <w:p>
      <w:pPr>
        <w:pStyle w:val="TextBody"/>
        <w:bidi w:val="0"/>
        <w:spacing w:before="240" w:after="283"/>
        <w:jc w:val="both"/>
        <w:rPr/>
      </w:pPr>
      <w:r>
        <w:rPr/>
        <w:t> </w:t>
      </w:r>
    </w:p>
    <w:p>
      <w:pPr>
        <w:pStyle w:val="TextBody"/>
        <w:bidi w:val="0"/>
        <w:spacing w:before="100" w:after="100"/>
        <w:jc w:val="left"/>
        <w:rPr/>
      </w:pPr>
      <w:r>
        <w:rPr/>
        <w:t> </w:t>
      </w:r>
    </w:p>
    <w:p>
      <w:pPr>
        <w:pStyle w:val="TextBody"/>
        <w:bidi w:val="0"/>
        <w:spacing w:before="0" w:after="100"/>
        <w:jc w:val="left"/>
        <w:rPr/>
      </w:pPr>
      <w:r>
        <w:rPr/>
        <w:t> </w:t>
      </w:r>
    </w:p>
    <w:p>
      <w:pPr>
        <w:pStyle w:val="TextBody"/>
        <w:bidi w:val="0"/>
        <w:spacing w:before="140" w:after="283"/>
        <w:jc w:val="both"/>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Supplemental Confirmation]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right"/>
        <w:rPr>
          <w:rFonts w:ascii="Times New Roman" w:hAnsi="Times New Roman"/>
          <w:b/>
          <w:color w:val="000000"/>
          <w:sz w:val="20"/>
        </w:rPr>
      </w:pPr>
      <w:r>
        <w:rPr>
          <w:rFonts w:ascii="Times New Roman" w:hAnsi="Times New Roman"/>
          <w:b/>
          <w:color w:val="000000"/>
          <w:sz w:val="20"/>
        </w:rPr>
        <w:t>Schedule I</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Forward Price Reduction Amounts</w:t>
      </w:r>
    </w:p>
    <w:p>
      <w:pPr>
        <w:pStyle w:val="TextBody"/>
        <w:bidi w:val="0"/>
        <w:spacing w:before="240" w:after="283"/>
        <w:jc w:val="both"/>
        <w:rPr/>
      </w:pPr>
      <w:r>
        <w:rPr/>
        <w:t> </w:t>
      </w:r>
    </w:p>
    <w:tbl>
      <w:tblPr>
        <w:tblW w:w="5837" w:type="dxa"/>
        <w:jc w:val="left"/>
        <w:tblInd w:w="0" w:type="dxa"/>
        <w:tblLayout w:type="fixed"/>
        <w:tblCellMar>
          <w:top w:w="28" w:type="dxa"/>
          <w:left w:w="28" w:type="dxa"/>
          <w:bottom w:w="28" w:type="dxa"/>
          <w:right w:w="28" w:type="dxa"/>
        </w:tblCellMar>
      </w:tblPr>
      <w:tblGrid>
        <w:gridCol w:w="2761"/>
        <w:gridCol w:w="3076"/>
      </w:tblGrid>
      <w:tr>
        <w:trPr/>
        <w:tc>
          <w:tcPr>
            <w:tcW w:w="276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27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83"/>
              <w:jc w:val="both"/>
              <w:rPr>
                <w:rFonts w:ascii="Times New Roman" w:hAnsi="Times New Roman"/>
                <w:b/>
                <w:color w:val="000000"/>
                <w:sz w:val="20"/>
              </w:rPr>
            </w:pPr>
            <w:r>
              <w:rPr>
                <w:rFonts w:ascii="Times New Roman" w:hAnsi="Times New Roman"/>
                <w:b/>
                <w:color w:val="000000"/>
                <w:sz w:val="20"/>
              </w:rPr>
              <w:t>Forward Price Reduction Date:</w:t>
            </w:r>
          </w:p>
        </w:tc>
        <w:tc>
          <w:tcPr>
            <w:tcW w:w="307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83"/>
              <w:jc w:val="both"/>
              <w:rPr>
                <w:rFonts w:ascii="Times New Roman" w:hAnsi="Times New Roman"/>
                <w:b/>
                <w:color w:val="000000"/>
                <w:sz w:val="20"/>
              </w:rPr>
            </w:pPr>
            <w:r>
              <w:rPr>
                <w:rFonts w:ascii="Times New Roman" w:hAnsi="Times New Roman"/>
                <w:b/>
                <w:color w:val="000000"/>
                <w:sz w:val="20"/>
              </w:rPr>
              <w:t>Forward Price Reduction Amount:</w:t>
            </w:r>
          </w:p>
        </w:tc>
      </w:tr>
      <w:tr>
        <w:trPr/>
        <w:tc>
          <w:tcPr>
            <w:tcW w:w="27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[_______]</w:t>
            </w:r>
          </w:p>
        </w:tc>
        <w:tc>
          <w:tcPr>
            <w:tcW w:w="30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USD[_______]</w:t>
            </w:r>
          </w:p>
        </w:tc>
      </w:tr>
      <w:tr>
        <w:trPr/>
        <w:tc>
          <w:tcPr>
            <w:tcW w:w="27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[_______]</w:t>
            </w:r>
          </w:p>
        </w:tc>
        <w:tc>
          <w:tcPr>
            <w:tcW w:w="30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USD[_______]</w:t>
            </w:r>
          </w:p>
        </w:tc>
      </w:tr>
    </w:tbl>
    <w:p>
      <w:pPr>
        <w:pStyle w:val="TextBody"/>
        <w:bidi w:val="0"/>
        <w:spacing w:before="240" w:after="283"/>
        <w:jc w:val="both"/>
        <w:rPr/>
      </w:pPr>
      <w:r>
        <w:rPr/>
        <w:t>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REGULAR DIVIDEND AMOUNTS</w:t>
      </w:r>
    </w:p>
    <w:p>
      <w:pPr>
        <w:pStyle w:val="TextBody"/>
        <w:bidi w:val="0"/>
        <w:spacing w:before="240" w:after="283"/>
        <w:jc w:val="both"/>
        <w:rPr/>
      </w:pPr>
      <w:r>
        <w:rPr/>
        <w:t> </w:t>
      </w:r>
    </w:p>
    <w:tbl>
      <w:tblPr>
        <w:tblW w:w="3527" w:type="dxa"/>
        <w:jc w:val="left"/>
        <w:tblInd w:w="0" w:type="dxa"/>
        <w:tblLayout w:type="fixed"/>
        <w:tblCellMar>
          <w:top w:w="28" w:type="dxa"/>
          <w:left w:w="28" w:type="dxa"/>
          <w:bottom w:w="28" w:type="dxa"/>
          <w:right w:w="28" w:type="dxa"/>
        </w:tblCellMar>
      </w:tblPr>
      <w:tblGrid>
        <w:gridCol w:w="2146"/>
        <w:gridCol w:w="1381"/>
      </w:tblGrid>
      <w:tr>
        <w:trPr/>
        <w:tc>
          <w:tcPr>
            <w:tcW w:w="2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214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For any calendar quarter:</w:t>
            </w:r>
          </w:p>
        </w:tc>
        <w:tc>
          <w:tcPr>
            <w:tcW w:w="13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USD[_______]</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right"/>
        <w:rPr>
          <w:rFonts w:ascii="Times New Roman" w:hAnsi="Times New Roman"/>
          <w:b/>
          <w:color w:val="000000"/>
          <w:sz w:val="20"/>
        </w:rPr>
      </w:pPr>
      <w:r>
        <w:rPr>
          <w:rFonts w:ascii="Times New Roman" w:hAnsi="Times New Roman"/>
          <w:b/>
          <w:color w:val="000000"/>
          <w:sz w:val="20"/>
        </w:rPr>
        <w:t>ANNEX B</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PRIVATE PLACEMENT PROCEDURES</w:t>
      </w:r>
    </w:p>
    <w:p>
      <w:pPr>
        <w:pStyle w:val="TextBody"/>
        <w:bidi w:val="0"/>
        <w:spacing w:before="240" w:after="283"/>
        <w:jc w:val="both"/>
        <w:rPr>
          <w:rFonts w:ascii="Times New Roman" w:hAnsi="Times New Roman"/>
          <w:sz w:val="20"/>
        </w:rPr>
      </w:pPr>
      <w:r>
        <w:rPr>
          <w:rFonts w:ascii="Times New Roman" w:hAnsi="Times New Roman"/>
          <w:color w:val="000000"/>
          <w:sz w:val="20"/>
        </w:rPr>
        <w:t>If Party B delivers Unregistered Settlement Shares pursuant to Section 12 above (a “</w:t>
      </w:r>
      <w:r>
        <w:rPr>
          <w:rFonts w:ascii="Times New Roman" w:hAnsi="Times New Roman"/>
          <w:b/>
          <w:color w:val="000000"/>
          <w:sz w:val="20"/>
        </w:rPr>
        <w:t>Private Placement Settlement</w:t>
      </w:r>
      <w:r>
        <w:rPr>
          <w:rFonts w:ascii="Times New Roman" w:hAnsi="Times New Roman"/>
          <w:color w:val="000000"/>
          <w:sz w:val="20"/>
        </w:rPr>
        <w:t>”), then: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Unregistered Settlement Shares shall be delivered to Party A (or any affiliate of Party A designated by Party A) pursuant to the exemption from the registration requirements of the Securities Act provided by Section 4(a)(2) thereof;</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as of or prior to the date of delivery, Party A and any potential purchaser of any such shares from Party A (or any affiliate of Party A designated by Party A) identified by Party A shall be afforded a commercially reasonable opportunity to conduct a due diligence investigation with respect to Party B customary in scope for private placements of equity securities of similar size (including, without limitation, the right to have made available to them for inspection all financial and other records, pertinent corporate documents and other information reasonably requested by them); provided that prior to receiving or being granted access to any such information, Party A, such affiliate of Party A or such potential purchaser, as the case may be, may be required by Party B to enter into a customary nondisclosure agreement with Party B in respect of any such due diligence investigation.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40" w:after="283"/>
        <w:jc w:val="both"/>
        <w:rPr/>
      </w:pPr>
      <w:r>
        <w:rPr>
          <w:rFonts w:ascii="Times New Roman" w:hAnsi="Times New Roman"/>
          <w:color w:val="000000"/>
          <w:sz w:val="20"/>
        </w:rPr>
        <w:t>as of the date of delivery, Party B shall enter into an agreement (a “</w:t>
      </w:r>
      <w:r>
        <w:rPr>
          <w:rFonts w:ascii="Times New Roman" w:hAnsi="Times New Roman"/>
          <w:b/>
          <w:color w:val="000000"/>
          <w:sz w:val="20"/>
        </w:rPr>
        <w:t>Private Placement Agreement</w:t>
      </w:r>
      <w:r>
        <w:rPr>
          <w:color w:val="000000"/>
        </w:rPr>
        <w:t>”</w:t>
      </w:r>
      <w:r>
        <w:rPr>
          <w:rFonts w:ascii="Times New Roman" w:hAnsi="Times New Roman"/>
          <w:color w:val="000000"/>
          <w:sz w:val="20"/>
        </w:rPr>
        <w:t>) with Party A (or any affiliate of Party A designated by Party A) in connection with the private placement of such shares by Party B to Party A (or any such affiliate) and the private resale of such shares by Party A (or any such affiliate), substantially similar to private placement purchase agreements customary for private placements of equity securities of similar size, in form and substance commercially reasonably satisfactory to Party A, which Private Placement Agreement shall include, without limitation, provisions substantially similar to those contained in such private placement purchase agreements relating, without limitation, to the indemnification of, and contribution in connection with the liability of, Party A and its affiliates and obligations to use best efforts to obtain customary opinions, accountants’ comfort letters and lawyers’ negative assurance letters, and shall provide for the payment by Party B of all commercially reasonable fees and expenses in connection with such resale, including all commercially reasonable fees and expenses of counsel for Party A, and shall contain representations, warranties, covenants and agreements of Party B reasonably necessary or advisable to establish and maintain the availability of an exemption from the registration requirements of the Securities Act for such resales;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private placement of such shares by Party B to Party A (or any such affiliate) and the private resale of such shares by Party A (or any such affiliate), Party B shall, if so requested by Party A, prepare, in cooperation with Party A, a private placement memorandum in form and substance reasonably satisfactory to Party 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case of a Private Placement Settlement, Party A shall, in its good faith discretion, adjust the amount of Unregistered Settlement Shares to be delivered to Party A hereunder in a commercially reasonable manner to reflect the fact that such Unregistered Settlement Shares may not be freely returned to securities lenders by Party A and may only be saleable by Party A at a discount to reflect the lack of liquidity in Unregistered Settlement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Party B delivers any Unregistered Settlement Shares in respect of any Transaction, Party B agrees that (i) such Shares may be transferred by and among Party A and its affiliates and (ii) after the minimum “holding period” within the meaning of Rule 144(d) under the Securities Act has elapsed after the applicable Settlement Date (or earlier, if applicable), Party B shall promptly remove, or cause the transfer agent for the Shares to remove, any legends referring to any transfer restrictions from such Shares upon delivery by Party A (or such affiliate of Party A) to Party B or such transfer agent of seller’s and broker’s representation letters customarily delivered by Party A or its affiliates in connection with resales of restricted securities pursuant to Rule 144 under the Securities Act, each without any further requirement for the delivery of any certificate, consent, agreement, opinion of counsel, notice or any other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document, any transfer tax stamps or payment of any other amount or any other action by Party A (or such affiliate of Party 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0" w:name="dea-ex1_3.htm"/>
      <w:bookmarkStart w:id="11" w:name="ksdeaex1_3"/>
      <w:bookmarkEnd w:id="10"/>
      <w:bookmarkEnd w:id="11"/>
      <w:r>
        <w:rPr>
          <w:rFonts w:ascii="Times New Roman" w:hAnsi="Times New Roman"/>
          <w:b/>
          <w:color w:val="000000"/>
          <w:sz w:val="20"/>
        </w:rPr>
        <w:t>Exhibit 1.3</w:t>
      </w:r>
      <w:r>
        <w:br w:type="page"/>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FORM OF MASTER CONFIRMATION FOR CONTINGENT FORWARDS</w:t>
      </w:r>
    </w:p>
    <w:p>
      <w:pPr>
        <w:pStyle w:val="TextBody"/>
        <w:bidi w:val="0"/>
        <w:spacing w:before="240" w:after="283"/>
        <w:jc w:val="right"/>
        <w:rPr/>
      </w:pPr>
      <w:r>
        <w:rPr/>
        <w:t> </w:t>
      </w:r>
    </w:p>
    <w:tbl>
      <w:tblPr>
        <w:tblW w:w="5825" w:type="dxa"/>
        <w:jc w:val="left"/>
        <w:tblInd w:w="0" w:type="dxa"/>
        <w:tblLayout w:type="fixed"/>
        <w:tblCellMar>
          <w:top w:w="28" w:type="dxa"/>
          <w:left w:w="28" w:type="dxa"/>
          <w:bottom w:w="28" w:type="dxa"/>
          <w:right w:w="28" w:type="dxa"/>
        </w:tblCellMar>
      </w:tblPr>
      <w:tblGrid>
        <w:gridCol w:w="805"/>
        <w:gridCol w:w="5020"/>
      </w:tblGrid>
      <w:tr>
        <w:trPr/>
        <w:tc>
          <w:tcPr>
            <w:tcW w:w="805" w:type="dxa"/>
            <w:tcBorders/>
            <w:vAlign w:val="center"/>
          </w:tcPr>
          <w:p>
            <w:pPr>
              <w:pStyle w:val="TableContents"/>
              <w:bidi w:val="0"/>
              <w:spacing w:before="0" w:after="283"/>
              <w:jc w:val="left"/>
              <w:rPr>
                <w:sz w:val="4"/>
                <w:szCs w:val="4"/>
              </w:rPr>
            </w:pPr>
            <w:r>
              <w:rPr>
                <w:sz w:val="4"/>
                <w:szCs w:val="4"/>
              </w:rPr>
            </w:r>
          </w:p>
        </w:tc>
        <w:tc>
          <w:tcPr>
            <w:tcW w:w="5020" w:type="dxa"/>
            <w:tcBorders/>
            <w:vAlign w:val="center"/>
          </w:tcPr>
          <w:p>
            <w:pPr>
              <w:pStyle w:val="TableContents"/>
              <w:bidi w:val="0"/>
              <w:spacing w:before="0" w:after="283"/>
              <w:jc w:val="left"/>
              <w:rPr>
                <w:sz w:val="4"/>
                <w:szCs w:val="4"/>
              </w:rPr>
            </w:pPr>
            <w:r>
              <w:rPr>
                <w:sz w:val="4"/>
                <w:szCs w:val="4"/>
              </w:rPr>
            </w:r>
          </w:p>
        </w:tc>
      </w:tr>
      <w:tr>
        <w:trPr/>
        <w:tc>
          <w:tcPr>
            <w:tcW w:w="80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ind w:left="0" w:right="0" w:firstLine="144"/>
              <w:jc w:val="right"/>
              <w:rPr>
                <w:rFonts w:ascii="Times New Roman" w:hAnsi="Times New Roman"/>
                <w:b/>
                <w:color w:val="000000"/>
                <w:sz w:val="20"/>
              </w:rPr>
            </w:pPr>
            <w:r>
              <w:rPr>
                <w:rFonts w:ascii="Times New Roman" w:hAnsi="Times New Roman"/>
                <w:b/>
                <w:color w:val="000000"/>
                <w:sz w:val="20"/>
              </w:rPr>
              <w:t>To:</w:t>
            </w:r>
          </w:p>
        </w:tc>
        <w:tc>
          <w:tcPr>
            <w:tcW w:w="502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ind w:left="0" w:right="0" w:firstLine="144"/>
              <w:jc w:val="left"/>
              <w:rPr>
                <w:rFonts w:ascii="Times New Roman" w:hAnsi="Times New Roman"/>
                <w:sz w:val="20"/>
              </w:rPr>
            </w:pPr>
            <w:bookmarkStart w:id="12" w:name="to1"/>
            <w:bookmarkEnd w:id="12"/>
            <w:r>
              <w:rPr>
                <w:rFonts w:ascii="Times New Roman" w:hAnsi="Times New Roman"/>
                <w:color w:val="000000"/>
                <w:sz w:val="20"/>
              </w:rPr>
              <w:t>Easterly Government Properties, Inc. (“</w:t>
            </w:r>
            <w:r>
              <w:rPr>
                <w:rFonts w:ascii="Times New Roman" w:hAnsi="Times New Roman"/>
                <w:b/>
                <w:color w:val="000000"/>
                <w:sz w:val="20"/>
              </w:rPr>
              <w:t>Party B</w:t>
            </w:r>
            <w:r>
              <w:rPr>
                <w:rFonts w:ascii="Times New Roman" w:hAnsi="Times New Roman"/>
                <w:color w:val="000000"/>
                <w:sz w:val="20"/>
              </w:rPr>
              <w:t>”)</w:t>
            </w:r>
          </w:p>
        </w:tc>
      </w:tr>
      <w:tr>
        <w:trPr/>
        <w:tc>
          <w:tcPr>
            <w:tcW w:w="80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44"/>
              <w:jc w:val="right"/>
              <w:rPr>
                <w:rFonts w:ascii="Times New Roman" w:hAnsi="Times New Roman"/>
                <w:b/>
                <w:color w:val="000000"/>
                <w:sz w:val="20"/>
              </w:rPr>
            </w:pPr>
            <w:r>
              <w:rPr>
                <w:rFonts w:ascii="Times New Roman" w:hAnsi="Times New Roman"/>
                <w:b/>
                <w:color w:val="000000"/>
                <w:sz w:val="20"/>
              </w:rPr>
              <w:t>From:</w:t>
            </w:r>
          </w:p>
        </w:tc>
        <w:tc>
          <w:tcPr>
            <w:tcW w:w="5020" w:type="dxa"/>
            <w:tcBorders>
              <w:bottom w:val="single" w:sz="4" w:space="0" w:color="000000"/>
              <w:right w:val="single" w:sz="4" w:space="0" w:color="000000"/>
            </w:tcBorders>
            <w:tcMar>
              <w:top w:w="0" w:type="dxa"/>
              <w:left w:w="0" w:type="dxa"/>
              <w:right w:w="108" w:type="dxa"/>
            </w:tcMar>
            <w:vAlign w:val="center"/>
          </w:tcPr>
          <w:p>
            <w:pPr>
              <w:pStyle w:val="TableContents"/>
              <w:bidi w:val="0"/>
              <w:ind w:left="0" w:right="0" w:firstLine="144"/>
              <w:jc w:val="left"/>
              <w:rPr>
                <w:rFonts w:ascii="Times New Roman" w:hAnsi="Times New Roman"/>
                <w:sz w:val="20"/>
              </w:rPr>
            </w:pPr>
            <w:bookmarkStart w:id="13" w:name="from1"/>
            <w:bookmarkEnd w:id="13"/>
            <w:r>
              <w:rPr>
                <w:rFonts w:ascii="Times New Roman" w:hAnsi="Times New Roman"/>
                <w:color w:val="000000"/>
                <w:sz w:val="20"/>
              </w:rPr>
              <w:t>[DEALER] (“</w:t>
            </w:r>
            <w:r>
              <w:rPr>
                <w:rFonts w:ascii="Times New Roman" w:hAnsi="Times New Roman"/>
                <w:b/>
                <w:color w:val="000000"/>
                <w:sz w:val="20"/>
              </w:rPr>
              <w:t>Party A</w:t>
            </w:r>
            <w:r>
              <w:rPr>
                <w:rFonts w:ascii="Times New Roman" w:hAnsi="Times New Roman"/>
                <w:color w:val="000000"/>
                <w:sz w:val="20"/>
              </w:rPr>
              <w:t>”)</w:t>
            </w:r>
          </w:p>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[DEALER CONTACT INFORMATION]</w:t>
            </w:r>
          </w:p>
        </w:tc>
      </w:tr>
      <w:tr>
        <w:trPr/>
        <w:tc>
          <w:tcPr>
            <w:tcW w:w="80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44"/>
              <w:jc w:val="right"/>
              <w:rPr>
                <w:rFonts w:ascii="Times New Roman" w:hAnsi="Times New Roman"/>
                <w:b/>
                <w:color w:val="000000"/>
                <w:sz w:val="20"/>
              </w:rPr>
            </w:pPr>
            <w:r>
              <w:rPr>
                <w:rFonts w:ascii="Times New Roman" w:hAnsi="Times New Roman"/>
                <w:b/>
                <w:color w:val="000000"/>
                <w:sz w:val="20"/>
              </w:rPr>
              <w:t>Re:</w:t>
            </w:r>
          </w:p>
        </w:tc>
        <w:tc>
          <w:tcPr>
            <w:tcW w:w="50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Master Confirmation for Contingent Forward Transactions</w:t>
            </w:r>
          </w:p>
        </w:tc>
      </w:tr>
      <w:tr>
        <w:trPr/>
        <w:tc>
          <w:tcPr>
            <w:tcW w:w="80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44"/>
              <w:jc w:val="right"/>
              <w:rPr>
                <w:rFonts w:ascii="Times New Roman" w:hAnsi="Times New Roman"/>
                <w:b/>
                <w:color w:val="000000"/>
                <w:sz w:val="20"/>
              </w:rPr>
            </w:pPr>
            <w:r>
              <w:rPr>
                <w:rFonts w:ascii="Times New Roman" w:hAnsi="Times New Roman"/>
                <w:b/>
                <w:color w:val="000000"/>
                <w:sz w:val="20"/>
              </w:rPr>
              <w:t>Date:</w:t>
            </w:r>
          </w:p>
        </w:tc>
        <w:tc>
          <w:tcPr>
            <w:tcW w:w="50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44"/>
              <w:jc w:val="both"/>
              <w:rPr>
                <w:rFonts w:ascii="Times New Roman" w:hAnsi="Times New Roman"/>
                <w:color w:val="000000"/>
                <w:sz w:val="20"/>
              </w:rPr>
            </w:pPr>
            <w:r>
              <w:rPr>
                <w:rFonts w:ascii="Times New Roman" w:hAnsi="Times New Roman"/>
                <w:color w:val="000000"/>
                <w:sz w:val="20"/>
              </w:rPr>
              <w:t>August 4, 2026</w:t>
            </w:r>
          </w:p>
        </w:tc>
      </w:tr>
    </w:tbl>
    <w:p>
      <w:pPr>
        <w:pStyle w:val="TextBody"/>
        <w:bidi w:val="0"/>
        <w:spacing w:before="0" w:after="24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240" w:after="283"/>
        <w:jc w:val="both"/>
        <w:rPr>
          <w:rFonts w:ascii="Times New Roman" w:hAnsi="Times New Roman"/>
          <w:sz w:val="20"/>
        </w:rPr>
      </w:pPr>
      <w:r>
        <w:rPr>
          <w:rFonts w:ascii="Times New Roman" w:hAnsi="Times New Roman"/>
          <w:color w:val="000000"/>
          <w:sz w:val="20"/>
        </w:rPr>
        <w:t>The purpose of this communication (this “</w:t>
      </w:r>
      <w:r>
        <w:rPr>
          <w:rFonts w:ascii="Times New Roman" w:hAnsi="Times New Roman"/>
          <w:b/>
          <w:color w:val="000000"/>
          <w:sz w:val="20"/>
        </w:rPr>
        <w:t>Master Confirmation</w:t>
      </w:r>
      <w:r>
        <w:rPr>
          <w:rFonts w:ascii="Times New Roman" w:hAnsi="Times New Roman"/>
          <w:color w:val="000000"/>
          <w:sz w:val="20"/>
        </w:rPr>
        <w:t>”) is to set forth the terms and conditions of the transactions to be entered into from time to time (each, a “</w:t>
      </w:r>
      <w:r>
        <w:rPr>
          <w:rFonts w:ascii="Times New Roman" w:hAnsi="Times New Roman"/>
          <w:b/>
          <w:color w:val="000000"/>
          <w:sz w:val="20"/>
        </w:rPr>
        <w:t>Transaction</w:t>
      </w:r>
      <w:r>
        <w:rPr>
          <w:rFonts w:ascii="Times New Roman" w:hAnsi="Times New Roman"/>
          <w:color w:val="000000"/>
          <w:sz w:val="20"/>
        </w:rPr>
        <w:t>” and, collectively, the “</w:t>
      </w:r>
      <w:r>
        <w:rPr>
          <w:rFonts w:ascii="Times New Roman" w:hAnsi="Times New Roman"/>
          <w:b/>
          <w:color w:val="000000"/>
          <w:sz w:val="20"/>
        </w:rPr>
        <w:t>Transactions</w:t>
      </w:r>
      <w:r>
        <w:rPr>
          <w:rFonts w:ascii="Times New Roman" w:hAnsi="Times New Roman"/>
          <w:color w:val="000000"/>
          <w:sz w:val="20"/>
        </w:rPr>
        <w:t>”) between [DEALER] (“</w:t>
      </w:r>
      <w:r>
        <w:rPr>
          <w:rFonts w:ascii="Times New Roman" w:hAnsi="Times New Roman"/>
          <w:b/>
          <w:color w:val="000000"/>
          <w:sz w:val="20"/>
        </w:rPr>
        <w:t>Party A</w:t>
      </w:r>
      <w:r>
        <w:rPr>
          <w:rFonts w:ascii="Times New Roman" w:hAnsi="Times New Roman"/>
          <w:color w:val="000000"/>
          <w:sz w:val="20"/>
        </w:rPr>
        <w:t>”)[, represented by [●] as its agent (“</w:t>
      </w:r>
      <w:r>
        <w:rPr>
          <w:rFonts w:ascii="Times New Roman" w:hAnsi="Times New Roman"/>
          <w:b/>
          <w:color w:val="000000"/>
          <w:sz w:val="20"/>
        </w:rPr>
        <w:t>Agent</w:t>
      </w:r>
      <w:r>
        <w:rPr>
          <w:rFonts w:ascii="Times New Roman" w:hAnsi="Times New Roman"/>
          <w:color w:val="000000"/>
          <w:sz w:val="20"/>
        </w:rPr>
        <w:t>”),] and Easterly Government Properties, Inc. (“</w:t>
      </w:r>
      <w:r>
        <w:rPr>
          <w:rFonts w:ascii="Times New Roman" w:hAnsi="Times New Roman"/>
          <w:b/>
          <w:color w:val="000000"/>
          <w:sz w:val="20"/>
        </w:rPr>
        <w:t>Party B</w:t>
      </w:r>
      <w:r>
        <w:rPr>
          <w:rFonts w:ascii="Times New Roman" w:hAnsi="Times New Roman"/>
          <w:color w:val="000000"/>
          <w:sz w:val="20"/>
        </w:rPr>
        <w:t>”) in accordance with the terms of the Amended and Restated Equity Distribution Agreement (the “</w:t>
      </w:r>
      <w:r>
        <w:rPr>
          <w:rFonts w:ascii="Times New Roman" w:hAnsi="Times New Roman"/>
          <w:b/>
          <w:color w:val="000000"/>
          <w:sz w:val="20"/>
        </w:rPr>
        <w:t>Distribution Agreement</w:t>
      </w:r>
      <w:r>
        <w:rPr>
          <w:rFonts w:ascii="Times New Roman" w:hAnsi="Times New Roman"/>
          <w:color w:val="000000"/>
          <w:sz w:val="20"/>
        </w:rPr>
        <w:t>”), dated as of August 4, 2026, among Party A, Party B, Easterly Government Properties LP, a Delaware limited partnership (the “</w:t>
      </w:r>
      <w:r>
        <w:rPr>
          <w:rFonts w:ascii="Times New Roman" w:hAnsi="Times New Roman"/>
          <w:b/>
          <w:color w:val="000000"/>
          <w:sz w:val="20"/>
        </w:rPr>
        <w:t>Operating Partnership</w:t>
      </w:r>
      <w:r>
        <w:rPr>
          <w:rFonts w:ascii="Times New Roman" w:hAnsi="Times New Roman"/>
          <w:color w:val="000000"/>
          <w:sz w:val="20"/>
        </w:rPr>
        <w:t>”) and the other parties thereto. Each Transaction will be evidenced by a supplemental confirmation substantially in the form of Annex A hereto (each, a “</w:t>
      </w:r>
      <w:r>
        <w:rPr>
          <w:rFonts w:ascii="Times New Roman" w:hAnsi="Times New Roman"/>
          <w:b/>
          <w:color w:val="000000"/>
          <w:sz w:val="20"/>
        </w:rPr>
        <w:t>Supplemental Confirmation</w:t>
      </w:r>
      <w:r>
        <w:rPr>
          <w:rFonts w:ascii="Times New Roman" w:hAnsi="Times New Roman"/>
          <w:color w:val="000000"/>
          <w:sz w:val="20"/>
        </w:rPr>
        <w:t>”, and each such Supplemental Confirmation, together with this Master Confirmation, a “</w:t>
      </w:r>
      <w:r>
        <w:rPr>
          <w:rFonts w:ascii="Times New Roman" w:hAnsi="Times New Roman"/>
          <w:b/>
          <w:color w:val="000000"/>
          <w:sz w:val="20"/>
        </w:rPr>
        <w:t>Confirmation</w:t>
      </w:r>
      <w:r>
        <w:rPr>
          <w:rFonts w:ascii="Times New Roman" w:hAnsi="Times New Roman"/>
          <w:color w:val="000000"/>
          <w:sz w:val="20"/>
        </w:rPr>
        <w:t>” for purposes of the Agreement specified below). Each Confirmation will be a confirmation for purposes of Rule 10b-10 promulgated under the Securities Exchange Act of 1934, as amended (the “</w:t>
      </w:r>
      <w:r>
        <w:rPr>
          <w:rFonts w:ascii="Times New Roman" w:hAnsi="Times New Roman"/>
          <w:b/>
          <w:color w:val="000000"/>
          <w:sz w:val="20"/>
        </w:rPr>
        <w:t>Exchange Act</w:t>
      </w:r>
      <w:r>
        <w:rPr>
          <w:rFonts w:ascii="Times New Roman" w:hAnsi="Times New Roman"/>
          <w:color w:val="000000"/>
          <w:sz w:val="20"/>
        </w:rPr>
        <w:t>”).</w:t>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Confirmation is subject to, and incorporates, the 2002 ISDA Equity Derivatives Definitions (the “Equity Definitions”), as published by the International Swaps and Derivatives Association, Inc. (“ISDA”). For purposes of the Equity Definitions, each Transaction to which this Master Confirmation relates will be deemed to be a Share Forward Transaction.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Confirmation shall supplement, form a part of and be subject to an agreement (the “Agreement”) in the form of the 1992 ISDA Master Agreement (Multicurrency—Cross Border) (the “ISDA Form”), as published by ISDA, as if Party A and Party B had executed the ISDA Form on the date hereof (but without any Schedule except for (i) the election of Loss and Second Method, New York law (without regard to New York’s choice of laws doctrine other than Title 14 of Article 5 of the New York General Obligations Law) as the governing law and US Dollars (“USD”) as the Termination Currency, and (ii) the replacement of the word “third” in the last line of Section 5(a)(i) with the word “second”. All provisions contained in the Agreement are incorporated into and shall govern each Confirmation except as expressly modified below. Each Confirmation will evidence a complete and binding agreement between Party A and Party B as to the terms of the relevant Transaction and will replace any previous agreement between the parties with respect to the subject matter thereof.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Transactions under this Master Confirmation shall be the only Transactions under the Agreement. If there exists any ISDA Master Agreement between Party A or any of its Affiliates and Party B or any confirmation or other agreement between Party A or any of its Affiliates and Party B pursuant to which an ISDA Master Agreement is deemed to exist between Party A or any of its Affiliates and Party B, then notwithstanding anything to the contrary in such ISDA Master Agreement, such confirmation or agreement or any other agreement to which Party A or any of its Affiliates and Party B are parties, none of the Transactions to which this Master Confirmation relates shall be considered a “Transaction” under, or otherwise governed by, such existing or deemed ISDA Master Agreement. In the event of any inconsistency among the Agreement, this Master Confirmation, any Supplemental Confirmation and the Equity Definitions, the following will prevail in the order of precedence indicated: (i) such Supplemental Confirmation; (ii) this Master Confirmation; (iii) the Equity Definitions; and (iv) the Agreement.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Transaction is a Contingent Forward Transaction, which shall be considered a Share Forward Transaction for purposes of the Equity Definitions. The terms of a particular Transaction to which this Master Confirmation and a Supplemental Confirmation relate are as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u w:val="single"/>
        </w:rPr>
        <w:t>General Terms</w:t>
      </w:r>
      <w:r>
        <w:rPr>
          <w:rFonts w:ascii="Times New Roman" w:hAnsi="Times New Roman"/>
          <w:b/>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Trade Date: For each Transaction, as set forth in the related Supplemental Confirmation.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Maturity Date: For each Transaction, as set forth in the related Supplemental Confirmation.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Seller: Party 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Buyer: Party 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Shares: The common stock par value $0.01 per Share, of Party B (Ticker: “DEA”)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Components: Each Transaction will be divided into a number of individual Components equal to the number of Components for such Transaction, each with the terms set forth in this Master Confirmation and the related Supplemental Confirmation, and, in particular, with the Maximum Number of Shares and Contingency Expiration Date set forth in the related Supplemental Confirmation. The payments and deliveries to be made upon settlement of each Transaction will be determined separately for each Component as if each Component were a separate Transaction under the Agreement.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Maximum Transaction Number of Shares: For each Transaction, as set forth in the related Supplemental Confirmation. For the avoidance of doubt, the Maximum Transaction Number of Shares for any Transaction shall not exceed the number of Shares introduced into the public markets by the Forward Seller (as defined in the Distribution Agreement and referred to herein as the “Forward Hedge Seller”) in connection with the Initial Hedge Position in respect of such Transaction pursuant to the Distribution Agreement.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Transaction Number of Shares: For each Transaction, initially zero; and subject to increase from time to time pursuant to the terms set forth under “Contingency Terms” below. The Calculation Agent shall promptly notify Party B of any change in the Transaction Number of Shares and the Maximum Number of Shares for each Component of such Transaction from time to time.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Maximum Number of Shares: With respect to each Component of a Transaction, the Maximum Transaction Number of Shares </w:t>
      </w:r>
      <w:r>
        <w:rPr>
          <w:rFonts w:ascii="Times New Roman" w:hAnsi="Times New Roman"/>
          <w:i/>
          <w:color w:val="000000"/>
          <w:sz w:val="20"/>
        </w:rPr>
        <w:t>divided</w:t>
      </w:r>
      <w:r>
        <w:rPr>
          <w:rFonts w:ascii="Times New Roman" w:hAnsi="Times New Roman"/>
          <w:color w:val="000000"/>
          <w:sz w:val="20"/>
        </w:rPr>
        <w:t xml:space="preserve"> by the number of Components for such Transaction (rounded using a rounding convention determined by the Calculation Agent, with any remainder allocated to the final Component of such Transaction), as specified in the related Supplemental Confirmation. For the avoidance of doubt, the Maximum Number of Shares for any Component of a Transaction shall, if applicable, be reduced from time to time pursuant to terms set forth under “Contingency Terms” below.</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Initial Forward Price: For each Transaction, initially as set forth in the related Supplemental Confirmation. The Initial Forward Price shall be decreased by the Forward Price Reduction Amounts set forth in the relevant Supplemental Confirmation under “Forward Price Reduction Amounts” on the corresponding Forward Price Reduction Dates set forth therein that occur on or before the Contingency Completion Date for such Transaction.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Forward Price: For each Transaction: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pPr>
      <w:r>
        <w:rPr>
          <w:rFonts w:ascii="Times New Roman" w:hAnsi="Times New Roman"/>
          <w:color w:val="000000"/>
          <w:sz w:val="20"/>
        </w:rPr>
        <w:t>from and including the Trade Date for such Transaction up to, and including the Scheduled Trading Day on which the sum of the Maximum Number of Shares with respect to all Components of such Transaction is reduced to zero (“</w:t>
      </w:r>
      <w:r>
        <w:rPr>
          <w:rFonts w:ascii="Times New Roman" w:hAnsi="Times New Roman"/>
          <w:b/>
          <w:color w:val="000000"/>
          <w:sz w:val="20"/>
        </w:rPr>
        <w:t>Contingency Completion Date</w:t>
      </w:r>
      <w:r>
        <w:rPr>
          <w:color w:val="000000"/>
        </w:rPr>
        <w:t>”</w:t>
      </w:r>
      <w:r>
        <w:rPr>
          <w:rFonts w:ascii="Times New Roman" w:hAnsi="Times New Roman"/>
          <w:color w:val="000000"/>
          <w:sz w:val="20"/>
        </w:rPr>
        <w:t xml:space="preserve">), the product of (i) the Initial Forward Price for such Transaction and (ii)(A) one (1) </w:t>
      </w:r>
      <w:r>
        <w:rPr>
          <w:rFonts w:ascii="Times New Roman" w:hAnsi="Times New Roman"/>
          <w:i/>
          <w:color w:val="000000"/>
          <w:sz w:val="20"/>
        </w:rPr>
        <w:t>minus</w:t>
      </w:r>
      <w:r>
        <w:rPr>
          <w:color w:val="000000"/>
        </w:rPr>
        <w:t xml:space="preserve"> </w:t>
      </w:r>
      <w:r>
        <w:rPr>
          <w:rFonts w:ascii="Times New Roman" w:hAnsi="Times New Roman"/>
          <w:color w:val="000000"/>
          <w:sz w:val="20"/>
        </w:rPr>
        <w:t>(B) the Forward Hedge Selling Commission Rate; 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pPr>
      <w:r>
        <w:rPr>
          <w:rFonts w:ascii="Times New Roman" w:hAnsi="Times New Roman"/>
          <w:color w:val="000000"/>
          <w:sz w:val="20"/>
        </w:rPr>
        <w:t xml:space="preserve">on each calendar day thereafter, (i) the Forward Price as of the immediately preceding calendar day </w:t>
      </w:r>
      <w:r>
        <w:rPr>
          <w:rFonts w:ascii="Times New Roman" w:hAnsi="Times New Roman"/>
          <w:i/>
          <w:color w:val="000000"/>
          <w:sz w:val="20"/>
        </w:rPr>
        <w:t>multiplied by</w:t>
      </w:r>
      <w:r>
        <w:rPr>
          <w:color w:val="000000"/>
        </w:rPr>
        <w:t xml:space="preserve"> </w:t>
      </w:r>
      <w:r>
        <w:rPr>
          <w:rFonts w:ascii="Times New Roman" w:hAnsi="Times New Roman"/>
          <w:color w:val="000000"/>
          <w:sz w:val="20"/>
        </w:rPr>
        <w:t>(ii) the sum of one and the Daily Rate for such day. The Forward Price shall be decreased by the Forward Price Reduction Amounts set forth in the relevant Supplemental Confirmation under “Forward Price Reduction Amounts” on the corresponding Forward Price Reduction Dates set forth therein that occur after the Contingency Completion Date for such Transaction.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Forward Hedge Selling Commission Rate: For each Transaction, as set forth in the related Supplemental Confirmation.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Daily Rate: For any day, a rate (which may be positive or negative) equal to (i) (a) Overnight Bank Rate (or if the Overnight Bank Rate is no longer available, a successor rate selected by the Calculation Agent in its commercially reasonable discretion) for such day </w:t>
      </w:r>
      <w:r>
        <w:rPr>
          <w:rFonts w:ascii="Times New Roman" w:hAnsi="Times New Roman"/>
          <w:i/>
          <w:color w:val="000000"/>
          <w:sz w:val="20"/>
        </w:rPr>
        <w:t>minus</w:t>
      </w:r>
      <w:r>
        <w:rPr>
          <w:rFonts w:ascii="Times New Roman" w:hAnsi="Times New Roman"/>
          <w:color w:val="000000"/>
          <w:sz w:val="20"/>
        </w:rPr>
        <w:t xml:space="preserve"> (b) the Spread divided by (ii) 360.</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Overnight Bank Rate: For any day, the rate set forth for such day opposite the caption “Overnight bank funding rate”, as such rate is displayed on Bloomberg Screen “OBFR01 &lt;Index&gt; &lt;GO&gt;”, or any successor page; </w:t>
      </w:r>
      <w:r>
        <w:rPr>
          <w:rFonts w:ascii="Times New Roman" w:hAnsi="Times New Roman"/>
          <w:i/>
          <w:color w:val="000000"/>
          <w:sz w:val="20"/>
        </w:rPr>
        <w:t xml:space="preserve">provided </w:t>
      </w:r>
      <w:r>
        <w:rPr>
          <w:rFonts w:ascii="Times New Roman" w:hAnsi="Times New Roman"/>
          <w:color w:val="000000"/>
          <w:sz w:val="20"/>
        </w:rPr>
        <w:t>that, if no rate appears for a particular day on such page, the rate for the immediately preceding day for which a rate does so appear shall be used for such day.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Spread: For each Transaction, as set forth in the related Supplemental Confirmation.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Forward Price Reduction Dates: For each Transaction, as set forth in the related Supplemental Confirmation.</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Forward Price Reduction Amounts: For each Forward Price Reduction Date, the Forward Price Reduction Amount set forth opposite such date in the Supplemental Confirmation.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Contingency Premium: For all Components comprising a Transaction, as set forth in the related Supplemental Confirmation.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Contingency Premium Payment Date: For each Transaction, the later of (i) the second Currency Business Day following the Trade Date for such Transaction and (ii) the first Currency Business Day following the date on which Party B executes the related Supplemental Confirmation evidencing such Transaction.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It shall be a condition to Party A’s obligation to pay to Party B the Contingency Premium on the Contingency Premium Payment Date that Party B shall have satisfied (or caused to have satisfied) each of the conditions set forth in Section 8 of this Master Confirmation.</w:t>
      </w:r>
    </w:p>
    <w:p>
      <w:pPr>
        <w:pStyle w:val="TextBody"/>
        <w:bidi w:val="0"/>
        <w:spacing w:before="0" w:after="240"/>
        <w:jc w:val="both"/>
        <w:rPr>
          <w:rFonts w:ascii="Times New Roman" w:hAnsi="Times New Roman"/>
          <w:sz w:val="20"/>
        </w:rPr>
      </w:pPr>
      <w:r>
        <w:rPr>
          <w:rFonts w:ascii="Times New Roman" w:hAnsi="Times New Roman"/>
          <w:color w:val="000000"/>
          <w:sz w:val="20"/>
        </w:rPr>
        <w:t>Initial Share Price: For each Transaction, unless otherwise agreed between the parties, the volume-weighted average price per Share at which Forward Hedge Seller establishes the initial hedge of the equity price risk undertaken by Party A with respect to the Maximum Transaction Number of Shares for such Transaction during the Forward Hedge Selling Period (as defined in the Distribution Agreement) by selling Shares in transactions effected under the Prospectus (as defined in the Distribution Agreement (as defined below)), net of any sales commissions or other discounts as set forth in the Distribution Agreement, in amounts and at times determined by Party A (or Forward Hedge Seller) but pursuant to commercially reasonable instructions or parameters (e.g., limit prices) as Party B may notify Party A from time to time (and Party A will use good faith efforts to comply with any such instructions or parameters, subject to market conditions, and subject to applicable legal, regulatory or self-regulatory requirements or related policies and procedures (whether or not such requirements, policies or procedures are imposed by law or have been voluntarily adopted by Party A), and as set forth in the Supplemental Confirmation. The number of Shares comprising Party A’s initial hedge is referred to herein as the “</w:t>
      </w:r>
      <w:r>
        <w:rPr>
          <w:rFonts w:ascii="Times New Roman" w:hAnsi="Times New Roman"/>
          <w:b/>
          <w:color w:val="000000"/>
          <w:sz w:val="20"/>
        </w:rPr>
        <w:t>Initial Hedge Position</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Exchange: The New York Stock Exchange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Related Exchange(s): All Exchanges</w:t>
      </w:r>
    </w:p>
    <w:p>
      <w:pPr>
        <w:pStyle w:val="TextBody"/>
        <w:bidi w:val="0"/>
        <w:spacing w:before="0" w:after="240"/>
        <w:jc w:val="both"/>
        <w:rPr>
          <w:rFonts w:ascii="Times New Roman" w:hAnsi="Times New Roman"/>
          <w:sz w:val="20"/>
        </w:rPr>
      </w:pPr>
      <w:r>
        <w:rPr>
          <w:rFonts w:ascii="Times New Roman" w:hAnsi="Times New Roman"/>
          <w:color w:val="000000"/>
          <w:sz w:val="20"/>
        </w:rPr>
        <w:t>Clearance System: The Depository Trust Company (“</w:t>
      </w:r>
      <w:r>
        <w:rPr>
          <w:rFonts w:ascii="Times New Roman" w:hAnsi="Times New Roman"/>
          <w:b/>
          <w:color w:val="000000"/>
          <w:sz w:val="20"/>
        </w:rPr>
        <w:t>DTC</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Prepayment: Not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Variable Obligation: Not Applicable</w:t>
      </w:r>
    </w:p>
    <w:p>
      <w:pPr>
        <w:pStyle w:val="TextBody"/>
        <w:bidi w:val="0"/>
        <w:spacing w:before="0" w:after="240"/>
        <w:jc w:val="left"/>
        <w:rPr>
          <w:rFonts w:ascii="Times New Roman" w:hAnsi="Times New Roman"/>
          <w:sz w:val="20"/>
        </w:rPr>
      </w:pPr>
      <w:r>
        <w:rPr>
          <w:rFonts w:ascii="Times New Roman" w:hAnsi="Times New Roman"/>
          <w:b/>
          <w:color w:val="000000"/>
          <w:sz w:val="20"/>
          <w:u w:val="single"/>
        </w:rPr>
        <w:t>Contingency Provisions</w:t>
      </w:r>
      <w:r>
        <w:rPr>
          <w:rFonts w:ascii="Times New Roman" w:hAnsi="Times New Roman"/>
          <w:b/>
          <w:color w:val="000000"/>
          <w:sz w:val="20"/>
        </w:rPr>
        <w:t>:</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In respect of any Component:</w:t>
      </w:r>
    </w:p>
    <w:p>
      <w:pPr>
        <w:pStyle w:val="TextBody"/>
        <w:bidi w:val="0"/>
        <w:spacing w:before="0" w:after="240"/>
        <w:jc w:val="both"/>
        <w:rPr>
          <w:rFonts w:ascii="Times New Roman" w:hAnsi="Times New Roman"/>
          <w:sz w:val="20"/>
        </w:rPr>
      </w:pPr>
      <w:r>
        <w:rPr>
          <w:rFonts w:ascii="Times New Roman" w:hAnsi="Times New Roman"/>
          <w:color w:val="000000"/>
          <w:sz w:val="20"/>
        </w:rPr>
        <w:t>Contingency: On any Scheduled Trading Day from, and including, the Trade Date to, and including, the Contingency Expiration Date for such Component between 9:00 a.m. (New York City time) and 7:00 p.m. (New York City time), Party A may, from time to time, designate any number of Shares with respect to such Component (the “</w:t>
      </w:r>
      <w:r>
        <w:rPr>
          <w:rFonts w:ascii="Times New Roman" w:hAnsi="Times New Roman"/>
          <w:b/>
          <w:color w:val="000000"/>
          <w:sz w:val="20"/>
        </w:rPr>
        <w:t>Designated Shares</w:t>
      </w:r>
      <w:r>
        <w:rPr>
          <w:rFonts w:ascii="Times New Roman" w:hAnsi="Times New Roman"/>
          <w:color w:val="000000"/>
          <w:sz w:val="20"/>
        </w:rPr>
        <w:t>” and each such Scheduled Trading Day on which such designation occurred, a “</w:t>
      </w:r>
      <w:r>
        <w:rPr>
          <w:rFonts w:ascii="Times New Roman" w:hAnsi="Times New Roman"/>
          <w:b/>
          <w:color w:val="000000"/>
          <w:sz w:val="20"/>
        </w:rPr>
        <w:t>Contingency Exercise Date</w:t>
      </w:r>
      <w:r>
        <w:rPr>
          <w:rFonts w:ascii="Times New Roman" w:hAnsi="Times New Roman"/>
          <w:color w:val="000000"/>
          <w:sz w:val="20"/>
        </w:rPr>
        <w:t xml:space="preserve">”) up to the then-Maximum Number of Shares with respect to such Component, in which case the Transaction Number of Shares with respect to the relevant Transaction shall be increased by such number of Designated Shares and the Maximum Number of Shares for such Component shall be reduced by such number of Designated Shares; </w:t>
      </w:r>
      <w:r>
        <w:rPr>
          <w:rFonts w:ascii="Times New Roman" w:hAnsi="Times New Roman"/>
          <w:i/>
          <w:color w:val="000000"/>
          <w:sz w:val="20"/>
        </w:rPr>
        <w:t xml:space="preserve">provided </w:t>
      </w:r>
      <w:r>
        <w:rPr>
          <w:rFonts w:ascii="Times New Roman" w:hAnsi="Times New Roman"/>
          <w:color w:val="000000"/>
          <w:sz w:val="20"/>
        </w:rPr>
        <w:t xml:space="preserve">that, unless Party A notifies Party B otherwise by 9:00 a.m. (New York City time) on the Scheduled Trading Day immediately following such Contingency Expiration Date), if the Reference Price is greater than the Initial Forward Price, Party A shall be deemed to have designated Designated Shares equal to the then-Maximum Number of Shares with respect to such Component. For the avoidance of doubt, subject to the immediately preceding </w:t>
      </w:r>
      <w:r>
        <w:rPr>
          <w:rFonts w:ascii="Times New Roman" w:hAnsi="Times New Roman"/>
          <w:i/>
          <w:color w:val="000000"/>
          <w:sz w:val="20"/>
        </w:rPr>
        <w:t>proviso</w:t>
      </w:r>
      <w:r>
        <w:rPr>
          <w:rFonts w:ascii="Times New Roman" w:hAnsi="Times New Roman"/>
          <w:color w:val="000000"/>
          <w:sz w:val="20"/>
        </w:rPr>
        <w:t>, Party A’s right to designate any Designated Shares with respect to any then-Maximum Number of Shares shall be deemed to have expired as of 7:00 p.m. (New York City time) on such Contingency Expiration Date, and the Maximum Number of Shares with respect to such Component shall be reduced to zero. At any time, the portion of the relevant Transaction corresponding to the Transaction Number of Shares is referred to herein as the “</w:t>
      </w:r>
      <w:r>
        <w:rPr>
          <w:rFonts w:ascii="Times New Roman" w:hAnsi="Times New Roman"/>
          <w:b/>
          <w:color w:val="000000"/>
          <w:sz w:val="20"/>
        </w:rPr>
        <w:t>Contingency Exercised Portion</w:t>
      </w:r>
      <w:r>
        <w:rPr>
          <w:rFonts w:ascii="Times New Roman" w:hAnsi="Times New Roman"/>
          <w:color w:val="000000"/>
          <w:sz w:val="20"/>
        </w:rPr>
        <w:t>,” and the remaining portion is referred to herein as the “</w:t>
      </w:r>
      <w:r>
        <w:rPr>
          <w:rFonts w:ascii="Times New Roman" w:hAnsi="Times New Roman"/>
          <w:b/>
          <w:color w:val="000000"/>
          <w:sz w:val="20"/>
        </w:rPr>
        <w:t>Remaining Contingency Portion</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Contingency Expiration Dates: As set forth in the related Supplemental Confirmation (or, if such date is not a Scheduled Trading Day, the next following Scheduled Trading Day that is not already a Contingency Expiration Date for another Component under any Transaction).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Reference Price: The official closing price of a Share on the relevant Contingency Expiration Date published on Bloomberg Page “&lt;DEA US EQUITY&gt; &lt;HP&gt;” (or any successor page thereto), or if such price is not so reported on such date for any reason or is manifestly erroneous, the Reference Price on such Contingency Expiration Date shall be determined by the Calculation Agent in good faith and in a commercially reasonable manner.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Market Disruption Event: The definition of “Market Disruption Event” in Section 6.3(a) of the Equity Definitions is hereby amended by deleting the words “at any time during the one-hour period that ends at the relevant Valuation Time, Latest Exercise Time, Knock-in Valuation Time or Knock-out Valuation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0"/>
        </w:rPr>
        <w:t>Time, as the case may be” and replacing the words “or (iii) an Early Closure” with “(iii) an Early Closure that the Calculation Agent determines is material, or (iv) a Regulatory Disruption, in each case at any time on any Scheduled Trading Day during the period commencing on, and including, the Trade Date of the relevant Transaction to, and including, the Contingency Expiration Date of such Component (such period, the “</w:t>
      </w:r>
      <w:r>
        <w:rPr>
          <w:rFonts w:ascii="Times New Roman" w:hAnsi="Times New Roman"/>
          <w:b/>
          <w:color w:val="000000"/>
          <w:sz w:val="20"/>
        </w:rPr>
        <w:t>Term of a Component</w:t>
      </w:r>
      <w:r>
        <w:rPr>
          <w:rFonts w:ascii="Times New Roman" w:hAnsi="Times New Roman"/>
          <w:color w:val="000000"/>
          <w:sz w:val="20"/>
        </w:rPr>
        <w:t>”) or during any Unwind Period”.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definition of “Early Closure” in Section 6.3(d) of the Equity Definitions is hereby amended by deleting the remainder of the provision following the term “Scheduled Closing Time” in the fourth line thereof.</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Notwithstanding the second and third sentences of Section 3.1(f) of the Equity Definitions, if any Scheduled Trading Day during the Term of a Component is a Disrupted Day, then Party A may postpone the Contingency Expiration Date specified in the related Supplemental Confirmation for such Transaction to a Scheduled Trading Day determined by Party A.</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Regulatory Disruption: Any event that Party A, in its good faith and commercially reasonable discretion based on advice of counsel, determines makes it appropriate with regard to any legal, regulatory or self-regulatory requirements or related policies and procedures (whether or not such requirements, policies or procedures are imposed by law or have been voluntarily adopted by Party A or its affiliates), for Party A to refrain from or decrease any market activity in connection with the relevant Transaction. Whenever a Regulatory Disruption occurs, Party A shall notify Party B of such occurrence as soon as reasonably practicable under the circumstances; </w:t>
      </w:r>
      <w:r>
        <w:rPr>
          <w:rFonts w:ascii="Times New Roman" w:hAnsi="Times New Roman"/>
          <w:i/>
          <w:color w:val="000000"/>
          <w:sz w:val="20"/>
        </w:rPr>
        <w:t>provided</w:t>
      </w:r>
      <w:r>
        <w:rPr>
          <w:rFonts w:ascii="Times New Roman" w:hAnsi="Times New Roman"/>
          <w:color w:val="000000"/>
          <w:sz w:val="20"/>
        </w:rPr>
        <w:t xml:space="preserve"> that Party A shall not be required to communicate to Party B the reason for Party A’s exercise of its rights pursuant to this provision if Party A reasonably determines in good faith that disclosing such reason may result in a violation of any legal, regulatory, or self-regulatory requirements or related policies and procedures (whether or not such requirements, policies or procedures are imposed by law or have been voluntarily adopted by Party A).</w:t>
      </w:r>
    </w:p>
    <w:p>
      <w:pPr>
        <w:pStyle w:val="TextBody"/>
        <w:bidi w:val="0"/>
        <w:spacing w:before="0" w:after="240"/>
        <w:jc w:val="left"/>
        <w:rPr>
          <w:rFonts w:ascii="Times New Roman" w:hAnsi="Times New Roman"/>
          <w:sz w:val="20"/>
        </w:rPr>
      </w:pPr>
      <w:r>
        <w:rPr>
          <w:rFonts w:ascii="Times New Roman" w:hAnsi="Times New Roman"/>
          <w:b/>
          <w:color w:val="000000"/>
          <w:sz w:val="20"/>
          <w:u w:val="single"/>
        </w:rPr>
        <w:t>Settlement Terms</w:t>
      </w:r>
      <w:r>
        <w:rPr>
          <w:rFonts w:ascii="Times New Roman" w:hAnsi="Times New Roman"/>
          <w:b/>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Settlement Date: Any Scheduled Trading Day following the Contingency Completion Date for any Transaction and up to and including the Maturity Date for such Transaction that is either: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designated by Party B as a “Settlement Date” with respect to any Component by a written notice (a “</w:t>
      </w:r>
      <w:r>
        <w:rPr>
          <w:rFonts w:ascii="Times New Roman" w:hAnsi="Times New Roman"/>
          <w:b/>
          <w:color w:val="000000"/>
          <w:sz w:val="20"/>
        </w:rPr>
        <w:t>Settlement Notice</w:t>
      </w:r>
      <w:r>
        <w:rPr>
          <w:color w:val="000000"/>
        </w:rPr>
        <w:t>”</w:t>
      </w:r>
      <w:r>
        <w:rPr>
          <w:rFonts w:ascii="Times New Roman" w:hAnsi="Times New Roman"/>
          <w:color w:val="000000"/>
          <w:sz w:val="20"/>
        </w:rPr>
        <w:t xml:space="preserve">) that satisfies the Settlement Notice Requirements and is delivered to Party A no later than (i) 1:00 p.m. (New York City time) (or such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later time agreed between the parties) on the Scheduled Trading Day immediately prior to such Settlement Date, which may be such Maturity Date, if Physical Settlement applies, and (ii) 30 Scheduled Trading Days prior to such Settlement Date, which may be such Maturity Date but shall not be earlier than the 30th Scheduled Trading Day following the Contingency Completion Date for such Transaction, if Cash Settlement or Net Share Settlement applies; </w:t>
      </w:r>
      <w:r>
        <w:rPr>
          <w:rFonts w:ascii="Times New Roman" w:hAnsi="Times New Roman"/>
          <w:i/>
          <w:color w:val="000000"/>
          <w:sz w:val="20"/>
        </w:rPr>
        <w:t>provided</w:t>
      </w:r>
      <w:r>
        <w:rPr>
          <w:color w:val="000000"/>
        </w:rPr>
        <w:t xml:space="preserve"> </w:t>
      </w:r>
      <w:r>
        <w:rPr>
          <w:rFonts w:ascii="Times New Roman" w:hAnsi="Times New Roman"/>
          <w:color w:val="000000"/>
          <w:sz w:val="20"/>
        </w:rPr>
        <w:t>that, with respect to Cash Settlement or Net Share Settlement, if Party A shall fully unwind its hedge with respect to the portion of the Transaction Number of Shares for such Transaction to be settled during an Unwind Period by a date that is more than one Scheduled Trading Day prior to a Settlement Date specified above, Party A may, by written notice to Party B, specify any Scheduled Trading Day prior to such original Settlement Date as the Settlement Date (with prior notice to Party B at least one Scheduled Trading Day prior to such specified Settlement Date);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designated by Party A as a “Settlement Date” pursuant to “Termination Settlement” provisions of Section 8(f) below;</w:t>
      </w:r>
    </w:p>
    <w:p>
      <w:pPr>
        <w:pStyle w:val="TextBody"/>
        <w:bidi w:val="0"/>
        <w:spacing w:before="0" w:after="240"/>
        <w:jc w:val="both"/>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xml:space="preserve"> that such Maturity Date will be a Settlement Date if on such date the Transaction Number of Shares for such Transaction for which a Settlement Date has not already been designated is greater than zero.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Settlement Shares: (a) With respect to any Settlement Date other than the Maturity Date for such Transaction, the number of Shares designated as such by Party B in the relevant Settlement Notice or designated by Party A pursuant to the “Termination Settlement” provisions of Section 8(f) below, as applicable; </w:t>
      </w:r>
      <w:r>
        <w:rPr>
          <w:rFonts w:ascii="Times New Roman" w:hAnsi="Times New Roman"/>
          <w:i/>
          <w:color w:val="000000"/>
          <w:sz w:val="20"/>
        </w:rPr>
        <w:t>provided</w:t>
      </w:r>
      <w:r>
        <w:rPr>
          <w:rFonts w:ascii="Times New Roman" w:hAnsi="Times New Roman"/>
          <w:color w:val="000000"/>
          <w:sz w:val="20"/>
        </w:rPr>
        <w:t xml:space="preserve"> that the Settlement Shares so designated shall not exceed the Transaction Number of Shares for such Transaction at that time;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with respect to the Settlement Date on the Maturity Date for such Transaction, a number of Shares equal to the Transaction Number of Shares for such Transaction at that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each case with the Transaction Number of Shares for such Transaction determined taking into account pending Settlement Shares.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Settlement Method: Physical Settlement, Cash Settlement, or Net Share Settlement, at the election of Party B as set forth in a Settlement Notice that satisfies the Settlement Notice Requirements; </w:t>
      </w:r>
      <w:r>
        <w:rPr>
          <w:rFonts w:ascii="Times New Roman" w:hAnsi="Times New Roman"/>
          <w:i/>
          <w:color w:val="000000"/>
          <w:sz w:val="20"/>
        </w:rPr>
        <w:t xml:space="preserve">provided </w:t>
      </w:r>
      <w:r>
        <w:rPr>
          <w:rFonts w:ascii="Times New Roman" w:hAnsi="Times New Roman"/>
          <w:color w:val="000000"/>
          <w:sz w:val="20"/>
        </w:rPr>
        <w:t xml:space="preserve">that Physical Settlement shall apply (i) if no Settlement Method is validly selected, (ii) with respect to any Settlement Shares in respect of which Party A is unable, in good faith and in its commercially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reasonable discretion, to unwind its hedge by the end of the Unwind Period (taking into account any restrictions on Party A resulting from any Overlap Unwind Period (as defined below)) (A) in a manner that, in the reasonable discretion of Party A, is consistent with the requirements for qualifying for the safe harbor provided by Rule 10b-18 or (B) due to the occurrence of Disrupted Days or to the lack of sufficient liquidity in the Shares on any Exchange Business Day during the Unwind Period and (iii) to any Termination Settlement Date (as defined under “Termination Settlement” in Section 8(f) below); </w:t>
      </w:r>
      <w:r>
        <w:rPr>
          <w:rFonts w:ascii="Times New Roman" w:hAnsi="Times New Roman"/>
          <w:i/>
          <w:color w:val="000000"/>
          <w:sz w:val="20"/>
        </w:rPr>
        <w:t xml:space="preserve">provided further </w:t>
      </w:r>
      <w:r>
        <w:rPr>
          <w:rFonts w:ascii="Times New Roman" w:hAnsi="Times New Roman"/>
          <w:color w:val="000000"/>
          <w:sz w:val="20"/>
        </w:rPr>
        <w:t>that, if Physical Settlement applies under clause (ii) immediately above, Party A shall provide written notice to Party B at least one Scheduled Trading Day prior to the applicable Settlement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Settlement Notice Requirements: Notwithstanding any other provision hereof, a Settlement Notice delivered by Party B that specifies Cash Settlement or Net Share Settlement will not be effective to establish a Settlement Date or require Cash Settlement or Net Share Settlement unless (i) Party B delivers to Party A with such Settlement Notice representations, dated as of the date of such Settlement Notice and signed by Party B, in the form set forth in “Settlement Method Election Representations” below and (ii) the same Settlement Method is specified to be applicable for all Components of a Transaction designated in such Settlement Notice.</w:t>
      </w:r>
    </w:p>
    <w:p>
      <w:pPr>
        <w:pStyle w:val="TextBody"/>
        <w:bidi w:val="0"/>
        <w:jc w:val="both"/>
        <w:rPr>
          <w:rFonts w:ascii="Times New Roman" w:hAnsi="Times New Roman"/>
          <w:color w:val="000000"/>
          <w:sz w:val="20"/>
        </w:rPr>
      </w:pPr>
      <w:r>
        <w:rPr>
          <w:rFonts w:ascii="Times New Roman" w:hAnsi="Times New Roman"/>
          <w:color w:val="000000"/>
          <w:sz w:val="20"/>
        </w:rPr>
        <w:t>Settlement Method Election</w:t>
      </w:r>
    </w:p>
    <w:p>
      <w:pPr>
        <w:pStyle w:val="TextBody"/>
        <w:bidi w:val="0"/>
        <w:spacing w:before="0" w:after="240"/>
        <w:jc w:val="both"/>
        <w:rPr>
          <w:rFonts w:ascii="Times New Roman" w:hAnsi="Times New Roman"/>
          <w:sz w:val="20"/>
        </w:rPr>
      </w:pPr>
      <w:r>
        <w:rPr>
          <w:rFonts w:ascii="Times New Roman" w:hAnsi="Times New Roman"/>
          <w:color w:val="000000"/>
          <w:sz w:val="20"/>
        </w:rPr>
        <w:t>Representations: (A) Party B is not aware of any material nonpublic information concerning itself or the Shares, (B) Party B is electing Cash Settlement or Net Share Settlement in good faith and not as part of a plan or scheme to evade compliance with Rule 10b-5 under the Exchange Act (“</w:t>
      </w:r>
      <w:r>
        <w:rPr>
          <w:rFonts w:ascii="Times New Roman" w:hAnsi="Times New Roman"/>
          <w:b/>
          <w:color w:val="000000"/>
          <w:sz w:val="20"/>
        </w:rPr>
        <w:t>Rule 10b-5</w:t>
      </w:r>
      <w:r>
        <w:rPr>
          <w:rFonts w:ascii="Times New Roman" w:hAnsi="Times New Roman"/>
          <w:color w:val="000000"/>
          <w:sz w:val="20"/>
        </w:rPr>
        <w:t xml:space="preserve">”) or any other provision of the federal securities laws, (C) it is not making such election to create actual or apparent trading activity in the Shares (or any security convertible into or exchangeable for Shares) or to raise or depress or otherwise manipulate the price of the Shares (or any security convertible into or exchangeable for Shares), (D) such election, and settlement in accordance therewith, does not and will not violate or conflict with any law, regulation or supervisory guidance applicable to Party B, or any order or judgment of any court or other agency of government applicable to it or any of its assets, and any governmental consents that are required to have been obtained by Party B with respect to such election or settlement have been obtained and are in full force and effect and all conditions of any such consents have been complied with and (E) Party B will be able to purchase the number of Shares equal to the greater of (x) the number of Settlement Shares designated in the relevant Settlement Notice and (y) a number of Shares with a value as of the date of such Settlement Notice equal to the product of (I) such number of Settlement Shares and (II) the applicable Forward Price(s) for such Cash Settlement or Net Share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Settlement, in compliance with the laws of Party B’s jurisdiction of organization in accordance with its organizational documents and the required corporate approvals thereunder (if any).</w:t>
      </w:r>
    </w:p>
    <w:p>
      <w:pPr>
        <w:pStyle w:val="TextBody"/>
        <w:bidi w:val="0"/>
        <w:spacing w:before="0" w:after="240"/>
        <w:jc w:val="both"/>
        <w:rPr>
          <w:rFonts w:ascii="Times New Roman" w:hAnsi="Times New Roman"/>
          <w:sz w:val="20"/>
        </w:rPr>
      </w:pPr>
      <w:r>
        <w:rPr>
          <w:rFonts w:ascii="Times New Roman" w:hAnsi="Times New Roman"/>
          <w:color w:val="000000"/>
          <w:sz w:val="20"/>
        </w:rPr>
        <w:t>Physical Settlement: If Physical Settlement is applicable, then Party B shall deliver to Party A through the Clearance System a number of Shares equal to the Settlement Shares for such Settlement Date, and Party A shall pay to Party B, by wire transfer of immediately available funds to an account designated by Party B, an amount equal to the Physical Settlement Amount for such Settlement Date. If, on any Settlement Date, the Shares to be delivered by Party B to Party A hereunder are not so delivered (the “</w:t>
      </w:r>
      <w:r>
        <w:rPr>
          <w:rFonts w:ascii="Times New Roman" w:hAnsi="Times New Roman"/>
          <w:b/>
          <w:color w:val="000000"/>
          <w:sz w:val="20"/>
        </w:rPr>
        <w:t>Deferred Shares</w:t>
      </w:r>
      <w:r>
        <w:rPr>
          <w:rFonts w:ascii="Times New Roman" w:hAnsi="Times New Roman"/>
          <w:color w:val="000000"/>
          <w:sz w:val="20"/>
        </w:rPr>
        <w:t xml:space="preserve">”), and a Forward Price Reduction Date occurs during the period from, and including, such Settlement Date to, but excluding, the date such Shares are actually delivered to Party A, then the portion of the Physical Settlement Amount payable by Party A to Party B in respect of the Deferred Shares shall be reduced by the corresponding Forward Price Reduction Amount set forth in the relevant Supplemental Confirmation under “Forward Price Reduction Amounts” for such Forward Price Reduction Date, </w:t>
      </w:r>
      <w:r>
        <w:rPr>
          <w:rFonts w:ascii="Times New Roman" w:hAnsi="Times New Roman"/>
          <w:i/>
          <w:color w:val="000000"/>
          <w:sz w:val="20"/>
        </w:rPr>
        <w:t>multiplied</w:t>
      </w:r>
      <w:r>
        <w:rPr>
          <w:rFonts w:ascii="Times New Roman" w:hAnsi="Times New Roman"/>
          <w:color w:val="000000"/>
          <w:sz w:val="20"/>
        </w:rPr>
        <w:t xml:space="preserve"> </w:t>
      </w:r>
      <w:r>
        <w:rPr>
          <w:rFonts w:ascii="Times New Roman" w:hAnsi="Times New Roman"/>
          <w:i/>
          <w:color w:val="000000"/>
          <w:sz w:val="20"/>
        </w:rPr>
        <w:t>by</w:t>
      </w:r>
      <w:r>
        <w:rPr>
          <w:rFonts w:ascii="Times New Roman" w:hAnsi="Times New Roman"/>
          <w:color w:val="000000"/>
          <w:sz w:val="20"/>
        </w:rPr>
        <w:t xml:space="preserve"> the number of Deferred Shares.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Physical Settlement Amount: For any Settlement Date for which Physical Settlement is applicable, an amount in cash equal to the product of (a) the Forward Price for such Transaction in effect on the relevant Settlement Date </w:t>
      </w:r>
      <w:r>
        <w:rPr>
          <w:rFonts w:ascii="Times New Roman" w:hAnsi="Times New Roman"/>
          <w:i/>
          <w:color w:val="000000"/>
          <w:sz w:val="20"/>
        </w:rPr>
        <w:t>multiplied</w:t>
      </w:r>
      <w:r>
        <w:rPr>
          <w:rFonts w:ascii="Times New Roman" w:hAnsi="Times New Roman"/>
          <w:color w:val="000000"/>
          <w:sz w:val="20"/>
        </w:rPr>
        <w:t xml:space="preserve"> </w:t>
      </w:r>
      <w:r>
        <w:rPr>
          <w:rFonts w:ascii="Times New Roman" w:hAnsi="Times New Roman"/>
          <w:i/>
          <w:color w:val="000000"/>
          <w:sz w:val="20"/>
        </w:rPr>
        <w:t>b</w:t>
      </w:r>
      <w:r>
        <w:rPr>
          <w:rFonts w:ascii="Times New Roman" w:hAnsi="Times New Roman"/>
          <w:color w:val="000000"/>
          <w:sz w:val="20"/>
        </w:rPr>
        <w:t>y (b) the Settlement Shares for such Settlement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Cash Settlement: On any Settlement Date in respect of which Cash Settlement applies, if the Cash Settlement Amount is a positive number, Party A will pay the Cash Settlement Amount to Party B. If the Cash Settlement Amount is a negative number, Party B will pay the absolute value of the Cash Settlement Amount to Party A. Such amounts shall be paid on such Settlement Date by wire transfer of immediately available funds.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Cash Settlement Amount: An amount determined by the Calculation Agent equal 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(i)(A) the weighted average (weighted on the same basis as clause (B)) of the Forward Prices for such Transaction on each day during the applicable Unwind Period (calculated assuming no reduction to such Forward Prices for such Transaction for any Forward Price Reduction Date that occurs during such Unwind Period, which is accounted for in clause (b) below), </w:t>
      </w:r>
      <w:r>
        <w:rPr>
          <w:rFonts w:ascii="Times New Roman" w:hAnsi="Times New Roman"/>
          <w:i/>
          <w:color w:val="000000"/>
          <w:sz w:val="20"/>
        </w:rPr>
        <w:t>minus</w:t>
      </w:r>
      <w:r>
        <w:rPr>
          <w:color w:val="000000"/>
        </w:rPr>
        <w:t xml:space="preserve"> </w:t>
      </w:r>
      <w:r>
        <w:rPr>
          <w:rFonts w:ascii="Times New Roman" w:hAnsi="Times New Roman"/>
          <w:color w:val="000000"/>
          <w:sz w:val="20"/>
        </w:rPr>
        <w:t xml:space="preserve">USD 0.01, </w:t>
      </w:r>
      <w:r>
        <w:rPr>
          <w:rFonts w:ascii="Times New Roman" w:hAnsi="Times New Roman"/>
          <w:i/>
          <w:color w:val="000000"/>
          <w:sz w:val="20"/>
        </w:rPr>
        <w:t xml:space="preserve">minus </w:t>
      </w:r>
      <w:r>
        <w:rPr>
          <w:rFonts w:ascii="Times New Roman" w:hAnsi="Times New Roman"/>
          <w:color w:val="000000"/>
          <w:sz w:val="20"/>
        </w:rPr>
        <w:t>(B) the weighted average price (the “</w:t>
      </w:r>
      <w:r>
        <w:rPr>
          <w:rFonts w:ascii="Times New Roman" w:hAnsi="Times New Roman"/>
          <w:b/>
          <w:color w:val="000000"/>
          <w:sz w:val="20"/>
        </w:rPr>
        <w:t>Unwind Price</w:t>
      </w:r>
      <w:r>
        <w:rPr>
          <w:color w:val="000000"/>
        </w:rPr>
        <w:t>”</w:t>
      </w:r>
      <w:r>
        <w:rPr>
          <w:rFonts w:ascii="Times New Roman" w:hAnsi="Times New Roman"/>
          <w:color w:val="000000"/>
          <w:sz w:val="20"/>
        </w:rPr>
        <w:t xml:space="preserve">) at which Party A purchases Shares during the Unwind Period to unwind its hedge with respect to the portion of the Transaction Number of Shares to be settled during the Unwind Period (including, for the avoidance of doubt,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purchases on any Disrupted Day in part), taking into account Shares anticipated to be delivered or received if Net Share Settlement applies, and the restrictions of Rule 10b-18 agreed to hereunder, </w:t>
      </w:r>
      <w:r>
        <w:rPr>
          <w:rFonts w:ascii="Times New Roman" w:hAnsi="Times New Roman"/>
          <w:i/>
          <w:color w:val="000000"/>
          <w:sz w:val="20"/>
        </w:rPr>
        <w:t>multiplied by</w:t>
      </w:r>
      <w:r>
        <w:rPr>
          <w:color w:val="000000"/>
        </w:rPr>
        <w:t xml:space="preserve"> </w:t>
      </w:r>
      <w:r>
        <w:rPr>
          <w:rFonts w:ascii="Times New Roman" w:hAnsi="Times New Roman"/>
          <w:color w:val="000000"/>
          <w:sz w:val="20"/>
        </w:rPr>
        <w:t xml:space="preserve">(ii) the Settlement Shares for the relevant Settlement Date; </w:t>
      </w:r>
      <w:r>
        <w:rPr>
          <w:rFonts w:ascii="Times New Roman" w:hAnsi="Times New Roman"/>
          <w:i/>
          <w:color w:val="000000"/>
          <w:sz w:val="20"/>
        </w:rPr>
        <w:t>minus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the product of (i) the Forward Price Reduction Amount for any Forward Price Reduction Date that occurs during such Unwind Period, </w:t>
      </w:r>
      <w:r>
        <w:rPr>
          <w:rFonts w:ascii="Times New Roman" w:hAnsi="Times New Roman"/>
          <w:i/>
          <w:color w:val="000000"/>
          <w:sz w:val="20"/>
        </w:rPr>
        <w:t>and</w:t>
      </w:r>
      <w:r>
        <w:rPr>
          <w:color w:val="000000"/>
        </w:rPr>
        <w:t xml:space="preserve"> </w:t>
      </w:r>
      <w:r>
        <w:rPr>
          <w:rFonts w:ascii="Times New Roman" w:hAnsi="Times New Roman"/>
          <w:color w:val="000000"/>
          <w:sz w:val="20"/>
        </w:rPr>
        <w:t>(ii) the number of Settlement Shares for such Settlement Date with respect to which Party A has not unwound its hedge, including the settlement of such unwinds, as of such Forward Price Reduction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Net Share Settlement: On any Settlement Date in respect of which Net Share Settlement applies, if the Cash Settlement Amount is a (i) positive number, Party A shall deliver a number of Shares to Party B equal to the Net Share Settlement Shares, or (ii) negative number, Party B shall deliver a number of Shares to Party A equal to the Net Share Settlement Shares; </w:t>
      </w:r>
      <w:r>
        <w:rPr>
          <w:rFonts w:ascii="Times New Roman" w:hAnsi="Times New Roman"/>
          <w:i/>
          <w:color w:val="000000"/>
          <w:sz w:val="20"/>
        </w:rPr>
        <w:t>provided</w:t>
      </w:r>
      <w:r>
        <w:rPr>
          <w:rFonts w:ascii="Times New Roman" w:hAnsi="Times New Roman"/>
          <w:color w:val="000000"/>
          <w:sz w:val="20"/>
        </w:rPr>
        <w:t xml:space="preserve"> that, if Party A determines in its commercially reasonable judgment that it would be required to deliver Net Share Settlement Shares to Party B, Party A may elect to deliver a portion of such Net Share Settlement Shares on one or more dates prior to the applicable Settlement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Net Share Settlement Shares: With respect to a Settlement Date, the absolute value of the Cash Settlement Amount </w:t>
      </w:r>
      <w:r>
        <w:rPr>
          <w:rFonts w:ascii="Times New Roman" w:hAnsi="Times New Roman"/>
          <w:i/>
          <w:color w:val="000000"/>
          <w:sz w:val="20"/>
        </w:rPr>
        <w:t>divided by</w:t>
      </w:r>
      <w:r>
        <w:rPr>
          <w:rFonts w:ascii="Times New Roman" w:hAnsi="Times New Roman"/>
          <w:color w:val="000000"/>
          <w:sz w:val="20"/>
        </w:rPr>
        <w:t xml:space="preserve"> the Unwind Price, with the number of Shares rounded up in the event such calculation results in a fractional number.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Unwind Period: The period from and including the first Exchange Business Day following the date Party B validly elects Cash Settlement or Net Share Settlement in respect of a Settlement Date through the Exchange Business Day preceding such Settlement Date, subject to “Other Forwards” as described in 8(d) below and “Termination Settlement” as described in Section 8(f) below.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Other Applicable Provisions: To the extent Party A or Party B is obligated to deliver Shares hereunder, the provisions of Sections 9.2 (last sentence only), 9.4, 9.8, 9.9, 9.10 and 9.11 of the Equity Definitions will be applicable as if “Physical Settlement” applied to the Transaction; </w:t>
      </w:r>
      <w:r>
        <w:rPr>
          <w:rFonts w:ascii="Times New Roman" w:hAnsi="Times New Roman"/>
          <w:i/>
          <w:color w:val="000000"/>
          <w:sz w:val="20"/>
        </w:rPr>
        <w:t>provided</w:t>
      </w:r>
      <w:r>
        <w:rPr>
          <w:rFonts w:ascii="Times New Roman" w:hAnsi="Times New Roman"/>
          <w:color w:val="000000"/>
          <w:sz w:val="20"/>
        </w:rPr>
        <w:t xml:space="preserve"> that, in such case, with respect to any delivery of Shares by Party A,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Party B is the issuer of the Shares.</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u w:val="single"/>
        </w:rPr>
      </w:pPr>
      <w:r>
        <w:rPr>
          <w:rFonts w:ascii="Times New Roman" w:hAnsi="Times New Roman"/>
          <w:b/>
          <w:color w:val="000000"/>
          <w:sz w:val="20"/>
          <w:u w:val="single"/>
        </w:rPr>
        <w:t>Share Adjustments; Dividends: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Method of Adjustment: Calculation Agent Adjustment. For the avoidance of doubt, in making any adjustments under the Equity Definitions, the Calculation Agent may make commercially reasonable adjustments, if any, to any one or more of the Initial Forward Price, the Forward Price, the Maximum Number of Shares for any Component and the Transaction Number of Shares. Notwithstanding the foregoing, any cash dividends or distributions on the Shares, whether or not extraordinary, shall be governed by the provisions of “Dividend Adjustment” below in lieu of Article 10 or Section 11.2(c) of the Equity Definitions with respect to the Remaining Contingency Portion of each Transaction or by the provisions of “Acceleration Events” and “Termination Settlement” as described in Section 8(e) and Section 8(f), respectively, below with respect to the Contingency Exercised Portion of such Transaction.</w:t>
      </w:r>
    </w:p>
    <w:p>
      <w:pPr>
        <w:pStyle w:val="TextBody"/>
        <w:bidi w:val="0"/>
        <w:spacing w:before="0" w:after="240"/>
        <w:jc w:val="both"/>
        <w:rPr>
          <w:rFonts w:ascii="Times New Roman" w:hAnsi="Times New Roman"/>
          <w:sz w:val="20"/>
        </w:rPr>
      </w:pPr>
      <w:r>
        <w:rPr>
          <w:rFonts w:ascii="Times New Roman" w:hAnsi="Times New Roman"/>
          <w:color w:val="000000"/>
          <w:sz w:val="20"/>
        </w:rPr>
        <w:t>Dividend Adjustment: If at any time during the period from, and including, a Forward Price Reduction Date for a Transaction to, and including, the succeeding Forward Price Reduction Date, an ex-dividend date for any cash dividend occurs with respect to the Shares (an “</w:t>
      </w:r>
      <w:r>
        <w:rPr>
          <w:rFonts w:ascii="Times New Roman" w:hAnsi="Times New Roman"/>
          <w:b/>
          <w:color w:val="000000"/>
          <w:sz w:val="20"/>
        </w:rPr>
        <w:t>Ex-Dividend Date</w:t>
      </w:r>
      <w:r>
        <w:rPr>
          <w:rFonts w:ascii="Times New Roman" w:hAnsi="Times New Roman"/>
          <w:color w:val="000000"/>
          <w:sz w:val="20"/>
        </w:rPr>
        <w:t>”), and that dividend is greater than the Forward Price Reduction Amount corresponding to such succeeding Forward Price Reduction Date on a per Share basis, then the Calculation Agent will adjust one or more of the Initial Forward Price, the Maximum Number of Shares for any Component of such Transaction or any other variable relevant to the valuation, exercise, settlement, payment or other terms of such Component to preserve the fair value of the Remaining Contingency Portion of the Transaction after taking into account such dividend.</w:t>
      </w:r>
    </w:p>
    <w:p>
      <w:pPr>
        <w:pStyle w:val="TextBody"/>
        <w:bidi w:val="0"/>
        <w:spacing w:before="0" w:after="240"/>
        <w:jc w:val="both"/>
        <w:rPr>
          <w:rFonts w:ascii="Times New Roman" w:hAnsi="Times New Roman"/>
          <w:sz w:val="20"/>
        </w:rPr>
      </w:pPr>
      <w:r>
        <w:rPr>
          <w:rFonts w:ascii="Times New Roman" w:hAnsi="Times New Roman"/>
          <w:b/>
          <w:color w:val="000000"/>
          <w:sz w:val="20"/>
          <w:u w:val="single"/>
        </w:rPr>
        <w:t>Extraordinary Events:</w:t>
      </w:r>
      <w:r>
        <w:rPr>
          <w:rFonts w:ascii="Times New Roman" w:hAnsi="Times New Roman"/>
          <w:color w:val="000000"/>
          <w:sz w:val="20"/>
        </w:rPr>
        <w:t xml:space="preserve"> Notwithstanding anything to the contrary in the Equity Definitions, with respect to the Remaining Contingency Portion of any Transaction, the consequences of any Extraordinary Event or any Announcement Event shall be as specified below in this Section 2 of this Master Confirmation, and with respect to the Contingency Exercised Portion of such Transaction, the consequences of any Extraordinary Event shall be as specified below under the headings “Acceleration Events” and “Termination Settlement” in Section 8(e) and Section 8(f), respectively.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New Shares: Section 12.1(i) of the Equity Definitions is hereby amended (a) by deleting the text in clause (i) thereof in its entirety (including the word “and” following clause (i)) and replacing it with the phrase “publicly quoted, traded or listed (or whose related depositary receipts are publicly quoted, traded or listed) on any of the New York Stock Exchange, The NASDAQ Global Select Market or The NASDAQ Global Market (or their respective successors)” and (b) by inserting immediately prior to the period the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phrase “and (iii) of an entity or person that is a corporation organized under the laws of the United States, any State thereof or the District of Columbia that also becomes Party B under the applicable Transaction following such Merger Event or Tender Offer”.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Consequence of Merger Events: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Merger Event: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Share-for-Share: Modified Calculation Agent Adjustment or Cancellation and Payment, at the election of Party 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Share-for-Other: Modified Calculation Agent Adjustment or Cancellation and Payment, at the election of Party 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Share-for-Combined: Modified Calculation Agent Adjustment or Cancellation and Payment, at the election of Party 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Consequence of Tender Offers: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Tender Offer: Applicable; </w:t>
      </w:r>
      <w:r>
        <w:rPr>
          <w:rFonts w:ascii="Times New Roman" w:hAnsi="Times New Roman"/>
          <w:i/>
          <w:color w:val="000000"/>
          <w:sz w:val="20"/>
        </w:rPr>
        <w:t>provided</w:t>
      </w:r>
      <w:r>
        <w:rPr>
          <w:rFonts w:ascii="Times New Roman" w:hAnsi="Times New Roman"/>
          <w:color w:val="000000"/>
          <w:sz w:val="20"/>
        </w:rPr>
        <w:t xml:space="preserve"> that Section 12.1(d) of the Equity Definitions shall be amended by replacing the reference therein to “10%” with a reference to “20%.”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Share-for-Share: Modified Calculation Agent Adjustment or Cancellation and Payment, at the election of Party 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Share-for-Other: Modified Calculation Agent Adjustment or Cancellation and Payment, at the election of Party 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Share-for-Combined: Modified Calculation Agent Adjustment or Cancellation and Payment, at the election of Party A. </w:t>
      </w:r>
    </w:p>
    <w:p>
      <w:pPr>
        <w:pStyle w:val="TextBody"/>
        <w:bidi w:val="0"/>
        <w:jc w:val="both"/>
        <w:rPr>
          <w:rFonts w:ascii="Times New Roman" w:hAnsi="Times New Roman"/>
          <w:color w:val="000000"/>
          <w:sz w:val="20"/>
        </w:rPr>
      </w:pPr>
      <w:r>
        <w:rPr>
          <w:rFonts w:ascii="Times New Roman" w:hAnsi="Times New Roman"/>
          <w:color w:val="000000"/>
          <w:sz w:val="20"/>
        </w:rPr>
        <w:t>Composition of Combined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Consideration: Not Applicable; </w:t>
      </w:r>
      <w:r>
        <w:rPr>
          <w:rFonts w:ascii="Times New Roman" w:hAnsi="Times New Roman"/>
          <w:i/>
          <w:color w:val="000000"/>
          <w:sz w:val="20"/>
        </w:rPr>
        <w:t>provided</w:t>
      </w:r>
      <w:r>
        <w:rPr>
          <w:rFonts w:ascii="Times New Roman" w:hAnsi="Times New Roman"/>
          <w:color w:val="000000"/>
          <w:sz w:val="20"/>
        </w:rPr>
        <w:t xml:space="preserve"> that, notwithstanding Sections 12.1 and 12.5(b) of the Equity Definitions, to the extent that the composition of the consideration for the relevant Shares pursuant to a Tender Offer or Merger Event could be determined by a holder of the Shares, the Calculation Agent will determine such composition.</w:t>
      </w:r>
    </w:p>
    <w:p>
      <w:pPr>
        <w:pStyle w:val="TextBody"/>
        <w:bidi w:val="0"/>
        <w:spacing w:before="0" w:after="240"/>
        <w:jc w:val="both"/>
        <w:rPr>
          <w:rFonts w:ascii="Times New Roman" w:hAnsi="Times New Roman"/>
          <w:sz w:val="20"/>
        </w:rPr>
      </w:pPr>
      <w:r>
        <w:rPr>
          <w:rFonts w:ascii="Times New Roman" w:hAnsi="Times New Roman"/>
          <w:color w:val="000000"/>
          <w:sz w:val="20"/>
        </w:rPr>
        <w:t>Announcement Event: If (i) an Announcement Date occurs in respect of any event or transaction that would, if consummated, lead to a Merger Event (for purposes of this and related provisions, the definition of Merger Event shall be read with the references therein to “100%” being replaced by “35%” and without reference to the clause beginning immediately following the definition of Reverse Merger therein to the end of such definition), a Tender Offer, or other acquisition or disposition by Party B or its subsidiaries where the aggregate consideration or value exceeds 35% of the market capitalization of Party B as of the Announcement Date (such other acquisition or disposition, a “</w:t>
      </w:r>
      <w:r>
        <w:rPr>
          <w:rFonts w:ascii="Times New Roman" w:hAnsi="Times New Roman"/>
          <w:b/>
          <w:color w:val="000000"/>
          <w:sz w:val="20"/>
        </w:rPr>
        <w:t>Significant Transaction</w:t>
      </w:r>
      <w:r>
        <w:rPr>
          <w:rFonts w:ascii="Times New Roman" w:hAnsi="Times New Roman"/>
          <w:color w:val="000000"/>
          <w:sz w:val="20"/>
        </w:rPr>
        <w:t xml:space="preserve">”) or (ii) there is a public announcement by Party B of an intention to solicit or enter into, or to explore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strategic alternatives or other similar undertakings that may include, a Merger Event, Tender Offer or Significant Transaction, or any subsequent public announcement by Party B of a change to such intention (the occurrence of (i) or (ii), an “</w:t>
      </w:r>
      <w:r>
        <w:rPr>
          <w:rFonts w:ascii="Times New Roman" w:hAnsi="Times New Roman"/>
          <w:b/>
          <w:color w:val="000000"/>
          <w:sz w:val="20"/>
        </w:rPr>
        <w:t>Announcement Event</w:t>
      </w:r>
      <w:r>
        <w:rPr>
          <w:rFonts w:ascii="Times New Roman" w:hAnsi="Times New Roman"/>
          <w:color w:val="000000"/>
          <w:sz w:val="20"/>
        </w:rPr>
        <w:t>”), as determined by the Calculation Agent, then the “Consequences of Announcement Event” set forth below shall apply in respect of such Announcement Event. For purposes of any Transaction, a Significant Transaction shall be an Extraordinary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Announcement Date: The definition of “Announcement Date” in Section 12.1(l) of the Equity Definitions is hereby amended by (i) adding the words “or a Significant Transaction” immediately following the words “Merger Event” in the second and third lines thereof, (ii) replacing the words “a firm” with the word “any” in the second and fourth lines thereof, (iii) replacing the word “leads to the” with the words “would, if consummated, lead to a” in the third and the fifth lines thereof, (iv) adding after the words “voting shares” in the fifth line thereof the words “, voting power or Shares”, (v) inserting the words “by Party B, any agent of Party B, a Valid Third Party Entity or any agent of a Valid Third Party Entity” after the word “announcement” in the second and the fourth lines thereof and (vi) inserting the words “, as determined by the Calculation Agent, or any subsequent public announcement by Party B, any agent of Party B, a Valid Third Party Entity or any agent of a Valid Third Party Entity of a change to such transaction or intention (including, without limitation, a new announcement, whether or not by the same party, relating to such a transaction or intention or the announcement of a withdrawal from, or the abandonment or discontinuance of, such a transaction or intention)” at the end of each of clauses (i) and (ii)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Valid Third Party: In respect of any transaction or event, any third party that has a bona fide intent to enter into or consummate such transaction or event (it being understood and agreed that in determining whether such third party has such a bona fide intent, the Calculation Agent may take into consideration the effect of the relevant announcement by such third party on the Shares and/or options relating to the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Consequences of Announcement Event: With respect to any Announcement Event, the Calculation Agent shall determine the economic effect of such Announcement Event on the theoretical value of each Component of the Transaction to Party A (including without limitation any change in volatility, expected dividends, stock loan rate or liquidity relevant to the Shares or to the Transaction) (i) one or more times on or after the relevant Announcement Date or other date of announcement and (ii) on the Contingency Expiration Date or any earlier date of termination or cancellation for such Component and, in the case of clause (i) or (ii), (x) the Calculation Agent shall adjust the terms of such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Component to account for such economic effect and determine the effective date of such adjustment or (y) if the Calculation Agent determines, on or after the Announcement Date or other date of announcement, that no adjustment it could make under clause (x) above is likely to produce a commercially reasonable result, may notify the parties that such Component of the Transaction will be terminated, in which case the amount payable upon such termination will be determined pursuant to the terms of this Master Confirmation as if such Announcement Event were an Extraordinary Event to which Cancellation and Payment were applicable. For the avoidance of doubt, any such adjustment shall be without prejudice to the application of the provisions set forth in the preceding sentence, “Consequences of Merger Events” or “Consequences of Tender Offers” with respect to any other Announcement Date in respect of the same event or transaction, or, if the related Merger Date or Tender Offer Date occurs on or prior to the Contingency Expiration Date or earlier date of termination or cancellation for such Component, with respect to the related Merger Event or Tender Offer; </w:t>
      </w:r>
      <w:r>
        <w:rPr>
          <w:rFonts w:ascii="Times New Roman" w:hAnsi="Times New Roman"/>
          <w:i/>
          <w:color w:val="000000"/>
          <w:sz w:val="20"/>
        </w:rPr>
        <w:t>provided</w:t>
      </w:r>
      <w:r>
        <w:rPr>
          <w:rFonts w:ascii="Times New Roman" w:hAnsi="Times New Roman"/>
          <w:color w:val="000000"/>
          <w:sz w:val="20"/>
        </w:rPr>
        <w:t xml:space="preserve"> that any such adjustment shall be taken into account by the Calculation Agent or the Determining Party, as the case may be, in determining any subsequent adjustment to the terms of the Transaction, or in subsequently determining any payment amount, Cancellation Amount or Early Termination Amount, as the case may be, on account of any related Announcement Date, Merger Event or Tender Offer.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Nationalization, Insolvency or Delisting: Cancellation and Payment; </w:t>
      </w:r>
      <w:r>
        <w:rPr>
          <w:rFonts w:ascii="Times New Roman" w:hAnsi="Times New Roman"/>
          <w:i/>
          <w:color w:val="000000"/>
          <w:sz w:val="20"/>
        </w:rPr>
        <w:t>provided</w:t>
      </w:r>
      <w:r>
        <w:rPr>
          <w:rFonts w:ascii="Times New Roman" w:hAnsi="Times New Roman"/>
          <w:color w:val="000000"/>
          <w:sz w:val="20"/>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Limitation on Certain Adjustments: Notwithstanding any provision of the Equity Definitions or this Master Confirmation to the contrary, no adjustment as a result of a Potential Adjustment Event (other than a Potential Adjustment Event described in Section 11.2(e)(i) or (ii)(A) of the Equity Definitions) or an Extraordinary Event shall increase the Maximum Transaction Number of Shares. Notwithstanding any provision of the Equity Definitions or this Master Confirmation to the contrary, if the Calculation Agent determines that no such adjustment that it could make in accordance with the preceding sentence will produce a commercially reasonable result, then the Calculation Agent may notify the parties that the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consequence of such event shall be the termination of such Transaction, in which case “Cancellation and Payment” will be deemed to apply and any payment to be made by one party to the other shall be calculated in accordance with Section 12.7 of the Equity Definitions.</w:t>
      </w:r>
    </w:p>
    <w:p>
      <w:pPr>
        <w:pStyle w:val="TextBody"/>
        <w:bidi w:val="0"/>
        <w:spacing w:before="0" w:after="240"/>
        <w:jc w:val="both"/>
        <w:rPr>
          <w:rFonts w:ascii="Times New Roman" w:hAnsi="Times New Roman"/>
          <w:b/>
          <w:color w:val="000000"/>
          <w:sz w:val="20"/>
          <w:u w:val="single"/>
        </w:rPr>
      </w:pPr>
      <w:r>
        <w:rPr>
          <w:rFonts w:ascii="Times New Roman" w:hAnsi="Times New Roman"/>
          <w:b/>
          <w:color w:val="000000"/>
          <w:sz w:val="20"/>
          <w:u w:val="single"/>
        </w:rPr>
        <w:t>Additional Disruption Events: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Change in Law: Applicable; </w:t>
      </w:r>
      <w:r>
        <w:rPr>
          <w:rFonts w:ascii="Times New Roman" w:hAnsi="Times New Roman"/>
          <w:i/>
          <w:color w:val="000000"/>
          <w:sz w:val="20"/>
        </w:rPr>
        <w:t>provided</w:t>
      </w:r>
      <w:r>
        <w:rPr>
          <w:rFonts w:ascii="Times New Roman" w:hAnsi="Times New Roman"/>
          <w:color w:val="000000"/>
          <w:sz w:val="20"/>
        </w:rPr>
        <w:t xml:space="preserve"> that Section 12.9(a)(ii) of the Equity Definitions is hereby amended by (i) replacing the phrase “the interpretation” in the third line thereof with the phrase “or announcement or statement of the formal or informal interpretation”, (ii) deleting the words “a party to such Transaction” in the fifth line thereof and replacing them with the words “Party A”, (iii) replacing the word “Shares” with “Hedge Positions” in the sixth line thereof, (iv) immediately following the word “Transaction” in clause (X) thereof, adding the phrase “in the manner contemplated by the Hedging Party on the Trade Date” and (v) adding the words “, or holding, acquiring or disposing of Shares or any Hedge Positions relating to,” after the word “under” in clause (Y)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Failure to Deliver: Not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Insolvency Filing: Applicable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Hedging Disruption: Applicable; </w:t>
      </w:r>
      <w:r>
        <w:rPr>
          <w:rFonts w:ascii="Times New Roman" w:hAnsi="Times New Roman"/>
          <w:i/>
          <w:color w:val="000000"/>
          <w:sz w:val="20"/>
        </w:rPr>
        <w:t>provided</w:t>
      </w:r>
      <w:r>
        <w:rPr>
          <w:rFonts w:ascii="Times New Roman" w:hAnsi="Times New Roman"/>
          <w:color w:val="000000"/>
          <w:sz w:val="20"/>
        </w:rPr>
        <w:t xml:space="preserve">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Section 12.9(a)(v) of the Equity Definitions is hereby amended by (a) inserting the following words at the end of clause (A) thereof: “in the manner contemplated by the Hedging Party on the Trade Date” and (b) inserting the following two phrases at the end of such Section:</w:t>
      </w:r>
    </w:p>
    <w:p>
      <w:pPr>
        <w:pStyle w:val="TextBody"/>
        <w:bidi w:val="0"/>
        <w:spacing w:before="0" w:after="240"/>
        <w:jc w:val="both"/>
        <w:rPr>
          <w:color w:val="000000"/>
        </w:rPr>
      </w:pPr>
      <w:r>
        <w:rPr>
          <w:color w:val="000000"/>
        </w:rPr>
        <w:t>“</w:t>
      </w:r>
      <w:r>
        <w:rPr>
          <w:rFonts w:ascii="Times New Roman" w:hAnsi="Times New Roman"/>
          <w:color w:val="000000"/>
          <w:sz w:val="20"/>
        </w:rPr>
        <w:t>For the avoidance of doubt, the term “equity price risk” shall be deemed to include, but shall not be limited to, stock price and volatility risk. And, for the further avoidance of doubt, any such transactions or assets referred to in phrases (A) or (B) above must be available on commercially reasonable pricing terms.”;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Section 12.9(b)(iii) of the Equity Definitions is hereby amended by inserting in the third line thereof, after the words “to terminate the Transaction”, the words “or a portion of the Transaction affected by such Hedging Disruption”.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Increased Cost of Hedging: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Loss of Stock Borrow: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Maximum Stock Loan Rate: [] basis points.</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Increased Cost of Stock Borrow: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Initial Stock Loan Rate: [] basis points.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Hedging Party: For all applicable Additional Disruption Events, Party 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Determining Party: For all applicable Extraordinary Events, Party A, whose judgments, determinations and calculations shall be made in good faith and in a commercially reasonable manner; provided that, following any determination or calculation by the Determining Party hereunder, upon a request by Party B, the Determining Party shall promptly (but in any event within three Scheduled Trading Days) provide to Party B by e-mail to the e-mail address provided by Party B in such request a report (in a commonly used file format for the storage and manipulation of financial data) displaying in reasonable detail the basis for such determination or calculation (including any assumptions used in making such determination or calculation), it being understood that the Determining Party shall not be obligated to disclose any proprietary or confidential models or other proprietary or confidential information used by it for such determination or calculation.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Non-Reliance: Applicable.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Agreements and Acknowledgments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Regarding Hedging Activities: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Additional Acknowledgments: Applicable.</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3.</w:t>
      </w:r>
    </w:p>
    <w:p>
      <w:pPr>
        <w:pStyle w:val="TextBody"/>
        <w:bidi w:val="0"/>
        <w:spacing w:before="0" w:after="200"/>
        <w:jc w:val="both"/>
        <w:rPr/>
      </w:pPr>
      <w:r>
        <w:rPr>
          <w:rFonts w:ascii="Times New Roman" w:hAnsi="Times New Roman"/>
          <w:b/>
          <w:color w:val="000000"/>
          <w:sz w:val="20"/>
          <w:u w:val="single"/>
        </w:rPr>
        <w:t>Calculation Agent</w:t>
      </w:r>
      <w:r>
        <w:rPr>
          <w:rFonts w:ascii="Times New Roman" w:hAnsi="Times New Roman"/>
          <w:b/>
          <w:color w:val="000000"/>
          <w:sz w:val="20"/>
        </w:rPr>
        <w:t xml:space="preserve">. </w:t>
      </w:r>
      <w:r>
        <w:rPr>
          <w:rFonts w:ascii="Times New Roman" w:hAnsi="Times New Roman"/>
          <w:color w:val="000000"/>
          <w:sz w:val="20"/>
        </w:rPr>
        <w:t>Party A, whose judgments, determinations and calculations shall be made in good faith and in a commercially reasonable manner; provided that, following the occurrence and during the continuance of an Event of Default of the type described in Section 5(a)(vii) of the Agreement with respect to which Party A is the sole Defaulting Party, if the Calculation Agent fails to timely make any calculation, adjustment or determination required to be made by the Calculation Agent hereunder or to perform any obligation of the Calculation Agent hereunder and such failure continues for five Exchange Business Days following notice to the Calculation Agent by Party B of such failure, Party B shall have the right to designate a nationally recognized third-party dealer in over-the- counter corporate equity derivatives to act, during the period commencing on the date such Event of Default occurred and ending on the Early Termination Date with respect to such Event of Default, as the Calculation Agent. Following any determination or calculation by the Calculation Agent hereunder, upon a request by Party B, the Calculation Agent shall promptly (but in any event within three Scheduled Trading Days) provide to Party B by e-mail to the e-mail address provided by Party B in such request a report (in a commonly used file format for the storage and manipulation of financial data) displaying in reasonable detail the basis for such determination or calculation (including any assumptions used in making such determination or calculation), it being understood that the Calculation Agent shall not be obligated to disclose any proprietary or confidential models or other proprietary or confidential information used by it for such determination or calculation.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4.</w:t>
      </w:r>
    </w:p>
    <w:p>
      <w:pPr>
        <w:pStyle w:val="TextBody"/>
        <w:bidi w:val="0"/>
        <w:spacing w:before="0" w:after="240"/>
        <w:jc w:val="both"/>
        <w:rPr/>
      </w:pPr>
      <w:r>
        <w:rPr>
          <w:rFonts w:ascii="Times New Roman" w:hAnsi="Times New Roman"/>
          <w:b/>
          <w:color w:val="000000"/>
          <w:sz w:val="20"/>
          <w:u w:val="single"/>
        </w:rPr>
        <w:t>Account Details</w:t>
      </w:r>
      <w:r>
        <w:rPr>
          <w:rFonts w:ascii="Times New Roman" w:hAnsi="Times New Roman"/>
          <w:b/>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Account for payments to Party 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be advised.</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Account for delivery of Shares from Party 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be advised.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Account for delivery of Shares to Party 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be advised.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Account for payments to Party 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be advised.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Account for delivery of Shares from Party 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be advised.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Account for delivery of Shares to Party 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be advised.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5.</w:t>
      </w:r>
    </w:p>
    <w:p>
      <w:pPr>
        <w:pStyle w:val="TextBody"/>
        <w:bidi w:val="0"/>
        <w:spacing w:before="0" w:after="240"/>
        <w:jc w:val="both"/>
        <w:rPr/>
      </w:pPr>
      <w:r>
        <w:rPr>
          <w:rFonts w:ascii="Times New Roman" w:hAnsi="Times New Roman"/>
          <w:b/>
          <w:color w:val="000000"/>
          <w:sz w:val="20"/>
          <w:u w:val="single"/>
        </w:rPr>
        <w:t>Offices</w:t>
      </w:r>
      <w:r>
        <w:rPr>
          <w:rFonts w:ascii="Times New Roman" w:hAnsi="Times New Roman"/>
          <w:b/>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Office of Party B for the Transactions is: Inapplicable, Party B is not a Multibranch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Office of Party A for the Transactions is: New York.</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w:t>
      </w:r>
    </w:p>
    <w:p>
      <w:pPr>
        <w:pStyle w:val="TextBody"/>
        <w:bidi w:val="0"/>
        <w:spacing w:before="0" w:after="240"/>
        <w:jc w:val="both"/>
        <w:rPr/>
      </w:pPr>
      <w:r>
        <w:rPr>
          <w:rFonts w:ascii="Times New Roman" w:hAnsi="Times New Roman"/>
          <w:b/>
          <w:color w:val="000000"/>
          <w:sz w:val="20"/>
          <w:u w:val="single"/>
        </w:rPr>
        <w:t>Notices</w:t>
      </w:r>
      <w:r>
        <w:rPr>
          <w:rFonts w:ascii="Times New Roman" w:hAnsi="Times New Roman"/>
          <w:b/>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Address for notices or communications to Party 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Address for notices or communications to Party A:</w:t>
      </w:r>
    </w:p>
    <w:p>
      <w:pPr>
        <w:pStyle w:val="TextBody"/>
        <w:bidi w:val="0"/>
        <w:spacing w:before="0" w:after="240"/>
        <w:jc w:val="both"/>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w:t>
      </w:r>
      <w:r>
        <w:rPr>
          <w:rFonts w:ascii="Times New Roman" w:hAnsi="Times New Roman"/>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w:t>
      </w:r>
    </w:p>
    <w:p>
      <w:pPr>
        <w:pStyle w:val="TextBody"/>
        <w:bidi w:val="0"/>
        <w:spacing w:before="0" w:after="240"/>
        <w:jc w:val="both"/>
        <w:rPr/>
      </w:pPr>
      <w:r>
        <w:rPr>
          <w:rFonts w:ascii="Times New Roman" w:hAnsi="Times New Roman"/>
          <w:b/>
          <w:color w:val="000000"/>
          <w:sz w:val="20"/>
          <w:u w:val="single"/>
        </w:rPr>
        <w:t>Representations and Warranties of Party B</w:t>
      </w:r>
      <w:r>
        <w:rPr>
          <w:rFonts w:ascii="Times New Roman" w:hAnsi="Times New Roman"/>
          <w:b/>
          <w:color w:val="000000"/>
          <w:sz w:val="20"/>
        </w:rPr>
        <w:t xml:space="preserve">. </w:t>
      </w:r>
      <w:r>
        <w:rPr>
          <w:rFonts w:ascii="Times New Roman" w:hAnsi="Times New Roman"/>
          <w:color w:val="000000"/>
          <w:sz w:val="20"/>
        </w:rPr>
        <w:t>Party B hereby represents and warrants to, and agrees with, Party A on the date hereof, on the Trade Date for each Transaction, any day on which it makes any election in respect of any Transaction, including any election of Cash Settlement or Net Share Settlement (unless another date or dates are specified below)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No filing with, or approval, authorization, consent, license, registration, qualification, order or decree of, any court or governmental authority or agency, domestic or foreign, is necessary or required for the execution, delivery and performance by Party B of this Master Confirmation and each Supplemental Confirmation hereunder and the consummation of such Transaction (including, without limitation, the delivery of Shares on the Settlement Dates) except (i) such as have been obtained under the Securities Act of 1933, as amended (the “</w:t>
      </w:r>
      <w:r>
        <w:rPr>
          <w:rFonts w:ascii="Times New Roman" w:hAnsi="Times New Roman"/>
          <w:b/>
          <w:color w:val="000000"/>
          <w:sz w:val="20"/>
        </w:rPr>
        <w:t>Securities Act</w:t>
      </w:r>
      <w:r>
        <w:rPr>
          <w:color w:val="000000"/>
        </w:rPr>
        <w:t>”</w:t>
      </w:r>
      <w:r>
        <w:rPr>
          <w:rFonts w:ascii="Times New Roman" w:hAnsi="Times New Roman"/>
          <w:color w:val="000000"/>
          <w:sz w:val="20"/>
        </w:rPr>
        <w:t>), and (ii) as may be required to be obtained under state securities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number of Shares equal to the Maximum Transaction Number of Shares for such Transaction have been reserved for issuance by all required corporate action of Party B. The Shares issuable under such Transaction have been duly authorized and, when delivered against payment therefor and otherwise as contemplated by the terms of such Transaction following the settlement of such Transaction in accordance with the terms and conditions of such Transaction, will be validly issued, fully-paid and non-assessable, and the issuance of such Shares will not be subject to any preemptive or similar rights.</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Party B is not, and after giving effect to such Transaction will not be, required to register as an “investment company” as such term is defined in the Investment Company Act of 1940, as amended.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Party B is an “eligible contract participant” (as such term is defined in Section 1a(18) of the Commodity Exchange Act, as amended, other than a person that is an eligible contract participant under Section 1a(18)(C) of the Commodity Exchange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Party B is not aware of any material nonpublic information regarding Party B or the Shares and (B) Party B is not entering into such Transaction nor making any election thereunder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federal,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Party A or its affiliates owning or holding (however defined) Shares, other than Sections 13 and 16 under the Exchange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Party B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Party B (A) has such knowledge and experience in financial and business affairs as to be capable of evaluating the merits and risks of entering into such Transaction; (B) has consulted with its own legal, financial, accounting and tax advisors in connection with the Transactions; and (C) is entering into such Transaction for a bona fide business purpose.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assets of Party B do not constitute “plan assets” under the Employee Retirement Income Security Act of 1974, as amended, the Department of Labor Regulations promulgated thereunder or similar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such date and as of each Settlement Date for such Transaction, Party B is not and will not be insolvent, nor will Party B be rendered insolvent as a result of such Transaction or its performance of the terms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Party B understands that no obligations of Party A to it hereunder will be entitled to the benefit of deposit insurance and that such obligations will not be guaranteed by any affiliate of Party A or any governmental agency.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Party B will promptly, and in any event within three (3) Scheduled Trading Days, notify Party A upon obtaining knowledge of the occurrence of any event that would constitute an Event of Default with respect to Party B, a Potential Event of Default with respect to Party B or a Potential Adjustment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Party A is not acting as a fiduciary for or an adviser to Party B in respect of such Transaction.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(i) the date hereof and (ii) such Trade Date, Party B is in compliance with its reporting obligations under the Exchange Act and its most recent Annual Report on Form 10-K, together with all reports subsequently filed by it pursuant to the Exchange Act, taken together and as amended and supplemented to the date of this representation, do not, as of their respective filing dates, contain any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this Master Confirmation and the Transactions, it is an “accredited investor” as defined in Section 2(a)(15)(ii) of the Securities Act.</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PARTY B UNDERSTANDS THAT THE TRANSACTIONS HEREUNDER ARE SUBJECT TO COMPLEX RISKS WHICH MAY ARISE WITHOUT WARNING AND MAY AT TIMES BE VOLATILE AND THAT LOSSES MAY OCCUR QUICKLY AND IN UNANTICIPATED MAGNITUDE AND IS WILLING TO ACCEPT SUCH TERMS AND CONDITIONS AND ASSUME (FINANCIALLY AND OTHERWISE) SUCH RISKS.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the parties have agreed (which for the avoidance of doubt may be agreed by phone call or email) to enter into a Transaction, Party B shall execute a Supplemental Confirmation specifying such agreed terms and conditions of such Transaction as promptly as practicable following receipt of such Supplemental Confirmation from Party A.</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8.</w:t>
      </w:r>
    </w:p>
    <w:p>
      <w:pPr>
        <w:pStyle w:val="TextBody"/>
        <w:bidi w:val="0"/>
        <w:spacing w:before="0" w:after="240"/>
        <w:jc w:val="both"/>
        <w:rPr/>
      </w:pPr>
      <w:r>
        <w:rPr>
          <w:rFonts w:ascii="Times New Roman" w:hAnsi="Times New Roman"/>
          <w:b/>
          <w:color w:val="000000"/>
          <w:sz w:val="20"/>
          <w:u w:val="single"/>
        </w:rPr>
        <w:t>Other Provisions</w:t>
      </w:r>
      <w:r>
        <w:rPr>
          <w:rFonts w:ascii="Times New Roman" w:hAnsi="Times New Roman"/>
          <w:b/>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i/>
          <w:color w:val="000000"/>
          <w:sz w:val="20"/>
          <w:u w:val="single"/>
        </w:rPr>
        <w:t>Conditions to Party A’s Obligations</w:t>
      </w:r>
      <w:r>
        <w:rPr>
          <w:rFonts w:ascii="Times New Roman" w:hAnsi="Times New Roman"/>
          <w:color w:val="000000"/>
          <w:sz w:val="20"/>
        </w:rPr>
        <w:t>. Notwithstanding anything to the contrary in this Master Confirmation or the Agreement, Party A’s obligations with respect to a Transaction shall be subject to the satisfaction or waiver by Party A of the following conditions: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representations and warranties of Party B contained herein and in the Agreement (including as may be modified herein) shall be true and correct as of the Trade Date for such Transaction;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Party B shall have performed all of the covenants and obligations to be performed by Party B on or prior to the Trade Date for such Transaction under the Agreement (including as may be modified herein) and hereunder;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Party B shall have executed the related Supplemental Confirmation for such Transaction;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representations and warranties of Party B contained in the Distribution Agreement and any certificate delivered pursuant thereto by Party B shall be true and correct as of the Trade Date for such Transaction;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Party B has performed all of the obligations required to be performed by it under the Distribution Agreement on or prior to the Trade Date for such Transaction; 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all of the conditions set forth in Section 6 of the Distribution Agreement shall have been satisfied.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i/>
          <w:color w:val="000000"/>
          <w:sz w:val="20"/>
          <w:u w:val="single"/>
        </w:rPr>
        <w:t>Limitations</w:t>
      </w:r>
      <w:r>
        <w:rPr>
          <w:rFonts w:ascii="Times New Roman" w:hAnsi="Times New Roman"/>
          <w:color w:val="000000"/>
          <w:sz w:val="2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pPr>
      <w:r>
        <w:rPr>
          <w:rFonts w:ascii="Times New Roman" w:hAnsi="Times New Roman"/>
          <w:color w:val="000000"/>
          <w:sz w:val="20"/>
        </w:rPr>
        <w:t>If at any time on any day on or after the Trade Date for a Transaction, (i) Party A determines that the number of Shares Party A or its affiliates theoretically would be short in order to hedge the equity price risk of such Transaction (such number of Shares, the “</w:t>
      </w:r>
      <w:r>
        <w:rPr>
          <w:rFonts w:ascii="Times New Roman" w:hAnsi="Times New Roman"/>
          <w:b/>
          <w:color w:val="000000"/>
          <w:sz w:val="20"/>
        </w:rPr>
        <w:t>Theoretical Delta</w:t>
      </w:r>
      <w:r>
        <w:rPr>
          <w:color w:val="000000"/>
        </w:rPr>
        <w:t>”</w:t>
      </w:r>
      <w:r>
        <w:rPr>
          <w:rFonts w:ascii="Times New Roman" w:hAnsi="Times New Roman"/>
          <w:color w:val="000000"/>
          <w:sz w:val="20"/>
        </w:rPr>
        <w:t>) exceeds the total number of Shares then sold under the Prospectus as contemplated in the Distribution Agreement and (ii) such day is a Suspension Day, then Party A shall promptly notify Party B in writing of the existence of such excess delta and Party A shall have the right to adjust the terms of the Transaction as it determines appropriate in a good faith and commercially reasonable manner to preserve the fair value of the Transaction. A “</w:t>
      </w:r>
      <w:r>
        <w:rPr>
          <w:rFonts w:ascii="Times New Roman" w:hAnsi="Times New Roman"/>
          <w:b/>
          <w:color w:val="000000"/>
          <w:sz w:val="20"/>
        </w:rPr>
        <w:t>Suspension Day</w:t>
      </w:r>
      <w:r>
        <w:rPr>
          <w:color w:val="000000"/>
        </w:rPr>
        <w:t xml:space="preserve">” </w:t>
      </w:r>
      <w:r>
        <w:rPr>
          <w:rFonts w:ascii="Times New Roman" w:hAnsi="Times New Roman"/>
          <w:color w:val="000000"/>
          <w:sz w:val="20"/>
        </w:rPr>
        <w:t>means any day (i) on which for any reason, the Prospectus contemplated by the Distribution Agreement ceases to satisfy the requirements of the Distribution Agreement, (ii) on which Party A has not received the deliverables contemplated by Section 6 of the Distribution Agreement or with respect to which Party B has not satisfied its obligations under Section 4 of the Distribution Agreement, in each case in form and substance satisfactory to Party A or (iii) Party B, the Forward Hedge Seller or Party A suspended any sale of Shares pursuant to Section 3 of the Distribution Agreement.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pPr>
      <w:r>
        <w:rPr>
          <w:rFonts w:ascii="Times New Roman" w:hAnsi="Times New Roman"/>
          <w:color w:val="000000"/>
          <w:sz w:val="20"/>
        </w:rPr>
        <w:t>If, during the period from the Trade Date for a Transaction to the Sales Period Outside Date (as defined below) for such Transaction Dealer or its affiliates have, in connection with such Transaction, sold a number of Shares under the Prospectus as contemplated by the Distribution Agreement that is less than the Transaction Number of Shares (such number of Shares, the “</w:t>
      </w:r>
      <w:r>
        <w:rPr>
          <w:rFonts w:ascii="Times New Roman" w:hAnsi="Times New Roman"/>
          <w:b/>
          <w:color w:val="000000"/>
          <w:sz w:val="20"/>
        </w:rPr>
        <w:t>Sold Number of Shares</w:t>
      </w:r>
      <w:r>
        <w:rPr>
          <w:color w:val="000000"/>
        </w:rPr>
        <w:t>”</w:t>
      </w:r>
      <w:r>
        <w:rPr>
          <w:rFonts w:ascii="Times New Roman" w:hAnsi="Times New Roman"/>
          <w:color w:val="000000"/>
          <w:sz w:val="20"/>
        </w:rPr>
        <w:t xml:space="preserve">) for any reason, then Party A shall notify Party B in writing that it will reduce the Maximum Transaction Number of Shares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0"/>
        </w:rPr>
        <w:t>for such Transaction to the Sold Number of Shares (in which case the Maximum Number of Shares for each Component shall be proportionally reduced) and make any other good faith and commercially reasonable adjustments to the terms of the Transaction as it determines appropriate to reflect such reduction (including, without limitation, to account for any losses or costs incurred by Dealer or its affiliates as a result of its establishing, maintaining, terminating or liquidating any related Hedge Position or related trading position in connection with such reduction). “</w:t>
      </w:r>
      <w:r>
        <w:rPr>
          <w:rFonts w:ascii="Times New Roman" w:hAnsi="Times New Roman"/>
          <w:b/>
          <w:color w:val="000000"/>
          <w:sz w:val="20"/>
        </w:rPr>
        <w:t>Sales Period Outside Date</w:t>
      </w:r>
      <w:r>
        <w:rPr>
          <w:rFonts w:ascii="Times New Roman" w:hAnsi="Times New Roman"/>
          <w:color w:val="000000"/>
          <w:sz w:val="20"/>
        </w:rPr>
        <w:t>,” with respect to a Transaction, has the meaning given to such term in the Supplemental Confirmation for such Transaction.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Notwithstanding the foregoing or any other provision of this Master Confirmation or any Supplemental Confirmation, if in respect of any Transaction (x) on or prior to 9:00 a.m., New York City time, on any “Forward Hedge Settlement Date” (as defined in the Distribution Agreement), in connection with Party A establishing Party A’s commercially reasonable hedge position in respect of such Transaction Dealer, in Party A’s sole good faith and commercially reasonable judgment, Party A is unable, after using commercially reasonable efforts, to borrow and deliver for sale the full number of Shares to be borrowed and sold pursuant to the Distribution Agreement on such Forward Hedge Settlement Date or (y) Party A’s sole good faith and commercially reasonable judgment, Party A would incur a stock loan cost of more than a rate equal to the Maximum Stock Loan Rate for such Transaction with respect to all or any portion of such full number of Shares, then Party A shall notify Party B in writing that it will reduce the Maximum Transaction Number of Shares for such Transaction (in which case the Maximum Number of Shares for each Component shall be proportionally reduced) and make any other good faith and commercially reasonable adjustments to the terms of the Transaction as it determines appropriate to reflect such reduction (including, without limitation, to account for any losses or costs incurred by Dealer or its affiliates as a result of its establishing, maintaining, terminating or liquidating any related Hedge Position or related trading position in connection with such reduction).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i/>
          <w:color w:val="000000"/>
          <w:sz w:val="20"/>
          <w:u w:val="single"/>
        </w:rPr>
        <w:t>Reserved</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Other Forwards</w:t>
      </w:r>
      <w:r>
        <w:rPr>
          <w:rFonts w:ascii="Times New Roman" w:hAnsi="Times New Roman"/>
          <w:color w:val="000000"/>
          <w:sz w:val="20"/>
        </w:rPr>
        <w:t>. Party A acknowledges that Party B has entered or may enter into one or more other forward transactions for its Shares during the term of any Transaction pursuant to “Supplemental Confirmation(s)” (as defined in the Distribution Agreement) with Forward Purchaser(s) (as defined in the Distribution Agreement) other than Party A (each, an “</w:t>
      </w:r>
      <w:r>
        <w:rPr>
          <w:rFonts w:ascii="Times New Roman" w:hAnsi="Times New Roman"/>
          <w:b/>
          <w:color w:val="000000"/>
          <w:sz w:val="20"/>
        </w:rPr>
        <w:t>Other Forward</w:t>
      </w:r>
      <w:r>
        <w:rPr>
          <w:color w:val="000000"/>
        </w:rPr>
        <w:t>”</w:t>
      </w:r>
      <w:r>
        <w:rPr>
          <w:rFonts w:ascii="Times New Roman" w:hAnsi="Times New Roman"/>
          <w:color w:val="000000"/>
          <w:sz w:val="20"/>
        </w:rPr>
        <w:t>). Party A and Party B agree that if Party B designates a Settlement Date, or if a Settlement Date occurs, in each case with respect to any Other Forward and for which Cash Settlement or Net Share Settlement is applicable, and the resulting Unwind Period for the Other Forward coincides for any period of time with an Unwind Period for such Transaction (the “</w:t>
      </w:r>
      <w:r>
        <w:rPr>
          <w:rFonts w:ascii="Times New Roman" w:hAnsi="Times New Roman"/>
          <w:b/>
          <w:color w:val="000000"/>
          <w:sz w:val="20"/>
        </w:rPr>
        <w:t>Overlap Unwind Period</w:t>
      </w:r>
      <w:r>
        <w:rPr>
          <w:color w:val="000000"/>
        </w:rPr>
        <w:t>”</w:t>
      </w:r>
      <w:r>
        <w:rPr>
          <w:rFonts w:ascii="Times New Roman" w:hAnsi="Times New Roman"/>
          <w:color w:val="000000"/>
          <w:sz w:val="20"/>
        </w:rPr>
        <w:t>), Party B shall notify Party A at least one Scheduled Trading Day prior to the commencement of such Overlap Unwind Period, and Party A shall be permitted to purchase Shares to unwind its hedge in respect of the Transaction only on alternating Scheduled Trading Days during such Overlap Unwind Period, commencing on the first, second, third or later Scheduled Trading Day prior to such Overlap Unwind Period (which alternating Scheduled Trading Days, for the avoidance of doubt, may be every other Scheduled Trading Day if there is only one Other Forward, every third Scheduled Trading Day if there are two Other Forwards, etc.), and corresponding adjustments shall be made to the Exchange Business Days comprising such Unwind Period, including for purposes of determining the Unwind Price(s).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Acceleration Events</w:t>
      </w:r>
      <w:r>
        <w:rPr>
          <w:rFonts w:ascii="Times New Roman" w:hAnsi="Times New Roman"/>
          <w:color w:val="000000"/>
          <w:sz w:val="20"/>
        </w:rPr>
        <w:t>. The occurrence of the following events following the first Contingency Exercise Date for any Transaction shall each constitute an “</w:t>
      </w:r>
      <w:r>
        <w:rPr>
          <w:rFonts w:ascii="Times New Roman" w:hAnsi="Times New Roman"/>
          <w:b/>
          <w:color w:val="000000"/>
          <w:sz w:val="20"/>
        </w:rPr>
        <w:t>Acceleration Event</w:t>
      </w:r>
      <w:r>
        <w:rPr>
          <w:color w:val="000000"/>
        </w:rPr>
        <w:t xml:space="preserve">” </w:t>
      </w:r>
      <w:r>
        <w:rPr>
          <w:rFonts w:ascii="Times New Roman" w:hAnsi="Times New Roman"/>
          <w:color w:val="000000"/>
          <w:sz w:val="20"/>
        </w:rPr>
        <w:t>with respect to the Contingency Exercised Portion of such Transaction: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u w:val="single"/>
        </w:rPr>
        <w:t>Stock Borrow Event</w:t>
      </w:r>
      <w:r>
        <w:rPr>
          <w:rFonts w:ascii="Times New Roman" w:hAnsi="Times New Roman"/>
          <w:color w:val="000000"/>
          <w:sz w:val="20"/>
        </w:rPr>
        <w:t>. In the good faith and commercially reasonable judgment of Party A (A) Party A (or an affiliate of Party A) is not able to hedge in a commercially reasonable manner its exposure under the Contingency Exercised Portion of such Transaction because insufficient Shares are made available for borrowing by securities lenders or (B) Party A (or an affiliate of Party A) would incur a Stock Loan Fee to borrow (or to maintain a borrow of) Shares to hedge in a commercially reasonable manner its exposure under the Contingency Exercised Portion of such Transaction that is greater than a rate equal to the Maximum Stock Loan Rate for such Transaction (each, a “</w:t>
      </w:r>
      <w:r>
        <w:rPr>
          <w:rFonts w:ascii="Times New Roman" w:hAnsi="Times New Roman"/>
          <w:b/>
          <w:color w:val="000000"/>
          <w:sz w:val="20"/>
        </w:rPr>
        <w:t>Stock Borrow Event</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u w:val="single"/>
        </w:rPr>
        <w:t>Dividends and Other Distributions</w:t>
      </w:r>
      <w:r>
        <w:rPr>
          <w:rFonts w:ascii="Times New Roman" w:hAnsi="Times New Roman"/>
          <w:color w:val="000000"/>
          <w:sz w:val="20"/>
        </w:rPr>
        <w:t xml:space="preserve">. Party B declares a distribution, issue or dividend to existing holders of the Shares of (A) any cash dividend (other than an Extraordinary Dividend) to the extent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all cash dividends having an ex-dividend date during the period from, and including, any Forward Price Reduction Date (with such first Contingency Exercise Date being deemed a Forward Price Reduction Date for purposes of this paragraph (ii) only) to, but excluding, the next subsequent Forward Price Reduction Date exceeds, on a per Share basis, the corresponding Forward Price Reduction Amount set forth in the relevant Supplemental Confirmation under “Forward Price Reduction Amounts” for such Forward Price Reduction Date, (B) any Extraordinary Dividend, (C) any share capital or other securities of another issuer acquired or owned (directly or indirectly) by Party B as a result of a spin-off or other similar transaction or (D) any other type of securities (other than Shares), rights or warrants or other assets, in any case for payment (cash or other consideration) at less than the prevailing market price, as determined in a commercially reasonable manner by Party A; “</w:t>
      </w:r>
      <w:r>
        <w:rPr>
          <w:rFonts w:ascii="Times New Roman" w:hAnsi="Times New Roman"/>
          <w:b/>
          <w:color w:val="000000"/>
          <w:sz w:val="20"/>
        </w:rPr>
        <w:t>Extraordinary Dividend</w:t>
      </w:r>
      <w:r>
        <w:rPr>
          <w:color w:val="000000"/>
        </w:rPr>
        <w:t xml:space="preserve">” </w:t>
      </w:r>
      <w:r>
        <w:rPr>
          <w:rFonts w:ascii="Times New Roman" w:hAnsi="Times New Roman"/>
          <w:color w:val="000000"/>
          <w:sz w:val="20"/>
        </w:rPr>
        <w:t>means any dividend or distribution (that is not an ordinary cash dividend) declared by Party B with respect to the Shares that, in the commercially reasonable determination of Party A, is (1) a dividend or distribution declared on the Shares at a time at which the Party B has not previously declared or paid dividends or distributions on such Shares for the prior four quarterly periods, (2) a payment or distribution by Party B to holders of Shares that Party B announces will be an “extraordinary” or “special” dividend or distribution, (3) a payment by Party B to holders of Shares out of the Issuer’s capital and surplus or (4) any other “special” dividend or distribution on the Shares that is, by its terms or declared intent, outside the normal course of operations or normal dividend policies or practices of Party 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pPr>
      <w:r>
        <w:rPr>
          <w:rFonts w:ascii="Times New Roman" w:hAnsi="Times New Roman"/>
          <w:color w:val="000000"/>
          <w:sz w:val="20"/>
          <w:u w:val="single"/>
        </w:rPr>
        <w:t>ISDA Termination</w:t>
      </w:r>
      <w:r>
        <w:rPr>
          <w:rFonts w:ascii="Times New Roman" w:hAnsi="Times New Roman"/>
          <w:color w:val="000000"/>
          <w:sz w:val="20"/>
        </w:rPr>
        <w:t>. Either Party A or Party B has the right to designate an Early Termination Date pursuant to Section 6 of the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pPr>
      <w:r>
        <w:rPr>
          <w:rFonts w:ascii="Times New Roman" w:hAnsi="Times New Roman"/>
          <w:color w:val="000000"/>
          <w:sz w:val="20"/>
          <w:u w:val="single"/>
        </w:rPr>
        <w:t>Other ISDA Events</w:t>
      </w:r>
      <w:r>
        <w:rPr>
          <w:rFonts w:ascii="Times New Roman" w:hAnsi="Times New Roman"/>
          <w:color w:val="000000"/>
          <w:sz w:val="20"/>
        </w:rPr>
        <w:t>. The announcement of any event that, if consummated, would result in a Merger Event, Tender Offer, Nationalization, Insolvency or Delisting or the occurrence of any Hedging Disruption or Change in Law;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pPr>
      <w:r>
        <w:rPr>
          <w:rFonts w:ascii="Times New Roman" w:hAnsi="Times New Roman"/>
          <w:color w:val="000000"/>
          <w:sz w:val="20"/>
          <w:u w:val="single"/>
        </w:rPr>
        <w:t>Ownership Event</w:t>
      </w:r>
      <w:r>
        <w:rPr>
          <w:rFonts w:ascii="Times New Roman" w:hAnsi="Times New Roman"/>
          <w:color w:val="000000"/>
          <w:sz w:val="20"/>
        </w:rPr>
        <w:t>. In the good faith judgment of Party A, on any day, the Share Amount for such day exceeds the Post-Effective Limit for such day (if any applies) (each, an “</w:t>
      </w:r>
      <w:r>
        <w:rPr>
          <w:rFonts w:ascii="Times New Roman" w:hAnsi="Times New Roman"/>
          <w:b/>
          <w:color w:val="000000"/>
          <w:sz w:val="20"/>
        </w:rPr>
        <w:t>Ownership Event</w:t>
      </w:r>
      <w:r>
        <w:rPr>
          <w:color w:val="000000"/>
        </w:rPr>
        <w:t>”</w:t>
      </w:r>
      <w:r>
        <w:rPr>
          <w:rFonts w:ascii="Times New Roman" w:hAnsi="Times New Roman"/>
          <w:color w:val="000000"/>
          <w:sz w:val="20"/>
        </w:rPr>
        <w:t>). For purposes of this clause (v), the “</w:t>
      </w:r>
      <w:r>
        <w:rPr>
          <w:rFonts w:ascii="Times New Roman" w:hAnsi="Times New Roman"/>
          <w:b/>
          <w:color w:val="000000"/>
          <w:sz w:val="20"/>
        </w:rPr>
        <w:t>Share Amount</w:t>
      </w:r>
      <w:r>
        <w:rPr>
          <w:color w:val="000000"/>
        </w:rPr>
        <w:t xml:space="preserve">” </w:t>
      </w:r>
      <w:r>
        <w:rPr>
          <w:rFonts w:ascii="Times New Roman" w:hAnsi="Times New Roman"/>
          <w:color w:val="000000"/>
          <w:sz w:val="20"/>
        </w:rPr>
        <w:t>as of any day is the number of Shares that Party A and any person whose ownership position would be aggregated with that of Party A (Party A or any such person, a “</w:t>
      </w:r>
      <w:r>
        <w:rPr>
          <w:rFonts w:ascii="Times New Roman" w:hAnsi="Times New Roman"/>
          <w:b/>
          <w:color w:val="000000"/>
          <w:sz w:val="20"/>
        </w:rPr>
        <w:t>Party A Person</w:t>
      </w:r>
      <w:r>
        <w:rPr>
          <w:color w:val="000000"/>
        </w:rPr>
        <w:t>”</w:t>
      </w:r>
      <w:r>
        <w:rPr>
          <w:rFonts w:ascii="Times New Roman" w:hAnsi="Times New Roman"/>
          <w:color w:val="000000"/>
          <w:sz w:val="20"/>
        </w:rPr>
        <w:t>) under any law, rule, regulation or regulatory order (other than any obligations under Section 13 of the Exchange Act and the rules and regulations promulgated thereunder), under Section 6.2.1(a) of Party B’s Amended and Restated Articles of Amendment and Restatement or under Sections 3-601 through 3-603 of the Maryland Code (Corporations and Associations) that for any reason is, or after the Trade Date for such Transaction becomes, applicable to ownership of Shares (“</w:t>
      </w:r>
      <w:r>
        <w:rPr>
          <w:rFonts w:ascii="Times New Roman" w:hAnsi="Times New Roman"/>
          <w:b/>
          <w:color w:val="000000"/>
          <w:sz w:val="20"/>
        </w:rPr>
        <w:t>Applicable Provisions</w:t>
      </w:r>
      <w:r>
        <w:rPr>
          <w:color w:val="000000"/>
        </w:rPr>
        <w:t>”</w:t>
      </w:r>
      <w:r>
        <w:rPr>
          <w:rFonts w:ascii="Times New Roman" w:hAnsi="Times New Roman"/>
          <w:color w:val="000000"/>
          <w:sz w:val="20"/>
        </w:rPr>
        <w:t>), owns, beneficially owns, constructively owns, controls, holds the power to vote or otherwise meets a relevant definition of ownership of under the Applicable Provisions, as determined by Party A in its reasonable discretion. The “</w:t>
      </w:r>
      <w:r>
        <w:rPr>
          <w:rFonts w:ascii="Times New Roman" w:hAnsi="Times New Roman"/>
          <w:b/>
          <w:color w:val="000000"/>
          <w:sz w:val="20"/>
        </w:rPr>
        <w:t>Post-Effective Limit</w:t>
      </w:r>
      <w:r>
        <w:rPr>
          <w:color w:val="000000"/>
        </w:rPr>
        <w:t xml:space="preserve">” </w:t>
      </w:r>
      <w:r>
        <w:rPr>
          <w:rFonts w:ascii="Times New Roman" w:hAnsi="Times New Roman"/>
          <w:color w:val="000000"/>
          <w:sz w:val="20"/>
        </w:rPr>
        <w:t>means (x) the minimum number of Shares that would give rise to reporting or registration obligations (except for any filing requirements on Form 13F, Schedule 13D or Schedule 13G under the Exchange Act, in each case, as in effect on the Trade Date for such Transaction) or other requirements (including obtaining prior approval from any person or entity) of a Party A Person, or would result in an adverse effect on a Party A Person, under the Applicable Provisions, as determined by Party A in its reasonable discretion,</w:t>
      </w:r>
      <w:r>
        <w:rPr>
          <w:color w:val="000000"/>
        </w:rPr>
        <w:t xml:space="preserve"> </w:t>
      </w:r>
      <w:r>
        <w:rPr>
          <w:rFonts w:ascii="Times New Roman" w:hAnsi="Times New Roman"/>
          <w:i/>
          <w:color w:val="000000"/>
          <w:sz w:val="20"/>
        </w:rPr>
        <w:t>minus</w:t>
      </w:r>
      <w:r>
        <w:rPr>
          <w:color w:val="000000"/>
        </w:rPr>
        <w:t xml:space="preserve"> </w:t>
      </w:r>
      <w:r>
        <w:rPr>
          <w:rFonts w:ascii="Times New Roman" w:hAnsi="Times New Roman"/>
          <w:color w:val="000000"/>
          <w:sz w:val="20"/>
        </w:rPr>
        <w:t>(y) 1.0% of the number of Shares outstanding.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Termination Settlement</w:t>
      </w:r>
      <w:r>
        <w:rPr>
          <w:rFonts w:ascii="Times New Roman" w:hAnsi="Times New Roman"/>
          <w:color w:val="000000"/>
          <w:sz w:val="20"/>
        </w:rPr>
        <w:t>. Upon the occurrence of any Acceleration Event, Party A shall have the right to designate, upon at least one Scheduled Trading Day’s notice, any Scheduled Trading Day following such occurrence to be a Settlement Date hereunder (a “</w:t>
      </w:r>
      <w:r>
        <w:rPr>
          <w:rFonts w:ascii="Times New Roman" w:hAnsi="Times New Roman"/>
          <w:b/>
          <w:color w:val="000000"/>
          <w:sz w:val="20"/>
        </w:rPr>
        <w:t>Termination Settlement Date</w:t>
      </w:r>
      <w:r>
        <w:rPr>
          <w:color w:val="000000"/>
        </w:rPr>
        <w:t>”</w:t>
      </w:r>
      <w:r>
        <w:rPr>
          <w:rFonts w:ascii="Times New Roman" w:hAnsi="Times New Roman"/>
          <w:color w:val="000000"/>
          <w:sz w:val="20"/>
        </w:rPr>
        <w:t xml:space="preserve">) to which Physical Settlement shall apply with respect to the Contingency Exercised Portion of the relevant Transaction, and to select the number of Settlement Shares relating to such Termination Settlement Date; </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(i) in the case of an Acceleration Event arising out of an Ownership Event, the number of Settlement Shares so designated by Party A shall not exceed the number of Shares necessary to reduce the Share Amount to reasonably below the Post-Effective Limit and (ii) in the case of an Acceleration Event arising out of a Stock Borrow Event, the number of Settlement Shares so designated by Party A shall not exceed the number of Shares as to which such Stock Borrow Event exists. If, upon designation of a Termination Settlement Date by Party A pursuant to the preceding sentence, Party B fails to deliver the Settlement Shares relating to such Termination Settlement Date when due or otherwise fails to perform obligations within its control in respect of this Transaction, it shall be an Event of Default with respect to Party B as the sole Defaulting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Party and Section 6 of the Agreement shall apply.</w:t>
      </w:r>
      <w:r>
        <w:rPr>
          <w:color w:val="000000"/>
        </w:rPr>
        <w:t xml:space="preserve"> </w:t>
      </w:r>
      <w:r>
        <w:rPr>
          <w:rFonts w:ascii="Times New Roman" w:hAnsi="Times New Roman"/>
          <w:color w:val="000000"/>
          <w:sz w:val="20"/>
        </w:rPr>
        <w:t>If an Acceleration Event occurs during an Unwind Period relating to a number of Settlement Shares to which Cash Settlement or Net Share Settlement applies, then on the Termination Settlement Date relating to such Acceleration Event, notwithstanding any election to the contrary by Party B , Cash Settlement or Net Share Settlement shall apply to the portion of the Settlement Shares relating to such Unwind Period as to which Party A has unwound its hedge and Physical Settlement shall apply in respect of (x) the remainder (if any) of such Settlement Shares and (y) the Settlement Shares designated by Party A in respect of such Termination Settlement Date. If an Acceleration Event occurs after Party B has designated a Settlement Date to which Physical Settlement applies but before the relevant Settlement Shares have been delivered to Party A, then Party A shall have the right to cancel such Settlement Date and designate a Termination Settlement Date in respect of such Shares pursuant to the first sentence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u w:val="single"/>
        </w:rPr>
        <w:t>Additional Adjustment</w:t>
      </w:r>
      <w:r>
        <w:rPr>
          <w:rFonts w:ascii="Times New Roman" w:hAnsi="Times New Roman"/>
          <w:color w:val="000000"/>
          <w:sz w:val="20"/>
        </w:rPr>
        <w:t>. If, in Party A’s commercially reasonable judgment, the actual cost to Party A (or an affiliate of Party A), on any Scheduled Trading Day, of borrowing a number of Shares equal to the Transaction Number of Shares to hedge in a commercially reasonable manner its exposure to the Contingency Exercised Portion of the applicable Transaction exceeds a weighted average rate equal to the Initial Stock Loan Rate, the Calculation Agent shall reduce the Forward Price to compensate Party A for the amount by which such cost exceeded a weighted average rate equal to the Initial Stock Loan Rate during such Scheduled Trading Day. The Calculation Agent shall notify Party B prior to making any such adjustment to the Forward Price.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u w:val="single"/>
        </w:rPr>
        <w:t>Insolvency Filing</w:t>
      </w:r>
      <w:r>
        <w:rPr>
          <w:rFonts w:ascii="Times New Roman" w:hAnsi="Times New Roman"/>
          <w:color w:val="000000"/>
          <w:sz w:val="20"/>
        </w:rPr>
        <w:t>. Notwithstanding anything to the contrary herein, in the Agreement or in the Equity Definitions, upon any Insolvency Filing or other proceeding under the U.S. Bankruptcy Code in respect of the Party B following the first Contingency Exercise Date for any Transaction (a “</w:t>
      </w:r>
      <w:r>
        <w:rPr>
          <w:rFonts w:ascii="Times New Roman" w:hAnsi="Times New Roman"/>
          <w:b/>
          <w:color w:val="000000"/>
          <w:sz w:val="20"/>
        </w:rPr>
        <w:t>Bankruptcy Termination Event</w:t>
      </w:r>
      <w:r>
        <w:rPr>
          <w:color w:val="000000"/>
        </w:rPr>
        <w:t>”</w:t>
      </w:r>
      <w:r>
        <w:rPr>
          <w:rFonts w:ascii="Times New Roman" w:hAnsi="Times New Roman"/>
          <w:color w:val="000000"/>
          <w:sz w:val="20"/>
        </w:rPr>
        <w:t>), the Contingency Exercised Portion of such Transaction shall automatically terminate on the date thereof without further liability of either party to this Master Confirmation to the other party (except for any liability in respect of any breach of representation or covenant by a party under this Master Confirmation prior to the date of such Insolvency Filing or other proceeding), it being understood that such Transaction is a contract for the issuance of Shares by Party B.</w:t>
      </w:r>
    </w:p>
    <w:p>
      <w:pPr>
        <w:pStyle w:val="TextBody"/>
        <w:bidi w:val="0"/>
        <w:spacing w:before="0" w:after="24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follows</w:t>
      </w:r>
      <w:r>
        <w:rPr>
          <w:rFonts w:ascii="Times New Roman" w:hAnsi="Times New Roman"/>
          <w:color w:val="000000"/>
          <w:sz w:val="20"/>
        </w:rPr>
        <w:t>.]</w:t>
      </w:r>
    </w:p>
    <w:p>
      <w:pPr>
        <w:pStyle w:val="TextBody"/>
        <w:bidi w:val="0"/>
        <w:spacing w:before="0" w:after="240"/>
        <w:jc w:val="both"/>
        <w:rPr/>
      </w:pPr>
      <w:r>
        <w:rPr/>
        <w:t>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Please confirm by signing below that the foregoing correctly sets forth the terms of the agreement between Party A and Party B with respect to any Transaction contemplated by this Master Confirmation and return to us.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Yours faithfully,</w:t>
      </w:r>
    </w:p>
    <w:tbl>
      <w:tblPr>
        <w:tblW w:w="1710" w:type="dxa"/>
        <w:jc w:val="left"/>
        <w:tblInd w:w="0" w:type="dxa"/>
        <w:tblLayout w:type="fixed"/>
        <w:tblCellMar>
          <w:top w:w="28" w:type="dxa"/>
          <w:left w:w="28" w:type="dxa"/>
          <w:bottom w:w="28" w:type="dxa"/>
          <w:right w:w="28" w:type="dxa"/>
        </w:tblCellMar>
      </w:tblPr>
      <w:tblGrid>
        <w:gridCol w:w="544"/>
        <w:gridCol w:w="1166"/>
      </w:tblGrid>
      <w:tr>
        <w:trPr/>
        <w:tc>
          <w:tcPr>
            <w:tcW w:w="54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1710" w:type="dxa"/>
            <w:gridSpan w:val="2"/>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 as agent for]</w:t>
            </w:r>
          </w:p>
          <w:p>
            <w:pPr>
              <w:pStyle w:val="TableContents"/>
              <w:bidi w:val="0"/>
              <w:jc w:val="both"/>
              <w:rPr>
                <w:rFonts w:ascii="Times New Roman" w:hAnsi="Times New Roman"/>
                <w:sz w:val="20"/>
              </w:rPr>
            </w:pPr>
            <w:r>
              <w:rPr>
                <w:rFonts w:ascii="Times New Roman" w:hAnsi="Times New Roman"/>
                <w:b/>
                <w:i/>
                <w:color w:val="000000"/>
                <w:sz w:val="20"/>
              </w:rPr>
              <w:t>[DEALER NAME</w:t>
            </w:r>
            <w:r>
              <w:rPr>
                <w:rFonts w:ascii="Times New Roman" w:hAnsi="Times New Roman"/>
                <w:b/>
                <w:color w:val="000000"/>
                <w:sz w:val="20"/>
              </w:rPr>
              <w:t>]</w:t>
            </w:r>
          </w:p>
          <w:p>
            <w:pPr>
              <w:pStyle w:val="TableContents"/>
              <w:bidi w:val="0"/>
              <w:spacing w:before="0" w:after="240"/>
              <w:jc w:val="both"/>
              <w:rPr/>
            </w:pPr>
            <w:r>
              <w:rPr/>
              <w:t> </w:t>
            </w:r>
          </w:p>
        </w:tc>
      </w:tr>
      <w:tr>
        <w:trPr/>
        <w:tc>
          <w:tcPr>
            <w:tcW w:w="544" w:type="dxa"/>
            <w:tcBorders/>
            <w:tcMar>
              <w:top w:w="0" w:type="dxa"/>
              <w:left w:w="0" w:type="dxa"/>
              <w:bottom w:w="0" w:type="dxa"/>
              <w:right w:w="0" w:type="dxa"/>
            </w:tcMar>
            <w:vAlign w:val="center"/>
          </w:tcPr>
          <w:p>
            <w:pPr>
              <w:pStyle w:val="TableContents"/>
              <w:bidi w:val="0"/>
              <w:spacing w:before="0" w:after="283"/>
              <w:ind w:left="0" w:right="0" w:firstLine="17"/>
              <w:jc w:val="left"/>
              <w:rPr>
                <w:rFonts w:ascii="Times New Roman" w:hAnsi="Times New Roman"/>
                <w:color w:val="000000"/>
                <w:sz w:val="20"/>
              </w:rPr>
            </w:pPr>
            <w:r>
              <w:rPr>
                <w:rFonts w:ascii="Times New Roman" w:hAnsi="Times New Roman"/>
                <w:color w:val="000000"/>
                <w:sz w:val="20"/>
              </w:rPr>
              <w:t>By:</w:t>
            </w:r>
          </w:p>
        </w:tc>
        <w:tc>
          <w:tcPr>
            <w:tcW w:w="1166" w:type="dxa"/>
            <w:tcBorders>
              <w:bottom w:val="single" w:sz="4" w:space="0" w:color="000000"/>
            </w:tcBorders>
            <w:tcMar>
              <w:top w:w="0" w:type="dxa"/>
              <w:left w:w="0" w:type="dxa"/>
              <w:right w:w="0" w:type="dxa"/>
            </w:tcMar>
            <w:vAlign w:val="center"/>
          </w:tcPr>
          <w:p>
            <w:pPr>
              <w:pStyle w:val="TableContents"/>
              <w:bidi w:val="0"/>
              <w:spacing w:before="0" w:after="283"/>
              <w:ind w:left="0" w:right="0" w:firstLine="748"/>
              <w:jc w:val="left"/>
              <w:rPr/>
            </w:pPr>
            <w:r>
              <w:rPr/>
              <w:t> </w:t>
            </w:r>
          </w:p>
        </w:tc>
      </w:tr>
      <w:tr>
        <w:trPr/>
        <w:tc>
          <w:tcPr>
            <w:tcW w:w="1710" w:type="dxa"/>
            <w:gridSpan w:val="2"/>
            <w:tcBorders/>
            <w:tcMar>
              <w:top w:w="0" w:type="dxa"/>
              <w:left w:w="0" w:type="dxa"/>
              <w:bottom w:w="0" w:type="dxa"/>
              <w:right w:w="0" w:type="dxa"/>
            </w:tcMar>
            <w:vAlign w:val="center"/>
          </w:tcPr>
          <w:p>
            <w:pPr>
              <w:pStyle w:val="TableContents"/>
              <w:bidi w:val="0"/>
              <w:spacing w:before="0" w:after="283"/>
              <w:ind w:left="0" w:right="0" w:firstLine="748"/>
              <w:jc w:val="left"/>
              <w:rPr>
                <w:rFonts w:ascii="Times New Roman" w:hAnsi="Times New Roman"/>
                <w:color w:val="000000"/>
                <w:sz w:val="20"/>
              </w:rPr>
            </w:pPr>
            <w:r>
              <w:rPr>
                <w:rFonts w:ascii="Times New Roman" w:hAnsi="Times New Roman"/>
                <w:color w:val="000000"/>
                <w:sz w:val="20"/>
              </w:rPr>
              <w:t xml:space="preserve">Name: </w:t>
            </w:r>
          </w:p>
        </w:tc>
      </w:tr>
      <w:tr>
        <w:trPr/>
        <w:tc>
          <w:tcPr>
            <w:tcW w:w="1710" w:type="dxa"/>
            <w:gridSpan w:val="2"/>
            <w:tcBorders/>
            <w:tcMar>
              <w:top w:w="0" w:type="dxa"/>
              <w:left w:w="0" w:type="dxa"/>
              <w:bottom w:w="0" w:type="dxa"/>
              <w:right w:w="0" w:type="dxa"/>
            </w:tcMar>
            <w:vAlign w:val="center"/>
          </w:tcPr>
          <w:p>
            <w:pPr>
              <w:pStyle w:val="TableContents"/>
              <w:bidi w:val="0"/>
              <w:spacing w:before="0" w:after="283"/>
              <w:ind w:left="0" w:right="0" w:firstLine="748"/>
              <w:jc w:val="left"/>
              <w:rPr>
                <w:rFonts w:ascii="Times New Roman" w:hAnsi="Times New Roman"/>
                <w:color w:val="000000"/>
                <w:sz w:val="20"/>
              </w:rPr>
            </w:pPr>
            <w:r>
              <w:rPr>
                <w:rFonts w:ascii="Times New Roman" w:hAnsi="Times New Roman"/>
                <w:color w:val="000000"/>
                <w:sz w:val="20"/>
              </w:rPr>
              <w:t xml:space="preserve">Title: </w:t>
            </w:r>
          </w:p>
        </w:tc>
      </w:tr>
    </w:tbl>
    <w:p>
      <w:pPr>
        <w:pStyle w:val="TextBody"/>
        <w:bidi w:val="0"/>
        <w:spacing w:before="0" w:after="240"/>
        <w:jc w:val="both"/>
        <w:rPr/>
      </w:pPr>
      <w:r>
        <w:rPr/>
        <w:t> </w:t>
      </w:r>
    </w:p>
    <w:p>
      <w:pPr>
        <w:pStyle w:val="TextBody"/>
        <w:bidi w:val="0"/>
        <w:spacing w:before="0" w:after="240"/>
        <w:jc w:val="both"/>
        <w:rPr/>
      </w:pPr>
      <w:r>
        <w:rPr/>
        <w:t> </w:t>
      </w:r>
    </w:p>
    <w:tbl>
      <w:tblPr>
        <w:tblW w:w="1710" w:type="dxa"/>
        <w:jc w:val="left"/>
        <w:tblInd w:w="0" w:type="dxa"/>
        <w:tblLayout w:type="fixed"/>
        <w:tblCellMar>
          <w:top w:w="28" w:type="dxa"/>
          <w:left w:w="28" w:type="dxa"/>
          <w:bottom w:w="28" w:type="dxa"/>
          <w:right w:w="28" w:type="dxa"/>
        </w:tblCellMar>
      </w:tblPr>
      <w:tblGrid>
        <w:gridCol w:w="544"/>
        <w:gridCol w:w="1166"/>
      </w:tblGrid>
      <w:tr>
        <w:trPr/>
        <w:tc>
          <w:tcPr>
            <w:tcW w:w="54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1710" w:type="dxa"/>
            <w:gridSpan w:val="2"/>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b/>
                <w:i/>
                <w:color w:val="000000"/>
                <w:sz w:val="20"/>
              </w:rPr>
              <w:t>[DEALER NAME</w:t>
            </w:r>
            <w:r>
              <w:rPr>
                <w:rFonts w:ascii="Times New Roman" w:hAnsi="Times New Roman"/>
                <w:b/>
                <w:color w:val="000000"/>
                <w:sz w:val="20"/>
              </w:rPr>
              <w:t>]</w:t>
            </w:r>
          </w:p>
          <w:p>
            <w:pPr>
              <w:pStyle w:val="TableContents"/>
              <w:bidi w:val="0"/>
              <w:spacing w:before="0" w:after="240"/>
              <w:jc w:val="both"/>
              <w:rPr/>
            </w:pPr>
            <w:r>
              <w:rPr/>
              <w:t> </w:t>
            </w:r>
          </w:p>
        </w:tc>
      </w:tr>
      <w:tr>
        <w:trPr/>
        <w:tc>
          <w:tcPr>
            <w:tcW w:w="544" w:type="dxa"/>
            <w:tcBorders/>
            <w:tcMar>
              <w:top w:w="0" w:type="dxa"/>
              <w:left w:w="0" w:type="dxa"/>
              <w:bottom w:w="0" w:type="dxa"/>
              <w:right w:w="0" w:type="dxa"/>
            </w:tcMar>
            <w:vAlign w:val="center"/>
          </w:tcPr>
          <w:p>
            <w:pPr>
              <w:pStyle w:val="TableContents"/>
              <w:bidi w:val="0"/>
              <w:spacing w:before="0" w:after="283"/>
              <w:ind w:left="0" w:right="0" w:firstLine="17"/>
              <w:jc w:val="left"/>
              <w:rPr>
                <w:rFonts w:ascii="Times New Roman" w:hAnsi="Times New Roman"/>
                <w:color w:val="000000"/>
                <w:sz w:val="20"/>
              </w:rPr>
            </w:pPr>
            <w:r>
              <w:rPr>
                <w:rFonts w:ascii="Times New Roman" w:hAnsi="Times New Roman"/>
                <w:color w:val="000000"/>
                <w:sz w:val="20"/>
              </w:rPr>
              <w:t>By:</w:t>
            </w:r>
          </w:p>
        </w:tc>
        <w:tc>
          <w:tcPr>
            <w:tcW w:w="1166" w:type="dxa"/>
            <w:tcBorders>
              <w:bottom w:val="single" w:sz="4" w:space="0" w:color="000000"/>
            </w:tcBorders>
            <w:tcMar>
              <w:top w:w="0" w:type="dxa"/>
              <w:left w:w="0" w:type="dxa"/>
              <w:right w:w="0" w:type="dxa"/>
            </w:tcMar>
            <w:vAlign w:val="center"/>
          </w:tcPr>
          <w:p>
            <w:pPr>
              <w:pStyle w:val="TableContents"/>
              <w:bidi w:val="0"/>
              <w:spacing w:before="0" w:after="283"/>
              <w:ind w:left="0" w:right="0" w:firstLine="748"/>
              <w:jc w:val="left"/>
              <w:rPr/>
            </w:pPr>
            <w:r>
              <w:rPr/>
              <w:t> </w:t>
            </w:r>
          </w:p>
        </w:tc>
      </w:tr>
      <w:tr>
        <w:trPr/>
        <w:tc>
          <w:tcPr>
            <w:tcW w:w="1710" w:type="dxa"/>
            <w:gridSpan w:val="2"/>
            <w:tcBorders/>
            <w:tcMar>
              <w:top w:w="0" w:type="dxa"/>
              <w:left w:w="0" w:type="dxa"/>
              <w:bottom w:w="0" w:type="dxa"/>
              <w:right w:w="0" w:type="dxa"/>
            </w:tcMar>
            <w:vAlign w:val="center"/>
          </w:tcPr>
          <w:p>
            <w:pPr>
              <w:pStyle w:val="TableContents"/>
              <w:bidi w:val="0"/>
              <w:spacing w:before="0" w:after="283"/>
              <w:ind w:left="0" w:right="0" w:firstLine="748"/>
              <w:jc w:val="left"/>
              <w:rPr>
                <w:rFonts w:ascii="Times New Roman" w:hAnsi="Times New Roman"/>
                <w:color w:val="000000"/>
                <w:sz w:val="20"/>
              </w:rPr>
            </w:pPr>
            <w:r>
              <w:rPr>
                <w:rFonts w:ascii="Times New Roman" w:hAnsi="Times New Roman"/>
                <w:color w:val="000000"/>
                <w:sz w:val="20"/>
              </w:rPr>
              <w:t xml:space="preserve">Name: </w:t>
            </w:r>
          </w:p>
        </w:tc>
      </w:tr>
      <w:tr>
        <w:trPr/>
        <w:tc>
          <w:tcPr>
            <w:tcW w:w="1710" w:type="dxa"/>
            <w:gridSpan w:val="2"/>
            <w:tcBorders/>
            <w:tcMar>
              <w:top w:w="0" w:type="dxa"/>
              <w:left w:w="0" w:type="dxa"/>
              <w:bottom w:w="0" w:type="dxa"/>
              <w:right w:w="0" w:type="dxa"/>
            </w:tcMar>
            <w:vAlign w:val="center"/>
          </w:tcPr>
          <w:p>
            <w:pPr>
              <w:pStyle w:val="TableContents"/>
              <w:bidi w:val="0"/>
              <w:spacing w:before="0" w:after="283"/>
              <w:ind w:left="0" w:right="0" w:firstLine="748"/>
              <w:jc w:val="left"/>
              <w:rPr>
                <w:rFonts w:ascii="Times New Roman" w:hAnsi="Times New Roman"/>
                <w:color w:val="000000"/>
                <w:sz w:val="20"/>
              </w:rPr>
            </w:pPr>
            <w:r>
              <w:rPr>
                <w:rFonts w:ascii="Times New Roman" w:hAnsi="Times New Roman"/>
                <w:color w:val="000000"/>
                <w:sz w:val="20"/>
              </w:rPr>
              <w:t xml:space="preserve">Title: </w:t>
            </w:r>
          </w:p>
        </w:tc>
      </w:tr>
    </w:tbl>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Confirmed as of the date first above written: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EASTERLY GOVERNMENT PROPERTIES, INC.</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br/>
      </w:r>
      <w:r>
        <w:rPr>
          <w:rFonts w:ascii="Times New Roman" w:hAnsi="Times New Roman"/>
          <w:color w:val="000000"/>
          <w:sz w:val="20"/>
        </w:rPr>
        <w:t>Name:</w:t>
        <w:br/>
        <w:t>Title:</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Contingent Forward Master Confirmation</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APPENDIX 1</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ADDITIONAL PROVISIONS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i/>
          <w:color w:val="000000"/>
          <w:sz w:val="20"/>
          <w:u w:val="single"/>
        </w:rPr>
        <w:t>Interpretive Letter</w:t>
      </w:r>
      <w:r>
        <w:rPr>
          <w:rFonts w:ascii="Times New Roman" w:hAnsi="Times New Roman"/>
          <w:color w:val="000000"/>
          <w:sz w:val="20"/>
        </w:rPr>
        <w:t>. The parties intend that this Master Confirmation and each Supplemental Confirmation hereunder constitute a “contract” as described in the letter dated October 6, 2003 submitted by Robert Reeder and Leslie Silverman to Paula Dubberly of the staff of the Securities and Exchange Commission (the “</w:t>
      </w:r>
      <w:r>
        <w:rPr>
          <w:rFonts w:ascii="Times New Roman" w:hAnsi="Times New Roman"/>
          <w:b/>
          <w:color w:val="000000"/>
          <w:sz w:val="20"/>
        </w:rPr>
        <w:t>Staff</w:t>
      </w:r>
      <w:r>
        <w:rPr>
          <w:color w:val="000000"/>
        </w:rPr>
        <w:t>”</w:t>
      </w:r>
      <w:r>
        <w:rPr>
          <w:rFonts w:ascii="Times New Roman" w:hAnsi="Times New Roman"/>
          <w:color w:val="000000"/>
          <w:sz w:val="20"/>
        </w:rPr>
        <w:t>) to which the Staff responded in an interpretive letter dated October 9, 2003 (the “</w:t>
      </w:r>
      <w:r>
        <w:rPr>
          <w:rFonts w:ascii="Times New Roman" w:hAnsi="Times New Roman"/>
          <w:b/>
          <w:color w:val="000000"/>
          <w:sz w:val="20"/>
        </w:rPr>
        <w:t>Interpretive Letter</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i/>
          <w:color w:val="000000"/>
          <w:sz w:val="20"/>
          <w:u w:val="single"/>
        </w:rPr>
        <w:t>Regulation M</w:t>
      </w:r>
      <w:r>
        <w:rPr>
          <w:rFonts w:ascii="Times New Roman" w:hAnsi="Times New Roman"/>
          <w:color w:val="000000"/>
          <w:sz w:val="20"/>
        </w:rPr>
        <w:t>. Party B agrees that neither it nor any “affiliated purchaser” (as defined in Regulation M) will, directly or indirectly, bid for, purchase or attempt to induce any person to bid for or purchase, the Shares or securities that are convertible into, or exchangeable or exercisable for, Shares during any “restricted period” as such term is defined in Regulation M arising from transactions contemplated by the Distribution Agreement and that neither it nor any affiliated purchaser will engage in any “distribution” (as defined in Regulation M) that would cause a “restricted period” (as defined in Regulation M) to occur on any Contingency Exercise Date or during any Unwind Period. In addition, Party B represents that it is eligible to conduct a primary offering of Shares on Form S-3, the offering contemplated by the Distribution Agreement complies with Rule 415 under the Securities Act, and the Shares are “actively traded” as defined in Rule 101(c)(1) of Regulation 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i/>
          <w:color w:val="000000"/>
          <w:sz w:val="20"/>
          <w:u w:val="single"/>
        </w:rPr>
        <w:t>Agreements and Acknowledgments regarding Shares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the representations in Section 9.11 of the Equity Definitions, Party B agrees and acknowledges that, in respect of any Shares delivered to Party A hereunder, such Shares shall be newly issued (unless mutually agreed otherwise by the parties) and, upon such delivery, be duly and validly authorized, issued and outstanding, fully paid and nonassessable, free of any lien, charge, claim or other encumbrance and not subject to any preemptive or similar rights and shall, upon such issuance, be accepted for listing or quotation on the Exchange, and that such Shares will not bear a restrictive legend and that such Shares will be deposited in, and the delivery thereof shall be effected through the facilities of, the Clearance System.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bids and purchases of Shares in connection with any Cash Settlement or Net Share Settlement of any Transaction, Party A shall use its good faith efforts to conduct its activities, or cause its affiliates to conduct their activities, in a manner consistent with the requirements of the safe harbor provided by Rule 10b-18, as if such provisions were applicable to such purchases and any analogous purchases under any Transaction, taking into account any applicable Securities and Exchange Commission no action letters, as appropriate, and subject to any delays between the execution and reporting of a trade of the Shares on the Exchange and other circumstances beyond Party A’s control.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Party B shall, at least one day prior to the first day of any Unwind Period, notify Party A of the total number of Shares purchased in Rule 10b-18 purchases of blocks pursuant to the once-a-week block exception contained in Rule 10b-18(b)(4) by or for Party B or any of its affiliated purchasers during each of the four calendar weeks preceding the first day of the Unwind Period and during the calendar week in which the first day of the Unwind Period occurs (“Rule 10b-18 purchase”, “blocks” and “affiliated purchaser” each being used as defined in Rule 10b-18).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During any Unwind Period, Party B shall (a) notify Party A prior to the opening of trading in the Shares on any day on which Party B makes, or expects to be made, any public announcement (as defined in Rule 165(f) under the Securities Act) of any merger, acquisition or similar transaction involving a recapitalization relating to Party B (other than any such transaction in which the consideration consists solely of cash and there is no valuation period), (b) promptly notify Party A following any such announcement that such announcement has been made and (c) promptly (but in any event prior to the next opening of the regular trading session of the Exchange) deliver to Party A following the making of any such announcement information indicating (A) Party B’s average daily Rule 10b-18 purchases (as defined in Rule 10b-18) during the three full calendar months preceding the date of the announcement of such transaction and (B) Party B’s block purchases (as defined in Rule 10b-18) effected pursuant to paragraph (b)(4) of Rule 10b-18 during the three full calendar months preceding the date of the announcement of such transaction. Such written notice </w:t>
      </w:r>
    </w:p>
    <w:p>
      <w:pPr>
        <w:pStyle w:val="TextBody"/>
        <w:bidi w:val="0"/>
        <w:jc w:val="left"/>
        <w:rPr>
          <w:rFonts w:ascii="sans-serif" w:hAnsi="sans-serif"/>
          <w:caps/>
          <w:color w:val="000000"/>
          <w:sz w:val="16"/>
        </w:rPr>
      </w:pPr>
      <w:r>
        <w:rPr>
          <w:rFonts w:ascii="sans-serif" w:hAnsi="sans-serif"/>
          <w:caps/>
          <w:color w:val="000000"/>
          <w:sz w:val="16"/>
        </w:rPr>
        <w:t>DOCPROPERTY DOCXDOCID DMS=IManage Format=&lt;&lt;LIB&gt;&gt;/&lt;&lt;NUM&gt;&gt;.&lt;&lt;VER&gt;&gt; \* MERGEFORMAT ACTIVE/208802237.6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shall be deemed to be a certification by Party B to Party A that such information is true and correct. In addition, Party B shall promptly notify Party A of the earlier to occur of the completion of such transaction and the completion of the vote by target shareholders. Party B acknowledges that under the terms of this Master Confirmation, any such notice may result in a Regulatory Disruption or may affect the length of any ongoing Unwind Period; accordingly, Party B acknowledges that its delivery of such notice shall comply with the standards set forth in Section 6(c) above. “Merger Transaction” means any merger, acquisition or similar transaction involving a recapitalization with respect to Party B and/or the Shares as contemplated by Rule 10b-18(a)(13)(iv) under the Exchange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Party B shall not, nor shall it cause any of its affiliated purchasers (within the meaning of Rule 10b-18 under the Exchange Act) to, take or refrain from taking any action (including, without limitation, any direct purchases by Party B or any of its affiliates, or any purchases by a party to a derivative transaction with Party B or any of its affiliates), either under this Master Confirmation, any Supplemental Confirmation, under an agreement with another party or otherwise, that might cause any purchases of Shares by Party A or any of its affiliated purchasers in connection with any Cash Settlement or Net Share Settlement of any Component of any Transaction not to meet the requirements of the safe harbor provided by Rule 10b-18 determined as if all such foregoing purchases were made by Party 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i/>
          <w:color w:val="000000"/>
          <w:sz w:val="20"/>
          <w:u w:val="single"/>
        </w:rPr>
        <w:t>Calculations and Payment Date upon Early Termination</w:t>
      </w:r>
      <w:r>
        <w:rPr>
          <w:rFonts w:ascii="Times New Roman" w:hAnsi="Times New Roman"/>
          <w:color w:val="000000"/>
          <w:sz w:val="20"/>
        </w:rPr>
        <w:t>. The parties acknowledge and agree that in calculating (i) the Close-Out Amount pursuant to Section 6 of the Agreement and (ii) the amount due upon cancellation or termination of any Transaction (whether in whole or in part) pursuant to Article 12 of the Equity Definitions as a result of an Extraordinary Event, Party A may (but need not) determine such amount based on (A) expected losses assuming a commercially reasonable (including, without limitation, with regard to reasonable legal and regulatory guidelines) risk bid were used to determine loss or (B) the price at which one or more market participants would offer to sell to or buy from, as applicable, Party A a block of Shares equal in number to Party A’s hedge position in relation to any Transaction.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i/>
          <w:color w:val="000000"/>
          <w:sz w:val="20"/>
          <w:u w:val="single"/>
        </w:rPr>
        <w:t>Designation</w:t>
      </w:r>
      <w:r>
        <w:rPr>
          <w:rFonts w:ascii="Times New Roman" w:hAnsi="Times New Roman"/>
          <w:color w:val="000000"/>
          <w:sz w:val="20"/>
        </w:rPr>
        <w:t>. Notwithstanding any provision of the Agreement to the contrary, Party A shall be entitled to assign its rights and obligations hereunder and under any Credit Support Documents to make or receive cash payments or deliveries and other related rights to any affiliate of Party A or any successor thereto (each, a “</w:t>
      </w:r>
      <w:r>
        <w:rPr>
          <w:rFonts w:ascii="Times New Roman" w:hAnsi="Times New Roman"/>
          <w:b/>
          <w:color w:val="000000"/>
          <w:sz w:val="20"/>
        </w:rPr>
        <w:t>Party A Affiliate</w:t>
      </w:r>
      <w:r>
        <w:rPr>
          <w:color w:val="000000"/>
        </w:rPr>
        <w:t>”</w:t>
      </w:r>
      <w:r>
        <w:rPr>
          <w:rFonts w:ascii="Times New Roman" w:hAnsi="Times New Roman"/>
          <w:color w:val="000000"/>
          <w:sz w:val="20"/>
        </w:rPr>
        <w:t xml:space="preserve">); </w:t>
      </w:r>
      <w:r>
        <w:rPr>
          <w:rFonts w:ascii="Times New Roman" w:hAnsi="Times New Roman"/>
          <w:i/>
          <w:color w:val="000000"/>
          <w:sz w:val="20"/>
        </w:rPr>
        <w:t xml:space="preserve">provided </w:t>
      </w:r>
      <w:r>
        <w:rPr>
          <w:rFonts w:ascii="Times New Roman" w:hAnsi="Times New Roman"/>
          <w:color w:val="000000"/>
          <w:sz w:val="20"/>
        </w:rPr>
        <w:t>that Party B shall have recourse to Party A in the event of the failure by a Party A Affiliate to perform any of such obligations hereunder. Notwithstanding the foregoing, recourse to Party A shall be limited to recoupment of Party B’s monetary damages and Party B hereby waives any right to seek specific performance by Party A of its obligations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i/>
          <w:color w:val="000000"/>
          <w:sz w:val="20"/>
          <w:u w:val="single"/>
        </w:rPr>
        <w:t>Transfer or Assignment</w:t>
      </w:r>
      <w:r>
        <w:rPr>
          <w:rFonts w:ascii="Times New Roman" w:hAnsi="Times New Roman"/>
          <w:color w:val="000000"/>
          <w:sz w:val="20"/>
        </w:rPr>
        <w:t>. Party B may not transfer any of its rights or obligations under the Transaction without the prior written consent of Party A. Notwithstanding any provision of the Agreement to the contrary, Party A shall be entitled to transfer or assign its rights and obligations hereunder and under any Credit Support Document to any Party A Affiliate (a “</w:t>
      </w:r>
      <w:r>
        <w:rPr>
          <w:rFonts w:ascii="Times New Roman" w:hAnsi="Times New Roman"/>
          <w:b/>
          <w:color w:val="000000"/>
          <w:sz w:val="20"/>
        </w:rPr>
        <w:t>Designated Transferee</w:t>
      </w:r>
      <w:r>
        <w:rPr>
          <w:color w:val="000000"/>
        </w:rPr>
        <w:t>”</w:t>
      </w:r>
      <w:r>
        <w:rPr>
          <w:rFonts w:ascii="Times New Roman" w:hAnsi="Times New Roman"/>
          <w:color w:val="000000"/>
          <w:sz w:val="20"/>
        </w:rPr>
        <w:t xml:space="preserve">); </w:t>
      </w:r>
      <w:r>
        <w:rPr>
          <w:rFonts w:ascii="Times New Roman" w:hAnsi="Times New Roman"/>
          <w:i/>
          <w:color w:val="000000"/>
          <w:sz w:val="20"/>
        </w:rPr>
        <w:t xml:space="preserve">provided </w:t>
      </w:r>
      <w:r>
        <w:rPr>
          <w:rFonts w:ascii="Times New Roman" w:hAnsi="Times New Roman"/>
          <w:color w:val="000000"/>
          <w:sz w:val="20"/>
        </w:rPr>
        <w:t>that (1) the credit rating of the Designated Transferee or its guarantor (whichever is higher) is not lower than the rating of Party A (or any Party A guarantor) at the time of such transfer or assignment; (2) no Event of Default or Termination Event will occur as a result of such transfer or assignment; (3) as a result of any such transfer or assignment, Party B will not (A) be required to pay the transferee or assignee of such rights or obligations on any payment date an amount under Section 2(d)(i)(4) of the Agreement greater than the amount, if any, that Party B would have been required to pay Party A in the absence of such transfer or assignment, or (B) receive from the transferee or assignee on any payment date an amount under Section 2(d)(i)(4) of the Agreement that is less than the amount that Party B would have received from Party A in the absence of such transfer or assignment; and (4) the transferee or assignee shall provide Party B with a complete and accurate U.S. Internal Revenue Service Form W-9 or W-8 (as applicable) prior to becoming a party to the Transaction. If at any time at which (A) the Section 16 Percentage exceeds 4.5%, (B) the Transaction Equity Percentage exceeds 8.0%, or (C) the Share Amount exceeds the Post-Effective Limit (if any applies) (any such condition described in clauses (A), (B) or (C), an “</w:t>
      </w:r>
      <w:r>
        <w:rPr>
          <w:rFonts w:ascii="Times New Roman" w:hAnsi="Times New Roman"/>
          <w:b/>
          <w:color w:val="000000"/>
          <w:sz w:val="20"/>
        </w:rPr>
        <w:t>Excess Ownership Position</w:t>
      </w:r>
      <w:r>
        <w:rPr>
          <w:color w:val="000000"/>
        </w:rPr>
        <w:t>”</w:t>
      </w:r>
      <w:r>
        <w:rPr>
          <w:rFonts w:ascii="Times New Roman" w:hAnsi="Times New Roman"/>
          <w:color w:val="000000"/>
          <w:sz w:val="20"/>
        </w:rPr>
        <w:t>), Party A is unable after using its commercially reasonable efforts to effect a transfer or assignment of any Transaction to a third party on pricing terms reasonably acceptable to Party A and within a time period reasonably acceptable to Party A such that no Excess Ownership Position exists, then Party A may designate any Exchange Business Day as an Early Termination Date with respect to a portion of the Remaining Contingency Portion of any Transaction (the “</w:t>
      </w:r>
      <w:r>
        <w:rPr>
          <w:rFonts w:ascii="Times New Roman" w:hAnsi="Times New Roman"/>
          <w:b/>
          <w:color w:val="000000"/>
          <w:sz w:val="20"/>
        </w:rPr>
        <w:t>Terminated Portion</w:t>
      </w:r>
      <w:r>
        <w:rPr>
          <w:color w:val="000000"/>
        </w:rPr>
        <w:t>”</w:t>
      </w:r>
      <w:r>
        <w:rPr>
          <w:rFonts w:ascii="Times New Roman" w:hAnsi="Times New Roman"/>
          <w:color w:val="000000"/>
          <w:sz w:val="20"/>
        </w:rPr>
        <w:t xml:space="preserve">), such that following such partial termination no Excess Ownership Position exists. In the event that Party A so designates an Early Termination Date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with respect to a Terminated Portion, a payment shall be made pursuant to Section 6 of the Agreement as if (1) an Early Termination Date had been designated in respect of the Remaining Contingency Portion of a Transaction having terms identical to the Remaining Contingency Portion of the relevant Transaction and the Maximum Number of Shares for each Component equal to the Maximum Number of Shares for each Component underlying the Terminated Portion, (2) Party B were the sole Affected Party with respect to such partial termination and (3) the Terminated Portion were the sole Affected Transaction (and, for the avoidance of doubt, the provisions of Paragraph (k) below shall apply to any amount that is payable by Party B to Party A pursuant to this sentence as if Party B was not the Affected Party). The “</w:t>
      </w:r>
      <w:r>
        <w:rPr>
          <w:rFonts w:ascii="Times New Roman" w:hAnsi="Times New Roman"/>
          <w:b/>
          <w:color w:val="000000"/>
          <w:sz w:val="20"/>
        </w:rPr>
        <w:t>Section 16 Percentage</w:t>
      </w:r>
      <w:r>
        <w:rPr>
          <w:color w:val="000000"/>
        </w:rPr>
        <w:t xml:space="preserve">” </w:t>
      </w:r>
      <w:r>
        <w:rPr>
          <w:rFonts w:ascii="Times New Roman" w:hAnsi="Times New Roman"/>
          <w:color w:val="000000"/>
          <w:sz w:val="20"/>
        </w:rPr>
        <w:t>as of any day is the fraction, expressed as a percentage, (A) the numerator of which is the number of Shares that Party A and any of its affiliates or any other person subject to aggregation with Party A for purposes of the “beneficial ownership” test under Section 13 of the Exchange Act, or any “group” (within the meaning of Section 13 of the Exchange Act) of which Party A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Times New Roman" w:hAnsi="Times New Roman"/>
          <w:b/>
          <w:color w:val="000000"/>
          <w:sz w:val="20"/>
        </w:rPr>
        <w:t>Transaction Equity Percentage</w:t>
      </w:r>
      <w:r>
        <w:rPr>
          <w:color w:val="000000"/>
        </w:rPr>
        <w:t xml:space="preserve">” </w:t>
      </w:r>
      <w:r>
        <w:rPr>
          <w:rFonts w:ascii="Times New Roman" w:hAnsi="Times New Roman"/>
          <w:color w:val="000000"/>
          <w:sz w:val="20"/>
        </w:rPr>
        <w:t>as of any day is the fraction, expressed as a percentage, (A) the numerator of which is the sum of (1) the aggregate of the Maximum Transaction Number of Shares for all Transactions outstanding under this Master Confirmation as of such day and (2) the aggregate number of Shares underlying any other issuer forward transactions or warrant transactions between Party A and Party B, and (B) the denominator of which is the number of Shares outstanding.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i/>
          <w:color w:val="000000"/>
          <w:sz w:val="20"/>
          <w:u w:val="single"/>
        </w:rPr>
        <w:t>Consent to Recording</w:t>
      </w:r>
      <w:r>
        <w:rPr>
          <w:rFonts w:ascii="Times New Roman" w:hAnsi="Times New Roman"/>
          <w:color w:val="000000"/>
          <w:sz w:val="20"/>
        </w:rPr>
        <w:t>. Each party (i) consents to the recording of the telephone conversations of trading and marketing personnel of the parties and their affiliates in connection with the Agreement, this Master Confirmation and each Supplemental Confirmation, and (ii) agrees to obtain any necessary consent of, and give notice of such recording to, such personnel of such party and such party’s affiliates.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i/>
          <w:color w:val="000000"/>
          <w:sz w:val="20"/>
          <w:u w:val="single"/>
        </w:rPr>
        <w:t>Severability; Illegality</w:t>
      </w:r>
      <w:r>
        <w:rPr>
          <w:rFonts w:ascii="Times New Roman" w:hAnsi="Times New Roman"/>
          <w:color w:val="000000"/>
          <w:sz w:val="20"/>
        </w:rPr>
        <w:t>. If compliance by either party with any provision of a Transaction would be unenforceable or illegal, (i) the parties shall negotiate in good faith to resolve such unenforceability or illegality in a manner that preserves the economic benefits of the transactions contemplated hereby and (ii) the other provisions of such Transaction shall not be invalidated, but shall remain in full force and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i/>
          <w:color w:val="000000"/>
          <w:sz w:val="20"/>
          <w:u w:val="single"/>
        </w:rPr>
        <w:t>Waiver of Trial by Jury</w:t>
      </w:r>
      <w:r>
        <w:rPr>
          <w:rFonts w:ascii="Times New Roman" w:hAnsi="Times New Roman"/>
          <w:color w:val="000000"/>
          <w:sz w:val="20"/>
        </w:rPr>
        <w:t>. EACH OF PARTY B A</w:t>
      </w:r>
      <w:r>
        <w:rPr>
          <w:rFonts w:ascii="Times New Roman" w:hAnsi="Times New Roman"/>
          <w:caps/>
          <w:color w:val="000000"/>
          <w:sz w:val="20"/>
        </w:rPr>
        <w:t xml:space="preserve">ND Party A HEREBY IRREVOCABLY WAIVES (ON SUCH PARTY’S OWN BEHALF AND, TO THE EXTENT PERMITTED BY APPLICABLE LAW, ON BEHALF OF SUCH PARTY’S STOCKHOLDERS OR OTHER EQUITY HOLDERS) ALL RIGHT TO TRIAL BY JURY IN ANY ACTION, PROCEEDING OR COUNTERCLAIM (WHETHER BASED ON CONTRACT, TORT OR OTHERWISE) ARISING OUT OF OR RELATING TO THE AGREEMENT, THIS MASTER CONFIRMATION, ANY SUPPLEMENTAL CONFIRMATION OR THE TRANSACTIONS CONTEMPLATED HEREBY OR THEREBY OR THE ACTIONS OF Party A </w:t>
      </w:r>
      <w:r>
        <w:rPr>
          <w:rFonts w:ascii="Times New Roman" w:hAnsi="Times New Roman"/>
          <w:color w:val="000000"/>
          <w:sz w:val="20"/>
        </w:rPr>
        <w:t>OR ITS AFFILIATES IN THE NEGOTIATION, PERFORMANCE OR ENFORCEMENT HEREOF OR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pPr>
      <w:r>
        <w:rPr>
          <w:rFonts w:ascii="Times New Roman" w:hAnsi="Times New Roman"/>
          <w:i/>
          <w:color w:val="000000"/>
          <w:sz w:val="20"/>
          <w:u w:val="single"/>
        </w:rPr>
        <w:t>Governing Law</w:t>
      </w:r>
      <w:r>
        <w:rPr>
          <w:rFonts w:ascii="Times New Roman" w:hAnsi="Times New Roman"/>
          <w:color w:val="000000"/>
          <w:sz w:val="20"/>
        </w:rPr>
        <w:t>. THIS MASTER CONFIRMATION, EACH SUPPLEMENTAL CONFIRMATION AND THE AGREEMENT WILL BE GOVERNED BY AND CONSTRUED IN ACCORDANCE WITH THE LAWS OF THE STATE OF NEW YORK, WITHOUT REFERENCE TO CHOICE OF LAW DOCTRINE. THE PARTIES HERETO IRREVOCABLY SUBMIT TO THE EXCLUSIVE JURISDICTION OF THE COURTS OF THE STATE OF NEW YORK AND THE UNITED STATES COURT FOR THE SOUTHERN DISTRICT OF NEW YORK IN CONNECTION WITH ALL MATTERS RELATING HERETO AND THERETO OR THE TRANSACTIONS CONTEMPLATED HEREBY OR THEREBY AND WAIVE ANY OBJECTION TO THE LAYING OF VENUE IN, AND ANY CLAIM OF INCONVENIENT FORUM WITH RESPECT TO, THESE COURTS. NOTHING IN THIS PROVISION SHALL PROHIBIT EITHER PARTY FROM BRINGING AN ACTION TO ENFORCE A MONEY JUDGMENT IN ANY OTHER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pPr>
      <w:r>
        <w:rPr>
          <w:rFonts w:ascii="Times New Roman" w:hAnsi="Times New Roman"/>
          <w:i/>
          <w:color w:val="000000"/>
          <w:sz w:val="20"/>
          <w:u w:val="single"/>
        </w:rPr>
        <w:t>Alternative Calculations and Payment on Early Termination and on Certain Extraordinary Events</w:t>
      </w:r>
      <w:r>
        <w:rPr>
          <w:rFonts w:ascii="Times New Roman" w:hAnsi="Times New Roman"/>
          <w:color w:val="000000"/>
          <w:sz w:val="20"/>
        </w:rPr>
        <w:t xml:space="preserve">. To the extent the “Termination Settlement” provisions of Section 8(f) above do not apply, if (a) an Early Termination Date (whether as a result of an Event of Default or a Termination Event) occurs or is designated with respect to any Transaction or (b) any Transaction is cancelled or terminated upon the occurrence of an Extraordinary Event (except as a result of (i) a Nationalization, Insolvency or Merger Event in which the consideration to be paid to all holders of Shares consists solely of cash, (ii) a Merger Event or Tender Offer that is within Party B’s control, or (iii) an Event of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Default in which Party B is the Defaulting Party or a Termination Event in which Party B is the Affected Party other than an Event of Default of the type described in Section 5(a)(iii), (v), (vi), (vii) or (viii) of the Agreement or a Termination Event of the type described in Section 5(b) of the Agreement, in each case that resulted from an event or events outside Party B’s control), and if Party B would owe any amount to Party A pursuant to Section 6(d)(ii) of the Agreement or any Cancellation Amount pursuant to Article 12 of the Equity Definitions (any such amount, a “</w:t>
      </w:r>
      <w:r>
        <w:rPr>
          <w:rFonts w:ascii="Times New Roman" w:hAnsi="Times New Roman"/>
          <w:b/>
          <w:color w:val="000000"/>
          <w:sz w:val="20"/>
        </w:rPr>
        <w:t>Payment Obligation</w:t>
      </w:r>
      <w:r>
        <w:rPr>
          <w:color w:val="000000"/>
        </w:rPr>
        <w:t>”</w:t>
      </w:r>
      <w:r>
        <w:rPr>
          <w:rFonts w:ascii="Times New Roman" w:hAnsi="Times New Roman"/>
          <w:color w:val="000000"/>
          <w:sz w:val="20"/>
        </w:rPr>
        <w:t>), then Party B shall satisfy the Payment Obligation by the Share Termination Alternative (as defined below), unless (a) Party B gives irrevocable telephonic notice to Party A, confirmed in writing within one (1)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Party B remakes the representations set forth in Section 7 of this Master Confirmation as of the date of such election and (c) Party A agrees to such election, in which case the provisions of Section 12.7 or Section 12.9 of the Equity Definitions, or the provisions of Section 6(d)(ii) of the Agreement, as the case may be, shall apply.</w:t>
      </w:r>
    </w:p>
    <w:p>
      <w:pPr>
        <w:pStyle w:val="TextBody"/>
        <w:bidi w:val="0"/>
        <w:spacing w:before="0" w:after="200"/>
        <w:jc w:val="both"/>
        <w:rPr>
          <w:rFonts w:ascii="Times New Roman" w:hAnsi="Times New Roman"/>
          <w:sz w:val="20"/>
        </w:rPr>
      </w:pPr>
      <w:r>
        <w:rPr>
          <w:rFonts w:ascii="Times New Roman" w:hAnsi="Times New Roman"/>
          <w:color w:val="000000"/>
          <w:sz w:val="20"/>
        </w:rPr>
        <w:t>Share Termination Alternative: If applicable, Party B shall deliver to Party A the Share Termination Delivery Property on the date (the “</w:t>
      </w:r>
      <w:r>
        <w:rPr>
          <w:rFonts w:ascii="Times New Roman" w:hAnsi="Times New Roman"/>
          <w:b/>
          <w:color w:val="000000"/>
          <w:sz w:val="20"/>
        </w:rPr>
        <w:t>Share Termination Payment Date</w:t>
      </w:r>
      <w:r>
        <w:rPr>
          <w:rFonts w:ascii="Times New Roman" w:hAnsi="Times New Roman"/>
          <w:color w:val="000000"/>
          <w:sz w:val="20"/>
        </w:rPr>
        <w:t>”) on which the Payment Obligation would otherwise be due pursuant to Section 12.7 or Section 12.9 of the Equity Definitions or Section 6(d)(ii) of the Agreement, as applicable, subject to Paragraph (l)(i) below, in satisfaction, subject to Paragraph (l)(ii) below, of the relevant Payment Obligation, in the manner reasonably requested by Party A free of payment.</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Share Termination Delivery Property: A number of Share Termination Delivery Units, as calculated by the Calculation Agent, equal to the relevant Payment Obligation </w:t>
      </w:r>
      <w:r>
        <w:rPr>
          <w:rFonts w:ascii="Times New Roman" w:hAnsi="Times New Roman"/>
          <w:i/>
          <w:color w:val="000000"/>
          <w:sz w:val="20"/>
        </w:rPr>
        <w:t>divided by</w:t>
      </w:r>
      <w:r>
        <w:rPr>
          <w:rFonts w:ascii="Times New Roman" w:hAnsi="Times New Roman"/>
          <w:color w:val="000000"/>
          <w:sz w:val="20"/>
        </w:rPr>
        <w:t xml:space="preserve"> the Share Termination Unit Price. The Calculation Agent shall adjust the amount of Share Termination Delivery Property by replacing any fractional portion of a security therein with an amount of cash equal to the value of such fractional security based on the values used to calculate the Share Termination Unit Price (without giving effect to any discount pursuant to Paragraph (l)(i) below).</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Share Termination Unit Price: The value to Party A of property contained in one Share Termination Delivery Unit on the date such Share Termination Delivery Units are to be delivered as Share Termination Delivery Property, as determined by the Calculation Agent in its discretion by commercially reasonable means. In the case of a Private Placement of Share Termination Delivery Units that are Restricted Shares (as defined below), as set forth in Paragraph (l)(i) below, the Share Termination Unit Price shall be determined by the discounted price applicable to such Share Termination Delivery Units. In the case of a Registration Settlement of Share Termination Delivery Units that are Restricted Shares (as defined below) as set forth in Paragraph (l)(ii) below, notwithstanding the foregoing, the Share Termination Unit Price shall be the Reference Price on the Merger Date, Tender Offer Date, Announcement Date (in the case of a Nationalization, Insolvency or Delisting), Early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Termination Date or date of cancellation, as applicable. The Calculation Agent shall notify Party B of the Share Termination Unit Price at the time of notification of such Payment Obligation to Party B or, if applicable, at the time the discounted price applicable to the relevant Share Termination Units is determined pursuant to Paragraph (l)(i).</w:t>
      </w:r>
    </w:p>
    <w:p>
      <w:pPr>
        <w:pStyle w:val="TextBody"/>
        <w:bidi w:val="0"/>
        <w:spacing w:before="0" w:after="200"/>
        <w:jc w:val="both"/>
        <w:rPr>
          <w:rFonts w:ascii="Times New Roman" w:hAnsi="Times New Roman"/>
          <w:sz w:val="20"/>
        </w:rPr>
      </w:pPr>
      <w:r>
        <w:rPr>
          <w:rFonts w:ascii="Times New Roman" w:hAnsi="Times New Roman"/>
          <w:color w:val="000000"/>
          <w:sz w:val="20"/>
        </w:rPr>
        <w:t>Share Termination Delivery Unit: One Share or, if the Shares have changed into cash or any other property or the right to receive cash or any other property as the result of a Nationalization, Insolvency or Merger Event (any such cash or other property, the “</w:t>
      </w:r>
      <w:r>
        <w:rPr>
          <w:rFonts w:ascii="Times New Roman" w:hAnsi="Times New Roman"/>
          <w:b/>
          <w:color w:val="000000"/>
          <w:sz w:val="20"/>
        </w:rPr>
        <w:t>Exchange Property</w:t>
      </w:r>
      <w:r>
        <w:rPr>
          <w:rFonts w:ascii="Times New Roman" w:hAnsi="Times New Roman"/>
          <w:color w:val="000000"/>
          <w:sz w:val="20"/>
        </w:rPr>
        <w:t>”), a unit consisting of the type and amount of Exchange Property received by a holder of one Share (without consideration of any requirement to pay cash or other consideration in lieu of fractional amounts of any securities) in such Nationalization, Insolvency or Merger Event. If such Nationalization, Insolvency or Merger Event involves a choice of Exchange Property to be received by holders, such holder shall be deemed to have elected to receive the maximum possible amount of cash.</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Failure to Deliver: Inapplicable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Other applicable provisions: If Share Termination Alternative is applicable, the provisions of Sections 9.8, 9.9, 9.11 and 9.12 (as modified above) of the Equity Definitions will be applicable, except that all references in such provisions to “Physically-settled” shall be read as references to “Share Termination Settled” and all references to “Shares” shall be read as references to “Share Termination Delivery Units”. “Share Termination Settled” in relation to a Transaction means that the Share Termination Alternative is applicable to such Transaction.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pPr>
      <w:r>
        <w:rPr>
          <w:rFonts w:ascii="Times New Roman" w:hAnsi="Times New Roman"/>
          <w:i/>
          <w:color w:val="000000"/>
          <w:sz w:val="20"/>
          <w:u w:val="single"/>
        </w:rPr>
        <w:t>Registration/Private Placement Procedures</w:t>
      </w:r>
      <w:r>
        <w:rPr>
          <w:rFonts w:ascii="Times New Roman" w:hAnsi="Times New Roman"/>
          <w:color w:val="000000"/>
          <w:sz w:val="20"/>
        </w:rPr>
        <w:t>. If, in the reasonable opinion of Party A, following any delivery of Shares or Share Termination Delivery Property to Party A hereunder, such Shares or Share Termination Delivery Property would be in the hands of Party A subject to any applicable restrictions with respect to any registration or qualification requirement or prospectus delivery requirement for such Shares or Share Termination Delivery Property pursuant to any applicable federal or state securities law (including, without limitation, any such requirement arising under Section 5 of the Securities Act as a result of such Shares or Share Termination Delivery Property being “restricted securities”, as such term is defined in Rule 144 under the Securities Act, or as a result of the sale of such Shares or Share Termination Delivery Property being subject to paragraph (c) of Rule 145 under the Securities Act) (such Shares or Share Termination Delivery Property, “</w:t>
      </w:r>
      <w:r>
        <w:rPr>
          <w:rFonts w:ascii="Times New Roman" w:hAnsi="Times New Roman"/>
          <w:b/>
          <w:color w:val="000000"/>
          <w:sz w:val="20"/>
        </w:rPr>
        <w:t>Restricted Shares</w:t>
      </w:r>
      <w:r>
        <w:rPr>
          <w:color w:val="000000"/>
        </w:rPr>
        <w:t>”</w:t>
      </w:r>
      <w:r>
        <w:rPr>
          <w:rFonts w:ascii="Times New Roman" w:hAnsi="Times New Roman"/>
          <w:color w:val="000000"/>
          <w:sz w:val="20"/>
        </w:rPr>
        <w:t>), then delivery of such Restricted Shares shall be effected pursuant to either clause (i) or (ii) below at the election of Party B, unless Party A waives the need for registration/private placement procedures set forth in (i) and (ii) below.</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pPr>
      <w:r>
        <w:rPr>
          <w:rFonts w:ascii="Times New Roman" w:hAnsi="Times New Roman"/>
          <w:color w:val="000000"/>
          <w:sz w:val="20"/>
        </w:rPr>
        <w:t>If Party B elects to settle a Transaction pursuant to this clause (i) (a “</w:t>
      </w:r>
      <w:r>
        <w:rPr>
          <w:rFonts w:ascii="Times New Roman" w:hAnsi="Times New Roman"/>
          <w:b/>
          <w:color w:val="000000"/>
          <w:sz w:val="20"/>
        </w:rPr>
        <w:t>Private Placement Settlement</w:t>
      </w:r>
      <w:r>
        <w:rPr>
          <w:color w:val="000000"/>
        </w:rPr>
        <w:t>”</w:t>
      </w:r>
      <w:r>
        <w:rPr>
          <w:rFonts w:ascii="Times New Roman" w:hAnsi="Times New Roman"/>
          <w:color w:val="000000"/>
          <w:sz w:val="20"/>
        </w:rPr>
        <w:t xml:space="preserve">), then delivery of Restricted Shares by Party B shall be effected in customary private placement procedures with respect to such Restricted Shares reasonably acceptable to Party A; </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Party B may not elect a Private Placement Settlement if, on the date of its election, it has taken, or caused to be taken, any action that would make unavailable either the exemption pursuant to Section 4(a)(2) of the Securities Act for the sale by Party B to Party A (or any affiliate designated by Party A) of the Restricted Shares or the exemption pursuant to Section 4(a)(1) or Section 4(a)(3) of the Securities Act for resales of the Restricted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0"/>
        </w:rPr>
        <w:t>Shares by Party A (or any such affiliate of Party A). Party B shall use its best efforts to cause the Private Placement Settlement of such Restricted Shares to include customary representations, covenants, blue sky and other governmental filings and/or registrations, indemnities to Party A, due diligence rights (for Party A or any designated buyer of the Restricted Shares by Party A), opinions and certificates, and such other documentation as is customary for private placement agreements, all reasonably acceptable to Party A. In the case of a Private Placement Settlement, Party A shall determine the appropriate discount to the Share Termination Unit Price (in the case of settlement of Share Termination Delivery Units pursuant to Paragraph (k) above) or premium to any Forward Price (in the case of settlement of Shares pursuant to Section 2 or Section 8(f) of this Master Confirmation) applicable to such Restricted Shares in a commercially reasonable manner and appropriately adjust the number of such Restricted Shares to be delivered to Party A hereunder. Notwithstanding anything to the contrary in the Agreement or this Master Confirmation, the date of delivery of such Restricted Shares shall be the Exchange Business Day following notice by Party A to Party B of such applicable discount or premium, as the case may be, and the number of Restricted Shares to be delivered pursuant to this clause (i). For the avoidance of doubt, delivery of Restricted Shares shall be due as set forth in the previous sentence and not be due on the Share Termination Payment Date (in the case of settlement of Share Termination Delivery Units pursuant to Paragraph (k) above) or on the Settlement Date for such Restricted Shares (in the case of settlement in Shares pursuant to Section 2 or Section 8(f) of this Master Confirmation).</w:t>
      </w:r>
      <w:r>
        <w:rPr>
          <w:color w:val="00000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pPr>
      <w:r>
        <w:rPr>
          <w:rFonts w:ascii="Times New Roman" w:hAnsi="Times New Roman"/>
          <w:color w:val="000000"/>
          <w:sz w:val="20"/>
        </w:rPr>
        <w:t>If Party B elects to settle a Transaction pursuant to this clause (ii) (a “</w:t>
      </w:r>
      <w:r>
        <w:rPr>
          <w:rFonts w:ascii="Times New Roman" w:hAnsi="Times New Roman"/>
          <w:b/>
          <w:color w:val="000000"/>
          <w:sz w:val="20"/>
        </w:rPr>
        <w:t>Registration Settlement</w:t>
      </w:r>
      <w:r>
        <w:rPr>
          <w:color w:val="000000"/>
        </w:rPr>
        <w:t>”</w:t>
      </w:r>
      <w:r>
        <w:rPr>
          <w:rFonts w:ascii="Times New Roman" w:hAnsi="Times New Roman"/>
          <w:color w:val="000000"/>
          <w:sz w:val="20"/>
        </w:rPr>
        <w:t>), then Party B shall promptly (but in any event no later than the beginning of the Resale Period) file and use its reasonable best efforts to make effective under the Securities Act a registration statement or supplement or amend an outstanding registration statement in form and substance reasonably satisfactory to Party A, to cover the resale of such Restricted Shares in accordance with customary resale registration procedures, including covenants, conditions, representations, underwriting discounts (if applicable), commissions (if applicable), indemnities, due diligence rights, opinions and certificates, and such other documentation as is customary for equity resale underwriting agreements, all reasonably acceptable to Party A. If Party A, in its sole reasonable discretion, is not satisfied with such procedures and documentation Private Placement Settlement shall apply. If Party A is satisfied with such procedures and documentation, it shall sell the Restricted Shares pursuant to such registration statement during a period (the “</w:t>
      </w:r>
      <w:r>
        <w:rPr>
          <w:rFonts w:ascii="Times New Roman" w:hAnsi="Times New Roman"/>
          <w:b/>
          <w:color w:val="000000"/>
          <w:sz w:val="20"/>
        </w:rPr>
        <w:t>Resale Period</w:t>
      </w:r>
      <w:r>
        <w:rPr>
          <w:color w:val="000000"/>
        </w:rPr>
        <w:t>”</w:t>
      </w:r>
      <w:r>
        <w:rPr>
          <w:rFonts w:ascii="Times New Roman" w:hAnsi="Times New Roman"/>
          <w:color w:val="000000"/>
          <w:sz w:val="20"/>
        </w:rPr>
        <w:t>) commencing on the Exchange Business Day following delivery of such Restricted Shares (which, for the avoidance of doubt, shall be (x) the Share Termination Payment Date in case of settlement in Share Termination Delivery Units pursuant to Paragraph (k) above or (y) the Settlement Date in case of settlement in Shares pursuant to Section 2 or Section 8(f) of this Master Confirmation) and ending on the Exchange Business Day on which Party A completes the sale of all Restricted Shares or, in the case of settlement of Share Termination Delivery Units, a sufficient number of Restricted Shares so that the realized net proceeds of such sales equals or exceeds the Payment Obligation (as defined above). If the Payment Obligation exceeds the realized net proceeds from such resale, Party B shall transfer to Party A by the open of the regular trading session on the Exchange on the Exchange Business Day immediately following such resale the amount of such excess (the “</w:t>
      </w:r>
      <w:r>
        <w:rPr>
          <w:rFonts w:ascii="Times New Roman" w:hAnsi="Times New Roman"/>
          <w:b/>
          <w:color w:val="000000"/>
          <w:sz w:val="20"/>
        </w:rPr>
        <w:t>Additional Amount</w:t>
      </w:r>
      <w:r>
        <w:rPr>
          <w:color w:val="000000"/>
        </w:rPr>
        <w:t>”</w:t>
      </w:r>
      <w:r>
        <w:rPr>
          <w:rFonts w:ascii="Times New Roman" w:hAnsi="Times New Roman"/>
          <w:color w:val="000000"/>
          <w:sz w:val="20"/>
        </w:rPr>
        <w:t>) in cash or in a number of Shares (“</w:t>
      </w:r>
      <w:r>
        <w:rPr>
          <w:rFonts w:ascii="Times New Roman" w:hAnsi="Times New Roman"/>
          <w:b/>
          <w:color w:val="000000"/>
          <w:sz w:val="20"/>
        </w:rPr>
        <w:t>Make-whole Shares</w:t>
      </w:r>
      <w:r>
        <w:rPr>
          <w:color w:val="000000"/>
        </w:rPr>
        <w:t>”</w:t>
      </w:r>
      <w:r>
        <w:rPr>
          <w:rFonts w:ascii="Times New Roman" w:hAnsi="Times New Roman"/>
          <w:color w:val="000000"/>
          <w:sz w:val="20"/>
        </w:rPr>
        <w:t>) in an amount that, based on the Reference Price on such day, has a dollar value equal to the Additional Amount. The Resale Period shall continue to enable the sale of the Make-whole Shares. If Party B elects to pay the Additional Amount in Shares, the requirements and provisions for Registration Settlement shall apply. This provision shall be applied successively until the Additional Amount is equal to zero. In no event shall Party B deliver a number of Restricted Shares under a Transaction greater than the Capped Number (as defined below) for such Transaction.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Without limiting the generality of the foregoing, Party B agrees that (A) any Restricted Shares delivered to Party A in connection with a Transaction may be transferred by and among Party A and its affiliates and Party B shall effect such transfer without any further action by Party A and (B) after the period of six (6) months from the Trade Date of such Transaction (or one (1) year from the Trade Date of such Transaction if, at such time, informational requirements of Rule 144(c) under the Securities Act are not satisfied with respect to Party B) has elapsed in respect of any Restricted Shares delivered to Party A, Party B shall promptly remove, or use its best efforts to cause the transfer agent for such Restricted Shares to remove, any legends referring to any such restrictions or requirements from such Restricted Shares upon request by Party A (or such affiliate of Party A) to Party B or such transfer agent, without any requirement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delivery of any certificate, consent, agreement, opinion of counsel, notice or any other document, any transfer tax stamps or payment of any other amount or any other action by Party A (or such affiliate of Party A). Notwithstanding anything to the contrary herein, to the extent the provisions of Rule 144 of the Securities Act or any successor rule are amended, or the applicable interpretation thereof by the Securities and Exchange Commission or any court change after the Trade Date for such Transaction, the agreements of Party B herein shall be deemed modified to the extent necessary, in the opinion of outside counsel of Party B, to comply with Rule 144 of the Securities Act, as in effect at the time of delivery of the relevant Shares or Share Termination Delivery Property.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the Private Placement Settlement or the Registration Settlement shall not be effected as set forth in clauses (i) or (ii), as applicable, with respect to a Transaction, then failure to effect such Private Placement Settlement or such Registration Settlement shall constitute an Event of Default with respect to which Party B shall be the Defaulting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pPr>
      <w:r>
        <w:rPr>
          <w:rFonts w:ascii="Times New Roman" w:hAnsi="Times New Roman"/>
          <w:i/>
          <w:color w:val="000000"/>
          <w:sz w:val="20"/>
          <w:u w:val="single"/>
        </w:rPr>
        <w:t>Tax Disclosure.</w:t>
      </w:r>
      <w:r>
        <w:rPr>
          <w:color w:val="000000"/>
        </w:rPr>
        <w:t xml:space="preserve"> </w:t>
      </w:r>
      <w:r>
        <w:rPr>
          <w:rFonts w:ascii="Times New Roman" w:hAnsi="Times New Roman"/>
          <w:color w:val="000000"/>
          <w:sz w:val="20"/>
        </w:rPr>
        <w:t>Effective from the date of commencement of discussions concerning the Transactions, Party B and each of its employees, representatives, or other agents may disclose to any and all persons, without limitation of any kind, the tax treatment and tax structure of the Transactions and all materials of any kind (including opinions or other tax analyses) that are provided to Party B relating to such tax treatment and tax structure.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pPr>
      <w:r>
        <w:rPr>
          <w:rFonts w:ascii="Times New Roman" w:hAnsi="Times New Roman"/>
          <w:i/>
          <w:color w:val="000000"/>
          <w:sz w:val="20"/>
          <w:u w:val="single"/>
        </w:rPr>
        <w:t>Status of Claims in Bankruptcy.</w:t>
      </w:r>
      <w:r>
        <w:rPr>
          <w:color w:val="000000"/>
        </w:rPr>
        <w:t xml:space="preserve"> </w:t>
      </w:r>
      <w:r>
        <w:rPr>
          <w:rFonts w:ascii="Times New Roman" w:hAnsi="Times New Roman"/>
          <w:color w:val="000000"/>
          <w:sz w:val="20"/>
        </w:rPr>
        <w:t xml:space="preserve">Party A acknowledges and agrees that this Master Confirmation is not intended to convey to Party A rights against Party B with respect to any Transaction that are senior to the claims of common stockholders of Party B in any United States bankruptcy proceedings of Party B; </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nothing herein shall limit or shall be deemed to limit Party A’s right to pursue remedies in the event of a breach by Party B of its obligations and agreements with respect to any Transaction;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nothing herein shall limit or shall be deemed to limit Party A’s rights in respect of any transactions other than the Transactions.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pPr>
      <w:r>
        <w:rPr>
          <w:rFonts w:ascii="Times New Roman" w:hAnsi="Times New Roman"/>
          <w:i/>
          <w:color w:val="000000"/>
          <w:sz w:val="20"/>
          <w:u w:val="single"/>
        </w:rPr>
        <w:t>Acknowledgments</w:t>
      </w:r>
      <w:r>
        <w:rPr>
          <w:rFonts w:ascii="Times New Roman" w:hAnsi="Times New Roman"/>
          <w:b/>
          <w:color w:val="000000"/>
          <w:sz w:val="20"/>
        </w:rPr>
        <w:t xml:space="preserve">: </w:t>
      </w:r>
      <w:r>
        <w:rPr>
          <w:rFonts w:ascii="Times New Roman" w:hAnsi="Times New Roman"/>
          <w:color w:val="000000"/>
          <w:sz w:val="20"/>
        </w:rPr>
        <w:t>The parties hereto agree and acknowledge that: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pPr>
      <w:r>
        <w:rPr>
          <w:rFonts w:ascii="Times New Roman" w:hAnsi="Times New Roman"/>
          <w:color w:val="000000"/>
          <w:sz w:val="20"/>
        </w:rPr>
        <w:t>Party A is a “swap participant” and “financial participant” within the meaning of Sections 101(53C) and 101(22A) of Title 11 of the United States Code (the “</w:t>
      </w:r>
      <w:r>
        <w:rPr>
          <w:rFonts w:ascii="Times New Roman" w:hAnsi="Times New Roman"/>
          <w:b/>
          <w:color w:val="000000"/>
          <w:sz w:val="20"/>
        </w:rPr>
        <w:t>Bankruptcy Code</w:t>
      </w:r>
      <w:r>
        <w:rPr>
          <w:color w:val="000000"/>
        </w:rPr>
        <w:t>”</w:t>
      </w:r>
      <w:r>
        <w:rPr>
          <w:rFonts w:ascii="Times New Roman" w:hAnsi="Times New Roman"/>
          <w:color w:val="000000"/>
          <w:sz w:val="2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This Master Confirmation and each Supplemental Confirmation is (i) a “securities contract,” as such term is defined in Section 741(7) of the Bankruptcy Code, with respect to which each payment and delivery hereunder, thereunder or in connection herewith or therewith is a “termination value,” “payment amount” or “other transfer obligation” within the meaning of Section 362 of the Bankruptcy Code and a “settlement payment” and “transfer” within the meaning of Section 546 of the Bankruptcy Code and any cash, securities or other property provided as performance assurance, credit support or collateral with respect to each Transaction is a “margin payment” and “transfer” within the meaning of Section 546 of the Bankruptcy Code, (ii) a “swap agreement,” as such term is defined in Section 101(53B) of the Bankruptcy Code, with respect to which each payment and delivery hereunder, thereunder or in connection herewith or therewith is a “termination value,” “payment amount” or “other transfer obligation” within the meaning of Section 362 of the Bankruptcy Code and a “transfer,” as such term is defined in Section 101(54) of the Bankruptcy Code and a “payment or other transfer of property” within the meaning of Sections 362 and 546 of the Bankruptcy Code and constitute “settlement payments” as defined in Section 741(8) of the Bankruptcy Code and (iii) a “master netting agreement” and each of the parties thereto is a “master netting agreement participant”, each as defined in the Bankruptcy Code.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rights given to Party A hereunder, under each Supplemental Confirmation, the Agreement and any Credit Support Document upon the occurrence of an Event of Default with respect to the other party constitute a “contractual right” to cause the liquidation, termination or acceleration of, and to offset or net out termination values, payment amounts and other transfer obligations under or in connection with a “securities contract” and a “swap agreement” and a “contractual right” under a security agreement or arrangement forming a part of or related to a “securities contract” and a “swap agreement,” as such terms are used in Sections 555, 560, 561, 362(b)(6) and 362(b)(17) of the Bankruptcy Code.</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Party A is entitled to the protections afforded by, among other sections, Sections 362(b)(6), 362(b)(17), 362(b)(27), 362(o), 546(e), 546(g), 546(j), 548(d)(2), 555, 560 and 561 of the Bankruptcy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40"/>
        <w:jc w:val="both"/>
        <w:rPr/>
      </w:pPr>
      <w:r>
        <w:rPr>
          <w:rFonts w:ascii="Times New Roman" w:hAnsi="Times New Roman"/>
          <w:i/>
          <w:color w:val="000000"/>
          <w:sz w:val="20"/>
          <w:u w:val="single"/>
        </w:rPr>
        <w:t>Agreements Regarding the Supplemental Confirmation</w:t>
      </w:r>
      <w:r>
        <w:rPr>
          <w:rFonts w:ascii="Times New Roman" w:hAnsi="Times New Roman"/>
          <w:color w:val="000000"/>
          <w:sz w:val="2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Party B accepts and agrees to be bound by the contractual terms and conditions as set forth in each Supplemental Confirmation.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pPr>
      <w:r>
        <w:rPr>
          <w:rFonts w:ascii="Times New Roman" w:hAnsi="Times New Roman"/>
          <w:color w:val="000000"/>
          <w:sz w:val="20"/>
        </w:rPr>
        <w:t>Party B and Party A agree and acknowledge that (X) the Transactions contemplated by this Master Confirmation and each Supplemental Confirmation will be entered into in reliance on the fact that this Master Confirmation and such Supplemental Confirmation form a single agreement between Party B and Party A, and Party A would not otherwise enter into such Transaction, (Y) this Master Confirmation, together with such Supplemental Confirmation, is a “qualified financial contract”, as such term is defined in Section 5-701(b)(2) of the General Obligations Law of New York (the “</w:t>
      </w:r>
      <w:r>
        <w:rPr>
          <w:rFonts w:ascii="Times New Roman" w:hAnsi="Times New Roman"/>
          <w:b/>
          <w:color w:val="000000"/>
          <w:sz w:val="20"/>
        </w:rPr>
        <w:t>General Obligations Law</w:t>
      </w:r>
      <w:r>
        <w:rPr>
          <w:color w:val="000000"/>
        </w:rPr>
        <w:t>”</w:t>
      </w:r>
      <w:r>
        <w:rPr>
          <w:rFonts w:ascii="Times New Roman" w:hAnsi="Times New Roman"/>
          <w:color w:val="000000"/>
          <w:sz w:val="20"/>
        </w:rPr>
        <w:t xml:space="preserve">); and (Z) this Master Confirmation constitutes a prior “written contract”, as set forth in Section 5-701(b)(1)(b) of the General Obligations Law, and each party hereto intends and agrees to be bound by this Master Confirmation and such Supplemental Confirmation.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Party B and Party A further agree and acknowledge that this Master Confirmation, together with each Supplemental Confirmation, constitutes a contract “for the sale or purchase of a security”, as set forth in Section 8-113 of the Uniform Commercial Code of New York.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40"/>
        <w:jc w:val="both"/>
        <w:rPr/>
      </w:pPr>
      <w:r>
        <w:rPr>
          <w:rFonts w:ascii="Times New Roman" w:hAnsi="Times New Roman"/>
          <w:i/>
          <w:color w:val="000000"/>
          <w:sz w:val="20"/>
          <w:u w:val="single"/>
        </w:rPr>
        <w:t>Wall Street Transparency and Accountability Act</w:t>
      </w:r>
      <w:r>
        <w:rPr>
          <w:rFonts w:ascii="Times New Roman" w:hAnsi="Times New Roman"/>
          <w:color w:val="000000"/>
          <w:sz w:val="20"/>
        </w:rPr>
        <w:t>. In connection with Section 739 of the Wall Street Transparency and Accountability Act of 2010 (“</w:t>
      </w:r>
      <w:r>
        <w:rPr>
          <w:rFonts w:ascii="Times New Roman" w:hAnsi="Times New Roman"/>
          <w:b/>
          <w:color w:val="000000"/>
          <w:sz w:val="20"/>
        </w:rPr>
        <w:t>WSTAA</w:t>
      </w:r>
      <w:r>
        <w:rPr>
          <w:color w:val="000000"/>
        </w:rPr>
        <w:t>”</w:t>
      </w:r>
      <w:r>
        <w:rPr>
          <w:rFonts w:ascii="Times New Roman" w:hAnsi="Times New Roman"/>
          <w:color w:val="000000"/>
          <w:sz w:val="20"/>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Master Confirmation, any Supplemental Confirmation or the Agreement, as applicable, arising from a termination event, force majeure, illegality, increased costs, regulatory change or similar event under this Master Confirmation, any Supplemental Confirmation, the Equity Definitions incorporated herein, or the Agreement (including, but not limited to, rights arising from Change in Law, Hedging Disruption, Increased Cost of Hedging, an Excess Ownership Position, or Illegality (as defined in the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w:t>
      </w:r>
    </w:p>
    <w:p>
      <w:pPr>
        <w:pStyle w:val="TextBody"/>
        <w:bidi w:val="0"/>
        <w:spacing w:before="0" w:after="240"/>
        <w:jc w:val="both"/>
        <w:rPr/>
      </w:pPr>
      <w:r>
        <w:rPr>
          <w:rFonts w:ascii="Times New Roman" w:hAnsi="Times New Roman"/>
          <w:i/>
          <w:color w:val="000000"/>
          <w:sz w:val="20"/>
          <w:u w:val="single"/>
        </w:rPr>
        <w:t>Agreements and Acknowledgements Regarding Hedging</w:t>
      </w:r>
      <w:r>
        <w:rPr>
          <w:rFonts w:ascii="Times New Roman" w:hAnsi="Times New Roman"/>
          <w:color w:val="000000"/>
          <w:sz w:val="20"/>
        </w:rPr>
        <w:t>. Party B understands, acknowledges and agrees that: (A) at any time on and prior to the last Settlement Date, Party A and its affiliates may buy or sell Shares or other securities or buy or sell options or futures contracts or enter into swaps or other derivative securities in order to adjust its hedge position with respect to the Transaction; (B) Party A and its affiliates also may be active in the market for Shares other than in connection with hedging activities in relation to the Transaction; (C) Party A shall make its own determination as to whether, when or in what manner any hedging or market activities in securities of Party B shall be conducted and shall do so in a manner that it deems appropriate to hedge its price and market risk with respect to each Transaction; and (D) any market activities of Party A and its affiliates with respect to Shares may affect the market price and volatility of Shares, each in a manner that may be adverse to Party 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w:t>
      </w:r>
    </w:p>
    <w:p>
      <w:pPr>
        <w:pStyle w:val="TextBody"/>
        <w:bidi w:val="0"/>
        <w:spacing w:before="0" w:after="240"/>
        <w:jc w:val="both"/>
        <w:rPr/>
      </w:pPr>
      <w:r>
        <w:rPr>
          <w:rFonts w:ascii="Times New Roman" w:hAnsi="Times New Roman"/>
          <w:i/>
          <w:color w:val="000000"/>
          <w:sz w:val="20"/>
          <w:u w:val="single"/>
        </w:rPr>
        <w:t>Payment by Party A</w:t>
      </w:r>
      <w:r>
        <w:rPr>
          <w:rFonts w:ascii="Times New Roman" w:hAnsi="Times New Roman"/>
          <w:color w:val="000000"/>
          <w:sz w:val="20"/>
        </w:rPr>
        <w:t>. In the event that (i) an Early Termination Date occurs or is designated with respect to a Transaction as a result of a Termination Event or an Event of Default (other than an Event of Default arising under Section 5(a)(ii) or 5(a)(iv) of the Agreement) and, as a result, Party A owes to Party B an amount calculated under Section 6(e) of the Agreement, or (ii) Party A owes to Party B, pursuant to Section 12.7 or Section 12.9 of the Equity Definitions, an amount calculated under Section 12.8 of the Equity Definitions, such amount shall be deemed to be zero.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w:t>
      </w:r>
    </w:p>
    <w:p>
      <w:pPr>
        <w:pStyle w:val="TextBody"/>
        <w:bidi w:val="0"/>
        <w:spacing w:before="0" w:after="240"/>
        <w:jc w:val="both"/>
        <w:rPr/>
      </w:pPr>
      <w:r>
        <w:rPr>
          <w:rFonts w:ascii="Times New Roman" w:hAnsi="Times New Roman"/>
          <w:i/>
          <w:color w:val="000000"/>
          <w:sz w:val="20"/>
          <w:u w:val="single"/>
        </w:rPr>
        <w:t>Listing of Shares</w:t>
      </w:r>
      <w:r>
        <w:rPr>
          <w:rFonts w:ascii="Times New Roman" w:hAnsi="Times New Roman"/>
          <w:color w:val="000000"/>
          <w:sz w:val="20"/>
        </w:rPr>
        <w:t>. Party B shall have submitted an application for the listing of the Maximum Transaction Number of Shares for each Transaction on the Exchange, and such application and listing shall have been approved by the Exchange, subject only to official notice of issuance, in each case, on or prior to the Contingency Premium Payment Date for each such Transaction. Party B agrees and acknowledges that such submission and approval shall be a condition precedent for the purpose of Section 2(a)(iii) of the Agreement with respect to each obligation of Party A under Section 2(a)(i) of the Agreement.</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w:t>
      </w:r>
    </w:p>
    <w:p>
      <w:pPr>
        <w:pStyle w:val="TextBody"/>
        <w:bidi w:val="0"/>
        <w:spacing w:before="0" w:after="240"/>
        <w:jc w:val="both"/>
        <w:rPr/>
      </w:pPr>
      <w:r>
        <w:rPr>
          <w:rFonts w:ascii="Times New Roman" w:hAnsi="Times New Roman"/>
          <w:i/>
          <w:color w:val="000000"/>
          <w:sz w:val="20"/>
          <w:u w:val="single"/>
        </w:rPr>
        <w:t>Confidentiality</w:t>
      </w:r>
      <w:r>
        <w:rPr>
          <w:rFonts w:ascii="Times New Roman" w:hAnsi="Times New Roman"/>
          <w:color w:val="000000"/>
          <w:sz w:val="20"/>
        </w:rPr>
        <w:t>. Party A and Party B agree that (i) Party B is not obligated to Party A to keep confidential from any and all persons or otherwise limit the use of any element of Party A’s descriptions relating to tax aspects of the Transactions contemplated hereby and any part of the structure necessary to understand those tax aspects, and (ii) Party A does not assert any claim of proprietary ownership in respect of such descriptions contained herein of the use of any entities, plans or arrangements to give rise to significant U.S. federal income tax benefits for Party 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pPr>
      <w:r>
        <w:rPr>
          <w:rFonts w:ascii="Times New Roman" w:hAnsi="Times New Roman"/>
          <w:color w:val="000000"/>
          <w:sz w:val="20"/>
          <w:u w:val="single"/>
        </w:rPr>
        <w:t>[</w:t>
      </w:r>
      <w:r>
        <w:rPr>
          <w:rFonts w:ascii="Times New Roman" w:hAnsi="Times New Roman"/>
          <w:i/>
          <w:color w:val="000000"/>
          <w:sz w:val="20"/>
          <w:u w:val="single"/>
        </w:rPr>
        <w:t>Conduct Rules</w:t>
      </w:r>
      <w:r>
        <w:rPr>
          <w:rFonts w:ascii="Times New Roman" w:hAnsi="Times New Roman"/>
          <w:i/>
          <w:color w:val="000000"/>
          <w:sz w:val="20"/>
        </w:rPr>
        <w:t>.</w:t>
      </w:r>
      <w:r>
        <w:rPr>
          <w:color w:val="000000"/>
        </w:rPr>
        <w:t xml:space="preserve"> </w:t>
      </w:r>
      <w:r>
        <w:rPr>
          <w:rFonts w:ascii="Times New Roman" w:hAnsi="Times New Roman"/>
          <w:color w:val="000000"/>
          <w:sz w:val="20"/>
        </w:rPr>
        <w:t>Each party acknowledges and agrees to be bound by the Conduct Rules of the Financial Industry Regulatory Authority, Inc. applicable to transactions in options, and further agrees not to violate the position and exercise limits set forth therein.][</w:t>
      </w:r>
      <w:r>
        <w:rPr>
          <w:rFonts w:ascii="Times New Roman" w:hAnsi="Times New Roman"/>
          <w:i/>
          <w:color w:val="000000"/>
          <w:sz w:val="20"/>
          <w:u w:val="single"/>
        </w:rPr>
        <w:t>Reserved.</w:t>
      </w:r>
      <w:r>
        <w:rPr>
          <w:rFonts w:ascii="Times New Roman" w:hAnsi="Times New Roman"/>
          <w:color w:val="000000"/>
          <w:sz w:val="20"/>
          <w:u w:val="single"/>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w:t>
      </w:r>
    </w:p>
    <w:p>
      <w:pPr>
        <w:pStyle w:val="TextBody"/>
        <w:bidi w:val="0"/>
        <w:spacing w:before="0" w:after="240"/>
        <w:jc w:val="both"/>
        <w:rPr/>
      </w:pPr>
      <w:r>
        <w:rPr>
          <w:rFonts w:ascii="Times New Roman" w:hAnsi="Times New Roman"/>
          <w:i/>
          <w:color w:val="000000"/>
          <w:sz w:val="20"/>
          <w:u w:val="single"/>
        </w:rPr>
        <w:t>Tax Matters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pPr>
      <w:r>
        <w:rPr>
          <w:rFonts w:ascii="Times New Roman" w:hAnsi="Times New Roman"/>
          <w:i/>
          <w:color w:val="000000"/>
          <w:sz w:val="20"/>
        </w:rPr>
        <w:t>Withholding Tax under the United States Foreign Account Tax Compliance Act</w:t>
      </w:r>
      <w:r>
        <w:rPr>
          <w:rFonts w:ascii="Times New Roman" w:hAnsi="Times New Roman"/>
          <w:color w:val="000000"/>
          <w:sz w:val="20"/>
        </w:rPr>
        <w:t>. “Indemnifiable Tax”,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hAnsi="Times New Roman"/>
          <w:b/>
          <w:color w:val="000000"/>
          <w:sz w:val="20"/>
        </w:rPr>
        <w:t>FATCA Withholding Tax</w:t>
      </w:r>
      <w:r>
        <w:rPr>
          <w:color w:val="000000"/>
        </w:rPr>
        <w:t>”</w:t>
      </w:r>
      <w:r>
        <w:rPr>
          <w:rFonts w:ascii="Times New Roman" w:hAnsi="Times New Roman"/>
          <w:color w:val="000000"/>
          <w:sz w:val="20"/>
        </w:rPr>
        <w:t>). For the avoidance of doubt, a FATCA Withholding Tax is a Tax the deduction or withholding of which is required by applicable law for the purposes of Section 2(d) of the Agreement.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pPr>
      <w:r>
        <w:rPr>
          <w:rFonts w:ascii="Times New Roman" w:hAnsi="Times New Roman"/>
          <w:i/>
          <w:color w:val="000000"/>
          <w:sz w:val="20"/>
        </w:rPr>
        <w:t>871(m)</w:t>
      </w:r>
      <w:r>
        <w:rPr>
          <w:rFonts w:ascii="Times New Roman" w:hAnsi="Times New Roman"/>
          <w:color w:val="000000"/>
          <w:sz w:val="20"/>
        </w:rPr>
        <w:t xml:space="preserve">. “Indemnifiable Tax”, as defined in Section 14 of the Agreement, shall not include any tax imposed on payments treated as dividends from sources within the United States under Section 871(m) of the Code or any regulations issued thereunder. For the avoidance of doubt, any such tax imposed under Section 871(m) of the Code is a Tax the deduction or withholding of which is required by applicable law for the purposes of Section 2(d) of the Agreement.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00"/>
        <w:jc w:val="both"/>
        <w:rPr/>
      </w:pPr>
      <w:r>
        <w:rPr>
          <w:rFonts w:ascii="Times New Roman" w:hAnsi="Times New Roman"/>
          <w:i/>
          <w:color w:val="000000"/>
          <w:sz w:val="20"/>
        </w:rPr>
        <w:t>Stamp Tax</w:t>
      </w:r>
      <w:r>
        <w:rPr>
          <w:rFonts w:ascii="Times New Roman" w:hAnsi="Times New Roman"/>
          <w:color w:val="000000"/>
          <w:sz w:val="20"/>
        </w:rPr>
        <w:t xml:space="preserve">. Party B shall pay and, within three Local Business Days of demand, indemnify Party A against any cost, loss or liability that Party A incurs in relation to all stamp, registration, documentation, transfer or similar tax (including interest, penalties and additions thereto) payable in respect of or in connection with the Agreement and the Transactions. Party A shall be under no obligation to make any payment under Section 4(e) of the Agreement.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00"/>
        <w:jc w:val="both"/>
        <w:rPr/>
      </w:pPr>
      <w:r>
        <w:rPr>
          <w:rFonts w:ascii="Times New Roman" w:hAnsi="Times New Roman"/>
          <w:i/>
          <w:color w:val="000000"/>
          <w:sz w:val="20"/>
        </w:rPr>
        <w:t xml:space="preserve">Payor Representations. </w:t>
      </w:r>
      <w:r>
        <w:rPr>
          <w:rFonts w:ascii="Times New Roman" w:hAnsi="Times New Roman"/>
          <w:color w:val="000000"/>
          <w:sz w:val="20"/>
        </w:rPr>
        <w:t>For the purpose of Section 3(e) of the Agreement, each party represents that it is not required by any applicable law, as modified by the practice of any relevant governmental revenue authority, of any Relevant Jurisdiction to make any deduction or withholding for or on account of any Tax from any payment (other than interest under Section 9(h) of the Agreement or any other payments of interest or penalty charges for late payment) to be made by it to the other party under the Agreement. In making this representation, a party may rely on: (i) the accuracy of any representations made by the other party pursuant to Section 3(f) of the Agreement, (ii) the satisfaction of the agreement contained in Section 4(a)(i) or 4(a)(iii) of the Agreement, and the accuracy and effectiveness of any document provided by the other party pursuant to Section 4(a)(i) or 4(a)(iii) of the Agreement, and (iii) the satisfaction of the agreement of the other party contained in Section 4(d) of the Agreement; provided that it shall not be a breach of this representation where reliance is placed on clause (ii) above and the other party does not deliver a form or document under Section 4(a)(iii) by reason of material prejudice to its legal or commercial position.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00"/>
        <w:jc w:val="both"/>
        <w:rPr/>
      </w:pPr>
      <w:r>
        <w:rPr>
          <w:rFonts w:ascii="Times New Roman" w:hAnsi="Times New Roman"/>
          <w:i/>
          <w:color w:val="000000"/>
          <w:sz w:val="20"/>
        </w:rPr>
        <w:t>Payee Representations</w:t>
      </w:r>
      <w:r>
        <w:rPr>
          <w:rFonts w:ascii="Times New Roman" w:hAnsi="Times New Roman"/>
          <w:color w:val="000000"/>
          <w:sz w:val="20"/>
        </w:rPr>
        <w:t>. For the purpose of Section 3(f) of the Agreement, Party A makes the following representations: (A) [</w:t>
      </w:r>
      <w:r>
        <w:rPr>
          <w:rFonts w:ascii="Times New Roman" w:hAnsi="Times New Roman"/>
          <w:i/>
          <w:color w:val="000000"/>
          <w:sz w:val="20"/>
        </w:rPr>
        <w:t>insert Party A’s tax representations</w:t>
      </w:r>
      <w:r>
        <w:rPr>
          <w:rFonts w:ascii="Times New Roman" w:hAnsi="Times New Roman"/>
          <w:color w:val="000000"/>
          <w:sz w:val="20"/>
        </w:rPr>
        <w:t>]; and Party B makes the following representations: (A) it is a “U.S. person” (as that term is used in section 1.1441-4(a)(3)(ii) of United States Treasury Regulations) for U.S. federal income tax purposes and (B) is a real estate investment trust for U.S. federal income tax purposes and is organized under the laws of the State of Maryland, and is an exempt recipient under Treasury Regulation Section 1.6049-4(c)(1)(ii)(J).</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40"/>
        <w:jc w:val="both"/>
        <w:rPr/>
      </w:pPr>
      <w:r>
        <w:rPr>
          <w:rFonts w:ascii="Times New Roman" w:hAnsi="Times New Roman"/>
          <w:i/>
          <w:color w:val="000000"/>
          <w:sz w:val="20"/>
          <w:u w:val="single"/>
        </w:rPr>
        <w:t>Delivery or Receipt of Cash</w:t>
      </w:r>
      <w:r>
        <w:rPr>
          <w:rFonts w:ascii="Times New Roman" w:hAnsi="Times New Roman"/>
          <w:color w:val="000000"/>
          <w:sz w:val="20"/>
        </w:rPr>
        <w:t xml:space="preserve">. For the avoidance of doubt, other than receipt of the Contingency Premium by Party B, nothing in this Master Confirmation shall be interpreted as requiring Party B to cash settle any Transaction, except in circumstances where cash settlement is within Party B’s control (including, without limitation, where Party B elects to deliver or receive cash, or where Party B has made Private Placement Settlement unavailable due to the occurrence of events within its control) or in those circumstances in which holders of Shares would also receive cash.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w:t>
      </w:r>
    </w:p>
    <w:p>
      <w:pPr>
        <w:pStyle w:val="TextBody"/>
        <w:bidi w:val="0"/>
        <w:spacing w:before="0" w:after="240"/>
        <w:jc w:val="both"/>
        <w:rPr/>
      </w:pPr>
      <w:r>
        <w:rPr>
          <w:rFonts w:ascii="Times New Roman" w:hAnsi="Times New Roman"/>
          <w:i/>
          <w:color w:val="000000"/>
          <w:sz w:val="20"/>
          <w:u w:val="single"/>
        </w:rPr>
        <w:t>Disclaimer</w:t>
      </w:r>
      <w:r>
        <w:rPr>
          <w:rFonts w:ascii="Times New Roman" w:hAnsi="Times New Roman"/>
          <w:color w:val="000000"/>
          <w:sz w:val="20"/>
        </w:rPr>
        <w:t>. Party A is not a member of the Securities Investor Protection Corporation (“</w:t>
      </w:r>
      <w:r>
        <w:rPr>
          <w:rFonts w:ascii="Times New Roman" w:hAnsi="Times New Roman"/>
          <w:b/>
          <w:color w:val="000000"/>
          <w:sz w:val="20"/>
        </w:rPr>
        <w:t>SIPC</w:t>
      </w:r>
      <w:r>
        <w:rPr>
          <w:color w:val="000000"/>
        </w:rPr>
        <w:t>”</w:t>
      </w:r>
      <w:r>
        <w:rPr>
          <w:rFonts w:ascii="Times New Roman" w:hAnsi="Times New Roman"/>
          <w:color w:val="000000"/>
          <w:sz w:val="20"/>
        </w:rPr>
        <w:t>). Obligations of Party A hereunder are not protected by SIPC or any other organization or authority.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(z)</w:t>
      </w:r>
    </w:p>
    <w:p>
      <w:pPr>
        <w:pStyle w:val="TextBody"/>
        <w:bidi w:val="0"/>
        <w:spacing w:before="0" w:after="240"/>
        <w:jc w:val="both"/>
        <w:rPr/>
      </w:pPr>
      <w:r>
        <w:rPr>
          <w:rFonts w:ascii="Times New Roman" w:hAnsi="Times New Roman"/>
          <w:i/>
          <w:color w:val="000000"/>
          <w:sz w:val="20"/>
          <w:u w:val="single"/>
        </w:rPr>
        <w:t>Indemnity and Limitation on Liability</w:t>
      </w:r>
      <w:r>
        <w:rPr>
          <w:rFonts w:ascii="Times New Roman" w:hAnsi="Times New Roman"/>
          <w:color w:val="000000"/>
          <w:sz w:val="20"/>
        </w:rPr>
        <w:t>. Party B agrees to indemnify and hold harmless Party A, its affiliates and its assignees and their respective directors, officers, employees, agents and controlling persons (Party A and each such person being an “</w:t>
      </w:r>
      <w:r>
        <w:rPr>
          <w:rFonts w:ascii="Times New Roman" w:hAnsi="Times New Roman"/>
          <w:b/>
          <w:color w:val="000000"/>
          <w:sz w:val="20"/>
        </w:rPr>
        <w:t>Indemnified Party</w:t>
      </w:r>
      <w:r>
        <w:rPr>
          <w:color w:val="000000"/>
        </w:rPr>
        <w:t>”</w:t>
      </w:r>
      <w:r>
        <w:rPr>
          <w:rFonts w:ascii="Times New Roman" w:hAnsi="Times New Roman"/>
          <w:color w:val="000000"/>
          <w:sz w:val="20"/>
        </w:rPr>
        <w:t>) from and against any and all losses, claims, damages and liabilities, joint or several, to which such Indemnified Party may become subject, and relating to or arising out of any Transaction hereunder (other than any ordinary trading losses which may be incurred by Party A in connection with the Transaction), and will reimburse any Indemnified Party for all expenses (including reasonable counsel fees and expenses) as they are incurred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Party B. Party B will not be liable under the foregoing indemnification provision to the extent that any loss, claim, damage, liability or expense is found in a non-appealable judgment by a court of competent jurisdiction to have resulted from the Indemnified Party’s breach of a material term of this Master Confirmation, any Supplemental Confirmation or the Agreement, willful misconduct or gross negligence. Party B also agrees that no Indemnified Party shall have any liability to Party B or any person asserting claims on behalf of or in right of Party B in connection with or as a result of any matter referred to in this Master Confirmation, any Supplemental Confirmation or the Agreement except to the extent that any losses, claims, damages, liabilities or expenses incurred by Party B result from the Indemnified Party’s breach of a material term of this Master Confirmation, any Supplemental Confirmation or the Agreement, or the Indemnified Party’s gross negligence or willful misconduct. The provisions of this Paragraph (z) shall survive completion of each Transaction contemplated by this Master Confirmation and any assignment or transfer pursuant to this Master Confirmation and shall inure to the benefit of any permitted assignee of Party A. Notwithstanding any other provision herein, neither Party B nor Party A will be liable for special, indirect, punitive, exemplary, or consequential damages, or incidental losses or damages of any kind, even if advised of the possibility of such losses or damages or if such losses or damages could have been reasonably foreseen.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(aa)</w:t>
      </w:r>
    </w:p>
    <w:p>
      <w:pPr>
        <w:pStyle w:val="TextBody"/>
        <w:bidi w:val="0"/>
        <w:spacing w:before="0" w:after="240"/>
        <w:jc w:val="both"/>
        <w:rPr/>
      </w:pPr>
      <w:r>
        <w:rPr>
          <w:rFonts w:ascii="Times New Roman" w:hAnsi="Times New Roman"/>
          <w:i/>
          <w:color w:val="000000"/>
          <w:sz w:val="20"/>
          <w:u w:val="single"/>
        </w:rPr>
        <w:t>Risk Disclosure</w:t>
      </w:r>
      <w:r>
        <w:rPr>
          <w:rFonts w:ascii="Times New Roman" w:hAnsi="Times New Roman"/>
          <w:color w:val="000000"/>
          <w:sz w:val="20"/>
        </w:rPr>
        <w:t>. Party B represents and warrants that it has received, read and understands Party A’s “Risk Disclosure Statement Regarding OTC Derivatives Products” and acknowledges the terms thereof as if it had signed the Risk Disclosure Statement Verification contained therein as of the date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(bb)</w:t>
      </w:r>
    </w:p>
    <w:p>
      <w:pPr>
        <w:pStyle w:val="TextBody"/>
        <w:bidi w:val="0"/>
        <w:spacing w:before="0" w:after="240"/>
        <w:jc w:val="both"/>
        <w:rPr/>
      </w:pPr>
      <w:r>
        <w:rPr>
          <w:rFonts w:ascii="Times New Roman" w:hAnsi="Times New Roman"/>
          <w:i/>
          <w:color w:val="000000"/>
          <w:sz w:val="20"/>
          <w:u w:val="single"/>
        </w:rPr>
        <w:t>Amendments to the Equity Definitions</w:t>
      </w:r>
      <w:r>
        <w:rPr>
          <w:rFonts w:ascii="Times New Roman" w:hAnsi="Times New Roman"/>
          <w:color w:val="000000"/>
          <w:sz w:val="2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Section 11.2(a) of the Equity Definitions is hereby amended by deleting the words “a diluting or concentrative” and replacing them with the word “a material”; and adding the phrase “or the Transaction” at the end of the sentence.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Section 11.2(c) of the Equity Definitions is hereby amended by (v) replacing the words “a diluting or concentrative” with “an” in the fifth line thereof, (w) adding the phrase “or the Transaction” after the words “the relevant Shares” in the same sentence, (x) deleting the second appearance of the word “will” in the same sentence and replacing it with the word “shall”, (y) deleting the words “diluting or concentrative” in the sixth to last line thereof and (z) deleting the phrase “(provided that no adjustments will be made to account solely for changes in volatility, expected dividends, stock loan rate or liquidity relative to the relevant Shares)” and replacing it with the phrase “(and, for the avoidance of doubt, adjustments may be made to account solely for changes in volatility, expected dividends, stock loan rate or liquidity relative to the relevant Shares).”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Section 11.2(e)(vii) of the Equity Definitions is hereby amended by replacing the words “a diluting or concentrative” with “a material” and adding the phrase “the Transaction” at the end of the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0"/>
        </w:rPr>
        <w:t xml:space="preserve">sentence; </w:t>
      </w:r>
      <w:r>
        <w:rPr>
          <w:rFonts w:ascii="Times New Roman" w:hAnsi="Times New Roman"/>
          <w:i/>
          <w:color w:val="000000"/>
          <w:sz w:val="20"/>
        </w:rPr>
        <w:t>provided</w:t>
      </w:r>
      <w:r>
        <w:rPr>
          <w:color w:val="000000"/>
        </w:rPr>
        <w:t xml:space="preserve"> </w:t>
      </w:r>
      <w:r>
        <w:rPr>
          <w:rFonts w:ascii="Times New Roman" w:hAnsi="Times New Roman"/>
          <w:color w:val="000000"/>
          <w:sz w:val="20"/>
        </w:rPr>
        <w:t>that it shall also constitute a Potential Adjustment Event if a Disrupted Day occurs or is continuing on or following the Trade Date and prior to the Contingency Expiration Date for the final Component of a Transaction.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Agreement with respect to that Issuer”.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Section 12.9(b)(iv) of the Equity Definitions is hereby amended 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deleting (1) subsection (A) in its entirety, (2) the phrase “or (B)” following subsection (A) and (3) the phrase “in each case” in subsection (B);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replacing the phrase “neither the Non-Hedging Party nor the Lending Party lends Shares” with the phrase “such Lending Party does not lend Shares” in the penultimate sentence.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rFonts w:ascii="Times New Roman" w:hAnsi="Times New Roman"/>
          <w:color w:val="000000"/>
          <w:sz w:val="20"/>
        </w:rPr>
      </w:pPr>
      <w:bookmarkStart w:id="14" w:name="ole_link2"/>
      <w:bookmarkEnd w:id="14"/>
      <w:r>
        <w:rPr>
          <w:rFonts w:ascii="Times New Roman" w:hAnsi="Times New Roman"/>
          <w:color w:val="000000"/>
          <w:sz w:val="20"/>
        </w:rPr>
        <w:t>Section 12.9(b)(v) of the Equity Definitions is hereby amended 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adding the word “or” immediately before subsection “(B)” and deleting the comma at the end of subsection (A);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(1) deleting subsection (C) in its entirety, (2) deleting the word “or” immediately preceding subsection (C), (3) deleting the penultimate sentence in its entirety and replacing it with the sentence “The Hedging Party will determine the Cancellation Amount payable by one party to the other.” and (4) deleting clause (X) in the final sentence.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Section 12.9(b)(vi) of the Equity Definitions is hereby amended 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adding the word “or” immediately before subsection “(B)” and deleting the comma at the end of subsection (A);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(1) deleting subsection (C) in its entirety, (2) deleting the word “or” immediately preceding subsection (C) and (3) deleting the final sentence in its entirety and replacing it with the sentence “The Hedging Party will determine the Cancellation Amount payable by one party to the other.”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(cc)</w:t>
      </w:r>
    </w:p>
    <w:p>
      <w:pPr>
        <w:pStyle w:val="TextBody"/>
        <w:bidi w:val="0"/>
        <w:spacing w:before="0" w:after="240"/>
        <w:jc w:val="both"/>
        <w:rPr/>
      </w:pPr>
      <w:r>
        <w:rPr>
          <w:rFonts w:ascii="Times New Roman" w:hAnsi="Times New Roman"/>
          <w:i/>
          <w:color w:val="000000"/>
          <w:sz w:val="20"/>
          <w:u w:val="single"/>
        </w:rPr>
        <w:t>Limit on Beneficial Ownership</w:t>
      </w:r>
      <w:r>
        <w:rPr>
          <w:rFonts w:ascii="Times New Roman" w:hAnsi="Times New Roman"/>
          <w:color w:val="000000"/>
          <w:sz w:val="20"/>
        </w:rPr>
        <w:t>. Notwithstanding any other provisions hereof, Party A shall not have the right to acquire Shares hereunder or be entitled to take delivery of any Shares deliverable hereunder, to the extent (but only to the extent) that, after such receipt of any Shares hereunder, (i) the Section 16 Percentage would exceed 4.5%, or (ii) the Share Amount would exceed the Post-Effective Limit. Any purported delivery hereunder shall be void and have no effect to the extent (but only to the extent) that, after such delivery, (i) the Section 16 Percentage would exceed 4.5%, or (ii) the Share Amount would exceed the Post-Effective Limit. If any delivery owed to Party A hereunder is not made, in whole or in part, as a result of this provision, Party B’s obligation to make such delivery shall not be extinguished and Party B shall make such delivery as promptly as practicable after, but in no event later than one Exchange Business Day after, Party A gives notice to Party B that, after such delivery, (i) the Section 16 Percentage would not exceed 4.5%, and (ii) the Share Amount would not exceed the Post-Effective Limit. Upon request of Party A, Party B shall promptly confirm to Party A the number of Shares then outstanding and Party A shall then promptly advise Party B with respect to any limitations under this paragraph applicable to any anticipated delivery of Shares hereunder; provided, however, that neither a failure by Party B to notify Party A of the number of Shares then outstanding nor a failure of Party A to advise Party B with respect to any applicable limitations shall be deemed a default hereunder and notwithstanding such failure the remainder of this paragraph shall continue to apply. For the avoidance of doubt, any delivery of Shares made by Party B to Party A that Party A was not entitled to receive under the terms of this paragraph shall not be deemed to satisfy any of the delivery obligations of Party B hereunder and Party A shall promptly return such Shares to Party B, pending which Party A shall be deemed to hold any such Shares solely as custodian for the benefit of Party B.</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(dd)</w:t>
      </w:r>
    </w:p>
    <w:p>
      <w:pPr>
        <w:pStyle w:val="TextBody"/>
        <w:bidi w:val="0"/>
        <w:spacing w:before="0" w:after="240"/>
        <w:jc w:val="both"/>
        <w:rPr/>
      </w:pPr>
      <w:r>
        <w:rPr>
          <w:rFonts w:ascii="Times New Roman" w:hAnsi="Times New Roman"/>
          <w:i/>
          <w:color w:val="000000"/>
          <w:sz w:val="20"/>
          <w:u w:val="single"/>
        </w:rPr>
        <w:t>Maximum Share Delivery</w:t>
      </w:r>
      <w:r>
        <w:rPr>
          <w:rFonts w:ascii="Times New Roman" w:hAnsi="Times New Roman"/>
          <w:color w:val="000000"/>
          <w:sz w:val="2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pPr>
      <w:r>
        <w:rPr>
          <w:rFonts w:ascii="Times New Roman" w:hAnsi="Times New Roman"/>
          <w:color w:val="000000"/>
          <w:sz w:val="20"/>
        </w:rPr>
        <w:t>Notwithstanding any other provision of this Master Confirmation, the Agreement or the Equity Definitions, in no event will Party B at any time be required to deliver to Party A a number of Shares greater than the Capped Number for a Transaction in connection with such Transaction. “</w:t>
      </w:r>
      <w:r>
        <w:rPr>
          <w:rFonts w:ascii="Times New Roman" w:hAnsi="Times New Roman"/>
          <w:b/>
          <w:color w:val="000000"/>
          <w:sz w:val="20"/>
        </w:rPr>
        <w:t>Capped Number</w:t>
      </w:r>
      <w:r>
        <w:rPr>
          <w:rFonts w:ascii="Times New Roman" w:hAnsi="Times New Roman"/>
          <w:color w:val="000000"/>
          <w:sz w:val="20"/>
        </w:rPr>
        <w:t xml:space="preserve">,” with respect to a Transaction, means a number of Shares equal to 1.25 </w:t>
      </w:r>
      <w:r>
        <w:rPr>
          <w:rFonts w:ascii="Times New Roman" w:hAnsi="Times New Roman"/>
          <w:i/>
          <w:color w:val="000000"/>
          <w:sz w:val="20"/>
        </w:rPr>
        <w:t xml:space="preserve">multiplied by </w:t>
      </w:r>
      <w:r>
        <w:rPr>
          <w:rFonts w:ascii="Times New Roman" w:hAnsi="Times New Roman"/>
          <w:color w:val="000000"/>
          <w:sz w:val="20"/>
        </w:rPr>
        <w:t>the Maximum Transaction Number of Shares for such Transaction.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pPr>
      <w:r>
        <w:rPr>
          <w:rFonts w:ascii="Times New Roman" w:hAnsi="Times New Roman"/>
          <w:color w:val="000000"/>
          <w:sz w:val="20"/>
        </w:rPr>
        <w:t>In the event Party B shall not have delivered to Party A the full number of Shares or Restricted Shares otherwise deliverable by Party B to Party A pursuant to the terms of a Transaction because Party B has insufficient authorized but unissued Shares that are not reserved for other transactions (such deficit, the “</w:t>
      </w:r>
      <w:r>
        <w:rPr>
          <w:rFonts w:ascii="Times New Roman" w:hAnsi="Times New Roman"/>
          <w:b/>
          <w:color w:val="000000"/>
          <w:sz w:val="20"/>
        </w:rPr>
        <w:t>Deficit Shares</w:t>
      </w:r>
      <w:r>
        <w:rPr>
          <w:color w:val="000000"/>
        </w:rPr>
        <w:t>”</w:t>
      </w:r>
      <w:r>
        <w:rPr>
          <w:rFonts w:ascii="Times New Roman" w:hAnsi="Times New Roman"/>
          <w:color w:val="000000"/>
          <w:sz w:val="20"/>
        </w:rPr>
        <w:t xml:space="preserve">), Party B shall be continually obligated to deliver, from time to time, Shares or Restricted Shares, as the case may be, to Party A until the full number of Deficit Shares have been delivered pursuant to this Paragraph 8(dd)(ii), when, and to the extent that, (A) Shares are repurchased, acquired or otherwise received by Party B or any of its subsidiaries after the Trade Date for the applicable Transaction (whether or not in exchange for cash, fair value or any other consideration), (B) authorized and unissued Shares previously reserved for issuance in respect of other transactions become no longer so reserved or (C) Party B additionally authorizes any unissued Shares that are not reserved for other transactions; </w:t>
      </w:r>
      <w:r>
        <w:rPr>
          <w:rFonts w:ascii="Times New Roman" w:hAnsi="Times New Roman"/>
          <w:i/>
          <w:color w:val="000000"/>
          <w:sz w:val="20"/>
        </w:rPr>
        <w:t>provided</w:t>
      </w:r>
      <w:r>
        <w:rPr>
          <w:color w:val="000000"/>
        </w:rPr>
        <w:t xml:space="preserve"> </w:t>
      </w:r>
      <w:r>
        <w:rPr>
          <w:rFonts w:ascii="Times New Roman" w:hAnsi="Times New Roman"/>
          <w:color w:val="000000"/>
          <w:sz w:val="20"/>
        </w:rPr>
        <w:t>that in no event shall Party B deliver any Shares or Restricted Shares to Party A pursuant to this Paragraph 8(dd)(ii) to the extent that such delivery would cause the aggregate number of Shares and Restricted Shares delivered to Party A to exceed the Capped Number for such Transaction.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(ee)</w:t>
      </w:r>
    </w:p>
    <w:p>
      <w:pPr>
        <w:pStyle w:val="TextBody"/>
        <w:bidi w:val="0"/>
        <w:spacing w:before="0" w:after="240"/>
        <w:jc w:val="both"/>
        <w:rPr/>
      </w:pPr>
      <w:r>
        <w:rPr>
          <w:rFonts w:ascii="Times New Roman" w:hAnsi="Times New Roman"/>
          <w:i/>
          <w:color w:val="000000"/>
          <w:sz w:val="20"/>
          <w:u w:val="single"/>
        </w:rPr>
        <w:t>Right to Extend.</w:t>
      </w:r>
      <w:r>
        <w:rPr>
          <w:color w:val="000000"/>
        </w:rPr>
        <w:t xml:space="preserve"> </w:t>
      </w:r>
      <w:r>
        <w:rPr>
          <w:rFonts w:ascii="Times New Roman" w:hAnsi="Times New Roman"/>
          <w:color w:val="000000"/>
          <w:sz w:val="20"/>
        </w:rPr>
        <w:t>Party A may postpone or add, in whole or in part, any Contingency Expiration Date or any other date of valuation, payment or delivery with respect to some or all of any Transaction hereunder (in which event the Calculation Agent shall make appropriate adjustments to the Maximum Number of Shares with respect to one or more Components) if Party A determines, in its reasonable discretion, that such extension is necessary or appropriate to preserve Party A’s hedging or hedge unwind activity hereunder in light of existing liquidity conditions or to enable Party A or one of its affiliates to effect transactions with respect to Shares in connection with its hedging, hedge unwind or settlement activity hereunder in a manner that would, if Party A or such an affiliate were Issuer or an affiliated purchaser of Issuer, be in compliance with applicable legal, regulatory or self-regulatory requirements, or with related policies and procedures applicable to Party 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(ff)</w:t>
      </w:r>
    </w:p>
    <w:p>
      <w:pPr>
        <w:pStyle w:val="TextBody"/>
        <w:bidi w:val="0"/>
        <w:spacing w:before="0" w:after="240"/>
        <w:jc w:val="both"/>
        <w:rPr/>
      </w:pPr>
      <w:r>
        <w:rPr>
          <w:rFonts w:ascii="Times New Roman" w:hAnsi="Times New Roman"/>
          <w:i/>
          <w:color w:val="000000"/>
          <w:sz w:val="20"/>
          <w:u w:val="single"/>
        </w:rPr>
        <w:t>10b5-1 Plan</w:t>
      </w:r>
      <w:r>
        <w:rPr>
          <w:rFonts w:ascii="Times New Roman" w:hAnsi="Times New Roman"/>
          <w:color w:val="000000"/>
          <w:sz w:val="2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pPr>
      <w:r>
        <w:rPr>
          <w:rFonts w:ascii="Times New Roman" w:hAnsi="Times New Roman"/>
          <w:color w:val="000000"/>
          <w:sz w:val="20"/>
        </w:rPr>
        <w:t>Party B is entering into this Master Confirmation and each Transaction hereunder in good faith and not as part of a plan or scheme to evade the prohibitions of Rule 10b5-1 under the Exchange Act (“</w:t>
      </w:r>
      <w:r>
        <w:rPr>
          <w:rFonts w:ascii="Times New Roman" w:hAnsi="Times New Roman"/>
          <w:b/>
          <w:color w:val="000000"/>
          <w:sz w:val="20"/>
        </w:rPr>
        <w:t>Rule 10b5-1</w:t>
      </w:r>
      <w:r>
        <w:rPr>
          <w:color w:val="000000"/>
        </w:rPr>
        <w:t>”</w:t>
      </w:r>
      <w:r>
        <w:rPr>
          <w:rFonts w:ascii="Times New Roman" w:hAnsi="Times New Roman"/>
          <w:color w:val="000000"/>
          <w:sz w:val="20"/>
        </w:rPr>
        <w:t>) or any other antifraud or anti-manipulation provisions of the federal or applicable state securities laws and that it has not entered into or altered and will not enter into or alter any corresponding or hedging transaction or position with respect to the Shares. Party B acknowledges that it is the intent of the parties that following any election of Cash Settlement or Net Share Settlement by Party B, the purchase of Shares by Party A during any Unwind Period comply with the requirements of paragraphs (c)(1)(i)(A) and (B) of Rule 10b5-1 and each Transaction entered into under this Master Confirmation shall be interpreted to comply with the requirements of Rule 10b5-1(c).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term of any Transaction and in connection with the delivery of any Share Termination Delivery Property for any Transaction, Party A (or its agent or affiliate) may effect transactions in Shares in connection with such Transaction. The timing of such transactions by Party A, the price paid or received per Share pursuant to such transactions and the manner in which such transactions are made, including, without limitation, whether such transactions are made on any securities exchange or privately, shall be within the sole judgment of Party A. Party B acknowledges and agrees that all such transactions shall be made in Party A’s sole judgment and for Party A’s own account.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Party B does not have, and shall not attempt to exercise, any control or influence over how, when or whether Party A (or its agent or affiliate) makes any “purchases or sales” (within the meaning of Rule 10b5-1(c)(1)(i)(B)(3)) in connection with any Transaction, including, without limitation, the price paid per Share pursuant to such purchases, whether such purchases are made on any securities exchange or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privately and how, when or whether Party A (or its agent or affiliate) enters into any hedging transactions. Party A represents and warrants that it has consulted with its own advisors as to the legal aspects of its adoption and implementation of this Master Confirmation and each Supplemental Confirmation under Rule 10b5-1.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Party B acknowledges and agrees that any amendment, modification, waiver or termination of this Master Confirmation or any Supplemental Confirmation must be effected in accordance with the requirements for the amendment or termination of a “plan” as defined in Rule 10b5-1(c). Without limiting the generality of the foregoing, any such amendment, modification, waiver or termination shall be made in good faith and not as part of a plan or scheme to evade the prohibitions of Rule 10b-5, and no such amendment, modification or waiver shall be made at any time at which Party B or any officer, director, manager or similar person of Party B is aware of any material non-public information regarding Party B or the Shares.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Party B shall not, directly or indirectly, communicate any information regarding Party B or the Shares to any employee of Party A or its affiliates who is directly involved with the hedging of and trading with respect to each Transaction and whose name is set forth on a list to be provided by Party A, which list may be updated by Party A from time to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(gg)</w:t>
      </w:r>
    </w:p>
    <w:p>
      <w:pPr>
        <w:pStyle w:val="TextBody"/>
        <w:bidi w:val="0"/>
        <w:spacing w:before="0" w:after="240"/>
        <w:jc w:val="both"/>
        <w:rPr/>
      </w:pPr>
      <w:r>
        <w:rPr>
          <w:rFonts w:ascii="Times New Roman" w:hAnsi="Times New Roman"/>
          <w:i/>
          <w:color w:val="000000"/>
          <w:sz w:val="20"/>
          <w:u w:val="single"/>
        </w:rPr>
        <w:t>Counterparts</w:t>
      </w:r>
      <w:r>
        <w:rPr>
          <w:rFonts w:ascii="Times New Roman" w:hAnsi="Times New Roman"/>
          <w:color w:val="000000"/>
          <w:sz w:val="20"/>
        </w:rPr>
        <w:t>. This Master Confirmation and any Supplemental Confirmation may be executed in any number of counterparts, all of which shall constitute one and the same instrument, and any party hereto may execute this Master Confirmation or any Supplemental Confirmation by signing and delivering one or more counterparts. The words “execution,” “signed,” “signature,” and words of like import in the Agreement, this Master Confirmation, any Supplemental Confirmation or in any other certificate, agreement or document related to the Agreement, this Master Confirmation or any Supplemental Confirmation,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pStyle w:val="TextBody"/>
        <w:bidi w:val="0"/>
        <w:spacing w:before="0" w:after="240"/>
        <w:jc w:val="left"/>
        <w:rPr/>
      </w:pPr>
      <w:r>
        <w:rPr/>
        <w:t> </w:t>
      </w:r>
    </w:p>
    <w:p>
      <w:pPr>
        <w:pStyle w:val="TextBody"/>
        <w:bidi w:val="0"/>
        <w:spacing w:before="200" w:after="283"/>
        <w:jc w:val="center"/>
        <w:rPr>
          <w:rFonts w:ascii="Times New Roman" w:hAnsi="Times New Roman"/>
          <w:color w:val="000000"/>
          <w:sz w:val="19"/>
        </w:rPr>
      </w:pPr>
      <w:r>
        <w:rPr>
          <w:rFonts w:ascii="Times New Roman" w:hAnsi="Times New Roman"/>
          <w:color w:val="000000"/>
          <w:sz w:val="19"/>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A</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FORM OF SUPPLEMENTAL CONFIRMATION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Date: [___], 20[___]</w:t>
      </w:r>
    </w:p>
    <w:p>
      <w:pPr>
        <w:pStyle w:val="TextBody"/>
        <w:bidi w:val="0"/>
        <w:jc w:val="left"/>
        <w:rPr>
          <w:rFonts w:ascii="Times New Roman" w:hAnsi="Times New Roman"/>
          <w:sz w:val="20"/>
        </w:rPr>
      </w:pPr>
      <w:r>
        <w:rPr>
          <w:rFonts w:ascii="Times New Roman" w:hAnsi="Times New Roman"/>
          <w:color w:val="000000"/>
          <w:sz w:val="20"/>
        </w:rPr>
        <w:t>From: [</w:t>
      </w:r>
      <w:r>
        <w:rPr>
          <w:rFonts w:ascii="Times New Roman" w:hAnsi="Times New Roman"/>
          <w:i/>
          <w:color w:val="000000"/>
          <w:sz w:val="20"/>
        </w:rPr>
        <w:t>Dealer Name</w:t>
      </w:r>
      <w:r>
        <w:rPr>
          <w:rFonts w:ascii="Times New Roman" w:hAnsi="Times New Roman"/>
          <w:color w:val="000000"/>
          <w:sz w:val="20"/>
        </w:rPr>
        <w:t>] (“</w:t>
      </w:r>
      <w:r>
        <w:rPr>
          <w:rFonts w:ascii="Times New Roman" w:hAnsi="Times New Roman"/>
          <w:b/>
          <w:color w:val="000000"/>
          <w:sz w:val="20"/>
        </w:rPr>
        <w:t>Party A</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To: Easterly Government Properties, Inc. (“</w:t>
      </w:r>
      <w:r>
        <w:rPr>
          <w:rFonts w:ascii="Times New Roman" w:hAnsi="Times New Roman"/>
          <w:b/>
          <w:color w:val="000000"/>
          <w:sz w:val="20"/>
        </w:rPr>
        <w:t>Party B</w:t>
      </w:r>
      <w:r>
        <w:rPr>
          <w:rFonts w:ascii="Times New Roman" w:hAnsi="Times New Roman"/>
          <w:color w:val="000000"/>
          <w:sz w:val="20"/>
        </w:rPr>
        <w:t>”)</w:t>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The purpose of this Supplemental Confirmation is to confirm the terms and conditions of the Transaction entered into between [</w:t>
      </w:r>
      <w:r>
        <w:rPr>
          <w:rFonts w:ascii="Times New Roman" w:hAnsi="Times New Roman"/>
          <w:i/>
          <w:color w:val="000000"/>
          <w:sz w:val="20"/>
        </w:rPr>
        <w:t>Party A Name</w:t>
      </w:r>
      <w:r>
        <w:rPr>
          <w:rFonts w:ascii="Times New Roman" w:hAnsi="Times New Roman"/>
          <w:color w:val="000000"/>
          <w:sz w:val="20"/>
        </w:rPr>
        <w:t>] (“</w:t>
      </w:r>
      <w:r>
        <w:rPr>
          <w:rFonts w:ascii="Times New Roman" w:hAnsi="Times New Roman"/>
          <w:b/>
          <w:color w:val="000000"/>
          <w:sz w:val="20"/>
        </w:rPr>
        <w:t>Party A</w:t>
      </w:r>
      <w:r>
        <w:rPr>
          <w:rFonts w:ascii="Times New Roman" w:hAnsi="Times New Roman"/>
          <w:color w:val="000000"/>
          <w:sz w:val="20"/>
        </w:rPr>
        <w:t>”) and Easterly Government Properties, Inc. (“</w:t>
      </w:r>
      <w:r>
        <w:rPr>
          <w:rFonts w:ascii="Times New Roman" w:hAnsi="Times New Roman"/>
          <w:b/>
          <w:color w:val="000000"/>
          <w:sz w:val="20"/>
        </w:rPr>
        <w:t>Party B</w:t>
      </w:r>
      <w:r>
        <w:rPr>
          <w:rFonts w:ascii="Times New Roman" w:hAnsi="Times New Roman"/>
          <w:color w:val="000000"/>
          <w:sz w:val="20"/>
        </w:rPr>
        <w:t>”), on the Trade Date specified below. This Supplemental Confirmation is a binding contract between Party A and Party B as of the relevant Trade Date for the Transaction referenced below.</w:t>
      </w:r>
    </w:p>
    <w:p>
      <w:pPr>
        <w:pStyle w:val="TextBody"/>
        <w:bidi w:val="0"/>
        <w:spacing w:before="0" w:after="240"/>
        <w:jc w:val="both"/>
        <w:rPr>
          <w:rFonts w:ascii="Times New Roman" w:hAnsi="Times New Roman"/>
          <w:sz w:val="20"/>
        </w:rPr>
      </w:pPr>
      <w:r>
        <w:rPr>
          <w:rFonts w:ascii="Times New Roman" w:hAnsi="Times New Roman"/>
          <w:color w:val="000000"/>
          <w:sz w:val="20"/>
        </w:rPr>
        <w:t>1. This Supplemental Confirmation supplements, forms part of, and is subject to the Master Confirmation – Contingent Forward Transactions dated as of August 4, 2026 between Party A and Party B (as amended and supplemented from time to time, the “</w:t>
      </w:r>
      <w:r>
        <w:rPr>
          <w:rFonts w:ascii="Times New Roman" w:hAnsi="Times New Roman"/>
          <w:b/>
          <w:color w:val="000000"/>
          <w:sz w:val="20"/>
        </w:rPr>
        <w:t>Master Confirmation</w:t>
      </w:r>
      <w:r>
        <w:rPr>
          <w:rFonts w:ascii="Times New Roman" w:hAnsi="Times New Roman"/>
          <w:color w:val="000000"/>
          <w:sz w:val="20"/>
        </w:rPr>
        <w:t>”). All provisions contained in the Agreement (as modified and as defined in the Master Confirmation) shall govern this Supplemental Confirmation, except as expressly modified below, and capitalized terms used but not defined herein shall have the meanings specified in the Master Confirmation.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terms of the Transaction to which this Supplemental Confirmation relates are as follows:</w:t>
      </w:r>
    </w:p>
    <w:tbl>
      <w:tblPr>
        <w:tblW w:w="7067" w:type="dxa"/>
        <w:jc w:val="left"/>
        <w:tblInd w:w="0" w:type="dxa"/>
        <w:tblLayout w:type="fixed"/>
        <w:tblCellMar>
          <w:top w:w="28" w:type="dxa"/>
          <w:left w:w="28" w:type="dxa"/>
          <w:bottom w:w="28" w:type="dxa"/>
          <w:right w:w="28" w:type="dxa"/>
        </w:tblCellMar>
      </w:tblPr>
      <w:tblGrid>
        <w:gridCol w:w="3526"/>
        <w:gridCol w:w="3541"/>
      </w:tblGrid>
      <w:tr>
        <w:trPr/>
        <w:tc>
          <w:tcPr>
            <w:tcW w:w="352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Trade Date:</w:t>
            </w:r>
          </w:p>
        </w:tc>
        <w:tc>
          <w:tcPr>
            <w:tcW w:w="35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[___], 20[___]</w:t>
            </w:r>
          </w:p>
        </w:tc>
      </w:tr>
      <w:tr>
        <w:trPr/>
        <w:tc>
          <w:tcPr>
            <w:tcW w:w="352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Maturity Date:</w:t>
            </w:r>
          </w:p>
        </w:tc>
        <w:tc>
          <w:tcPr>
            <w:tcW w:w="35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[___], 20[___]</w:t>
            </w:r>
          </w:p>
        </w:tc>
      </w:tr>
      <w:tr>
        <w:trPr/>
        <w:tc>
          <w:tcPr>
            <w:tcW w:w="352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Maximum Transaction Number of Shares:</w:t>
            </w:r>
          </w:p>
        </w:tc>
        <w:tc>
          <w:tcPr>
            <w:tcW w:w="354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[___] Shares</w:t>
            </w:r>
          </w:p>
        </w:tc>
      </w:tr>
      <w:tr>
        <w:trPr/>
        <w:tc>
          <w:tcPr>
            <w:tcW w:w="352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Initial Forward Price:</w:t>
            </w:r>
          </w:p>
        </w:tc>
        <w:tc>
          <w:tcPr>
            <w:tcW w:w="354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USD [___]</w:t>
            </w:r>
          </w:p>
        </w:tc>
      </w:tr>
      <w:tr>
        <w:trPr/>
        <w:tc>
          <w:tcPr>
            <w:tcW w:w="352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Contingency Premium:</w:t>
            </w:r>
          </w:p>
        </w:tc>
        <w:tc>
          <w:tcPr>
            <w:tcW w:w="354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USD [___]</w:t>
            </w:r>
          </w:p>
        </w:tc>
      </w:tr>
      <w:tr>
        <w:trPr/>
        <w:tc>
          <w:tcPr>
            <w:tcW w:w="352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Initial Share Price:</w:t>
            </w:r>
          </w:p>
        </w:tc>
        <w:tc>
          <w:tcPr>
            <w:tcW w:w="354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USD [___]</w:t>
            </w:r>
          </w:p>
        </w:tc>
      </w:tr>
      <w:tr>
        <w:trPr/>
        <w:tc>
          <w:tcPr>
            <w:tcW w:w="352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Forward Hedge Selling Commission Rate:</w:t>
            </w:r>
          </w:p>
        </w:tc>
        <w:tc>
          <w:tcPr>
            <w:tcW w:w="354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insert ATM fee for contingent forward</w:t>
            </w:r>
            <w:r>
              <w:rPr>
                <w:rFonts w:ascii="Times New Roman" w:hAnsi="Times New Roman"/>
                <w:color w:val="000000"/>
                <w:sz w:val="20"/>
              </w:rPr>
              <w:t>]%</w:t>
            </w:r>
          </w:p>
        </w:tc>
      </w:tr>
      <w:tr>
        <w:trPr/>
        <w:tc>
          <w:tcPr>
            <w:tcW w:w="352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Spread:</w:t>
            </w:r>
          </w:p>
        </w:tc>
        <w:tc>
          <w:tcPr>
            <w:tcW w:w="354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[___]</w:t>
            </w:r>
          </w:p>
        </w:tc>
      </w:tr>
      <w:tr>
        <w:trPr/>
        <w:tc>
          <w:tcPr>
            <w:tcW w:w="352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Sales Period Outside Date:</w:t>
            </w:r>
          </w:p>
        </w:tc>
        <w:tc>
          <w:tcPr>
            <w:tcW w:w="354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[___], 20[___]</w:t>
            </w:r>
          </w:p>
        </w:tc>
      </w:tr>
    </w:tbl>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Forward Price Reduction Dates and Forward Price Reduction Amounts for the Transaction are as set forth below.</w:t>
      </w:r>
    </w:p>
    <w:tbl>
      <w:tblPr>
        <w:tblW w:w="5417" w:type="dxa"/>
        <w:jc w:val="left"/>
        <w:tblInd w:w="0" w:type="dxa"/>
        <w:tblLayout w:type="fixed"/>
        <w:tblCellMar>
          <w:top w:w="28" w:type="dxa"/>
          <w:left w:w="28" w:type="dxa"/>
          <w:bottom w:w="28" w:type="dxa"/>
          <w:right w:w="28" w:type="dxa"/>
        </w:tblCellMar>
      </w:tblPr>
      <w:tblGrid>
        <w:gridCol w:w="2551"/>
        <w:gridCol w:w="2866"/>
      </w:tblGrid>
      <w:tr>
        <w:trPr/>
        <w:tc>
          <w:tcPr>
            <w:tcW w:w="255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40"/>
              <w:jc w:val="center"/>
              <w:rPr>
                <w:rFonts w:ascii="Times New Roman" w:hAnsi="Times New Roman"/>
                <w:color w:val="000000"/>
                <w:sz w:val="20"/>
              </w:rPr>
            </w:pPr>
            <w:r>
              <w:rPr>
                <w:rFonts w:ascii="Times New Roman" w:hAnsi="Times New Roman"/>
                <w:color w:val="000000"/>
                <w:sz w:val="20"/>
              </w:rPr>
              <w:t>Forward Price Reduction Date</w:t>
            </w:r>
          </w:p>
        </w:tc>
        <w:tc>
          <w:tcPr>
            <w:tcW w:w="2866" w:type="dxa"/>
            <w:tcBorders>
              <w:bottom w:val="single" w:sz="4" w:space="0" w:color="000000"/>
            </w:tcBorders>
            <w:tcMar>
              <w:top w:w="0" w:type="dxa"/>
              <w:left w:w="0" w:type="dxa"/>
              <w:right w:w="0" w:type="dxa"/>
            </w:tcMar>
            <w:vAlign w:val="center"/>
          </w:tcPr>
          <w:p>
            <w:pPr>
              <w:pStyle w:val="TableContents"/>
              <w:bidi w:val="0"/>
              <w:spacing w:before="120" w:after="240"/>
              <w:jc w:val="center"/>
              <w:rPr>
                <w:rFonts w:ascii="Times New Roman" w:hAnsi="Times New Roman"/>
                <w:color w:val="000000"/>
                <w:sz w:val="20"/>
              </w:rPr>
            </w:pPr>
            <w:r>
              <w:rPr>
                <w:rFonts w:ascii="Times New Roman" w:hAnsi="Times New Roman"/>
                <w:color w:val="000000"/>
                <w:sz w:val="20"/>
              </w:rPr>
              <w:t>Forward Price Reduction Amount</w:t>
            </w:r>
          </w:p>
        </w:tc>
      </w:tr>
      <w:tr>
        <w:trPr/>
        <w:tc>
          <w:tcPr>
            <w:tcW w:w="2551" w:type="dxa"/>
            <w:tcBorders>
              <w:right w:val="single" w:sz="4" w:space="0" w:color="000000"/>
            </w:tcBorders>
            <w:tcMar>
              <w:top w:w="0" w:type="dxa"/>
              <w:left w:w="0" w:type="dxa"/>
              <w:bottom w:w="0" w:type="dxa"/>
              <w:right w:w="108" w:type="dxa"/>
            </w:tcMar>
            <w:vAlign w:val="center"/>
          </w:tcPr>
          <w:p>
            <w:pPr>
              <w:pStyle w:val="TableContents"/>
              <w:bidi w:val="0"/>
              <w:spacing w:before="120" w:after="240"/>
              <w:jc w:val="center"/>
              <w:rPr>
                <w:rFonts w:ascii="Times New Roman" w:hAnsi="Times New Roman"/>
                <w:color w:val="000000"/>
                <w:sz w:val="20"/>
              </w:rPr>
            </w:pPr>
            <w:r>
              <w:rPr>
                <w:rFonts w:ascii="Times New Roman" w:hAnsi="Times New Roman"/>
                <w:color w:val="000000"/>
                <w:sz w:val="20"/>
              </w:rPr>
              <w:t>Trade Date</w:t>
            </w:r>
          </w:p>
        </w:tc>
        <w:tc>
          <w:tcPr>
            <w:tcW w:w="2866" w:type="dxa"/>
            <w:tcBorders/>
            <w:tcMar>
              <w:top w:w="0" w:type="dxa"/>
              <w:left w:w="0" w:type="dxa"/>
              <w:bottom w:w="0" w:type="dxa"/>
              <w:right w:w="0" w:type="dxa"/>
            </w:tcMar>
            <w:vAlign w:val="center"/>
          </w:tcPr>
          <w:p>
            <w:pPr>
              <w:pStyle w:val="TableContents"/>
              <w:bidi w:val="0"/>
              <w:spacing w:before="120" w:after="240"/>
              <w:jc w:val="center"/>
              <w:rPr>
                <w:rFonts w:ascii="Times New Roman" w:hAnsi="Times New Roman"/>
                <w:color w:val="000000"/>
                <w:sz w:val="20"/>
              </w:rPr>
            </w:pPr>
            <w:r>
              <w:rPr>
                <w:rFonts w:ascii="Times New Roman" w:hAnsi="Times New Roman"/>
                <w:color w:val="000000"/>
                <w:sz w:val="20"/>
              </w:rPr>
              <w:t>USD 0</w:t>
            </w:r>
          </w:p>
        </w:tc>
      </w:tr>
      <w:tr>
        <w:trPr/>
        <w:tc>
          <w:tcPr>
            <w:tcW w:w="2551" w:type="dxa"/>
            <w:tcBorders>
              <w:right w:val="single" w:sz="4" w:space="0" w:color="000000"/>
            </w:tcBorders>
            <w:tcMar>
              <w:top w:w="0" w:type="dxa"/>
              <w:left w:w="0" w:type="dxa"/>
              <w:bottom w:w="0" w:type="dxa"/>
              <w:right w:w="108" w:type="dxa"/>
            </w:tcMar>
            <w:vAlign w:val="center"/>
          </w:tcPr>
          <w:p>
            <w:pPr>
              <w:pStyle w:val="TableContents"/>
              <w:bidi w:val="0"/>
              <w:spacing w:before="120" w:after="240"/>
              <w:jc w:val="center"/>
              <w:rPr>
                <w:rFonts w:ascii="Times New Roman" w:hAnsi="Times New Roman"/>
                <w:color w:val="000000"/>
                <w:sz w:val="20"/>
              </w:rPr>
            </w:pPr>
            <w:r>
              <w:rPr>
                <w:rFonts w:ascii="Times New Roman" w:hAnsi="Times New Roman"/>
                <w:color w:val="000000"/>
                <w:sz w:val="20"/>
              </w:rPr>
              <w:t>[___], 20[___]</w:t>
            </w:r>
          </w:p>
        </w:tc>
        <w:tc>
          <w:tcPr>
            <w:tcW w:w="2866" w:type="dxa"/>
            <w:tcBorders/>
            <w:tcMar>
              <w:top w:w="0" w:type="dxa"/>
              <w:left w:w="0" w:type="dxa"/>
              <w:bottom w:w="0" w:type="dxa"/>
              <w:right w:w="0" w:type="dxa"/>
            </w:tcMar>
            <w:vAlign w:val="center"/>
          </w:tcPr>
          <w:p>
            <w:pPr>
              <w:pStyle w:val="TableContents"/>
              <w:bidi w:val="0"/>
              <w:spacing w:before="120" w:after="240"/>
              <w:jc w:val="center"/>
              <w:rPr>
                <w:rFonts w:ascii="Times New Roman" w:hAnsi="Times New Roman"/>
                <w:color w:val="000000"/>
                <w:sz w:val="20"/>
              </w:rPr>
            </w:pPr>
            <w:r>
              <w:rPr>
                <w:rFonts w:ascii="Times New Roman" w:hAnsi="Times New Roman"/>
                <w:color w:val="000000"/>
                <w:sz w:val="20"/>
              </w:rPr>
              <w:t>USD [___]</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297" w:type="dxa"/>
        <w:jc w:val="left"/>
        <w:tblInd w:w="0" w:type="dxa"/>
        <w:tblLayout w:type="fixed"/>
        <w:tblCellMar>
          <w:top w:w="28" w:type="dxa"/>
          <w:left w:w="28" w:type="dxa"/>
          <w:bottom w:w="28" w:type="dxa"/>
          <w:right w:w="28" w:type="dxa"/>
        </w:tblCellMar>
      </w:tblPr>
      <w:tblGrid>
        <w:gridCol w:w="1291"/>
        <w:gridCol w:w="1006"/>
      </w:tblGrid>
      <w:tr>
        <w:trPr/>
        <w:tc>
          <w:tcPr>
            <w:tcW w:w="129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291" w:type="dxa"/>
            <w:tcBorders>
              <w:right w:val="single" w:sz="4" w:space="0" w:color="000000"/>
            </w:tcBorders>
            <w:tcMar>
              <w:top w:w="0" w:type="dxa"/>
              <w:left w:w="0" w:type="dxa"/>
              <w:bottom w:w="0" w:type="dxa"/>
              <w:right w:w="108" w:type="dxa"/>
            </w:tcMar>
            <w:vAlign w:val="center"/>
          </w:tcPr>
          <w:p>
            <w:pPr>
              <w:pStyle w:val="TableContents"/>
              <w:bidi w:val="0"/>
              <w:spacing w:before="120" w:after="240"/>
              <w:jc w:val="center"/>
              <w:rPr>
                <w:rFonts w:ascii="Times New Roman" w:hAnsi="Times New Roman"/>
                <w:color w:val="000000"/>
                <w:sz w:val="20"/>
              </w:rPr>
            </w:pPr>
            <w:r>
              <w:rPr>
                <w:rFonts w:ascii="Times New Roman" w:hAnsi="Times New Roman"/>
                <w:color w:val="000000"/>
                <w:sz w:val="20"/>
              </w:rPr>
              <w:t>[___], 20[___]</w:t>
            </w:r>
          </w:p>
        </w:tc>
        <w:tc>
          <w:tcPr>
            <w:tcW w:w="1006" w:type="dxa"/>
            <w:tcBorders/>
            <w:tcMar>
              <w:top w:w="0" w:type="dxa"/>
              <w:left w:w="0" w:type="dxa"/>
              <w:bottom w:w="0" w:type="dxa"/>
              <w:right w:w="0" w:type="dxa"/>
            </w:tcMar>
            <w:vAlign w:val="center"/>
          </w:tcPr>
          <w:p>
            <w:pPr>
              <w:pStyle w:val="TableContents"/>
              <w:bidi w:val="0"/>
              <w:spacing w:before="120" w:after="240"/>
              <w:jc w:val="center"/>
              <w:rPr>
                <w:rFonts w:ascii="Times New Roman" w:hAnsi="Times New Roman"/>
                <w:color w:val="000000"/>
                <w:sz w:val="20"/>
              </w:rPr>
            </w:pPr>
            <w:r>
              <w:rPr>
                <w:rFonts w:ascii="Times New Roman" w:hAnsi="Times New Roman"/>
                <w:color w:val="000000"/>
                <w:sz w:val="20"/>
              </w:rPr>
              <w:t>USD [___]</w:t>
            </w:r>
          </w:p>
        </w:tc>
      </w:tr>
      <w:tr>
        <w:trPr/>
        <w:tc>
          <w:tcPr>
            <w:tcW w:w="1291" w:type="dxa"/>
            <w:tcBorders>
              <w:right w:val="single" w:sz="4" w:space="0" w:color="000000"/>
            </w:tcBorders>
            <w:tcMar>
              <w:top w:w="0" w:type="dxa"/>
              <w:left w:w="0" w:type="dxa"/>
              <w:bottom w:w="0" w:type="dxa"/>
              <w:right w:w="108" w:type="dxa"/>
            </w:tcMar>
            <w:vAlign w:val="center"/>
          </w:tcPr>
          <w:p>
            <w:pPr>
              <w:pStyle w:val="TableContents"/>
              <w:bidi w:val="0"/>
              <w:spacing w:before="120" w:after="240"/>
              <w:jc w:val="center"/>
              <w:rPr>
                <w:rFonts w:ascii="Times New Roman" w:hAnsi="Times New Roman"/>
                <w:color w:val="000000"/>
                <w:sz w:val="20"/>
              </w:rPr>
            </w:pPr>
            <w:r>
              <w:rPr>
                <w:rFonts w:ascii="Times New Roman" w:hAnsi="Times New Roman"/>
                <w:color w:val="000000"/>
                <w:sz w:val="20"/>
              </w:rPr>
              <w:t>[___], 20[___]</w:t>
            </w:r>
          </w:p>
        </w:tc>
        <w:tc>
          <w:tcPr>
            <w:tcW w:w="1006" w:type="dxa"/>
            <w:tcBorders/>
            <w:tcMar>
              <w:top w:w="0" w:type="dxa"/>
              <w:left w:w="0" w:type="dxa"/>
              <w:bottom w:w="0" w:type="dxa"/>
              <w:right w:w="0" w:type="dxa"/>
            </w:tcMar>
            <w:vAlign w:val="center"/>
          </w:tcPr>
          <w:p>
            <w:pPr>
              <w:pStyle w:val="TableContents"/>
              <w:bidi w:val="0"/>
              <w:spacing w:before="120" w:after="240"/>
              <w:jc w:val="center"/>
              <w:rPr>
                <w:rFonts w:ascii="Times New Roman" w:hAnsi="Times New Roman"/>
                <w:color w:val="000000"/>
                <w:sz w:val="20"/>
              </w:rPr>
            </w:pPr>
            <w:r>
              <w:rPr>
                <w:rFonts w:ascii="Times New Roman" w:hAnsi="Times New Roman"/>
                <w:color w:val="000000"/>
                <w:sz w:val="20"/>
              </w:rPr>
              <w:t>USD [___]</w:t>
            </w:r>
          </w:p>
        </w:tc>
      </w:tr>
      <w:tr>
        <w:trPr/>
        <w:tc>
          <w:tcPr>
            <w:tcW w:w="1291" w:type="dxa"/>
            <w:tcBorders>
              <w:right w:val="single" w:sz="4" w:space="0" w:color="000000"/>
            </w:tcBorders>
            <w:tcMar>
              <w:top w:w="0" w:type="dxa"/>
              <w:left w:w="0" w:type="dxa"/>
              <w:bottom w:w="0" w:type="dxa"/>
              <w:right w:w="108" w:type="dxa"/>
            </w:tcMar>
            <w:vAlign w:val="center"/>
          </w:tcPr>
          <w:p>
            <w:pPr>
              <w:pStyle w:val="TableContents"/>
              <w:bidi w:val="0"/>
              <w:spacing w:before="120" w:after="240"/>
              <w:jc w:val="center"/>
              <w:rPr>
                <w:rFonts w:ascii="Times New Roman" w:hAnsi="Times New Roman"/>
                <w:color w:val="000000"/>
                <w:sz w:val="20"/>
              </w:rPr>
            </w:pPr>
            <w:r>
              <w:rPr>
                <w:rFonts w:ascii="Times New Roman" w:hAnsi="Times New Roman"/>
                <w:color w:val="000000"/>
                <w:sz w:val="20"/>
              </w:rPr>
              <w:t>[___], 20[___]</w:t>
            </w:r>
          </w:p>
        </w:tc>
        <w:tc>
          <w:tcPr>
            <w:tcW w:w="1006" w:type="dxa"/>
            <w:tcBorders/>
            <w:tcMar>
              <w:top w:w="0" w:type="dxa"/>
              <w:left w:w="0" w:type="dxa"/>
              <w:bottom w:w="0" w:type="dxa"/>
              <w:right w:w="0" w:type="dxa"/>
            </w:tcMar>
            <w:vAlign w:val="center"/>
          </w:tcPr>
          <w:p>
            <w:pPr>
              <w:pStyle w:val="TableContents"/>
              <w:bidi w:val="0"/>
              <w:spacing w:before="120" w:after="240"/>
              <w:jc w:val="center"/>
              <w:rPr>
                <w:rFonts w:ascii="Times New Roman" w:hAnsi="Times New Roman"/>
                <w:color w:val="000000"/>
                <w:sz w:val="20"/>
              </w:rPr>
            </w:pPr>
            <w:r>
              <w:rPr>
                <w:rFonts w:ascii="Times New Roman" w:hAnsi="Times New Roman"/>
                <w:color w:val="000000"/>
                <w:sz w:val="20"/>
              </w:rPr>
              <w:t>USD [___]</w:t>
            </w:r>
          </w:p>
        </w:tc>
      </w:tr>
    </w:tbl>
    <w:p>
      <w:pPr>
        <w:pStyle w:val="TextBody"/>
        <w:bidi w:val="0"/>
        <w:spacing w:before="120" w:after="240"/>
        <w:jc w:val="both"/>
        <w:rPr>
          <w:rFonts w:ascii="Times New Roman" w:hAnsi="Times New Roman"/>
          <w:color w:val="000000"/>
          <w:sz w:val="20"/>
        </w:rPr>
      </w:pPr>
      <w:r>
        <w:rPr>
          <w:rFonts w:ascii="Times New Roman" w:hAnsi="Times New Roman"/>
          <w:color w:val="000000"/>
          <w:sz w:val="20"/>
        </w:rPr>
        <w:t>For each Component of the Transaction, the Maximum Number of Shares and the Contingency Expiration Dates are as set forth below.</w:t>
      </w:r>
    </w:p>
    <w:tbl>
      <w:tblPr>
        <w:tblW w:w="6738" w:type="dxa"/>
        <w:jc w:val="left"/>
        <w:tblInd w:w="0" w:type="dxa"/>
        <w:tblLayout w:type="fixed"/>
        <w:tblCellMar>
          <w:top w:w="28" w:type="dxa"/>
          <w:left w:w="28" w:type="dxa"/>
          <w:bottom w:w="28" w:type="dxa"/>
          <w:right w:w="28" w:type="dxa"/>
        </w:tblCellMar>
      </w:tblPr>
      <w:tblGrid>
        <w:gridCol w:w="1771"/>
        <w:gridCol w:w="2416"/>
        <w:gridCol w:w="2551"/>
      </w:tblGrid>
      <w:tr>
        <w:trPr/>
        <w:tc>
          <w:tcPr>
            <w:tcW w:w="177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17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Component Number</w:t>
            </w:r>
          </w:p>
        </w:tc>
        <w:tc>
          <w:tcPr>
            <w:tcW w:w="24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Maximum Number of Shares</w:t>
            </w:r>
          </w:p>
        </w:tc>
        <w:tc>
          <w:tcPr>
            <w:tcW w:w="2551" w:type="dxa"/>
            <w:tcBorders>
              <w:bottom w:val="single" w:sz="4" w:space="0" w:color="000000"/>
            </w:tcBorders>
            <w:tcMar>
              <w:top w:w="0" w:type="dxa"/>
              <w:left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Contingency Expiration Date</w:t>
            </w:r>
          </w:p>
        </w:tc>
      </w:tr>
      <w:tr>
        <w:trPr/>
        <w:tc>
          <w:tcPr>
            <w:tcW w:w="1771" w:type="dxa"/>
            <w:tcBorders>
              <w:right w:val="single" w:sz="4" w:space="0" w:color="000000"/>
            </w:tcBorders>
            <w:tcMar>
              <w:top w:w="0" w:type="dxa"/>
              <w:left w:w="0" w:type="dxa"/>
              <w:bottom w:w="0"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w:t>
            </w:r>
          </w:p>
        </w:tc>
        <w:tc>
          <w:tcPr>
            <w:tcW w:w="2416" w:type="dxa"/>
            <w:tcBorders>
              <w:right w:val="single" w:sz="4" w:space="0" w:color="000000"/>
            </w:tcBorders>
            <w:tcMar>
              <w:top w:w="0" w:type="dxa"/>
              <w:left w:w="0" w:type="dxa"/>
              <w:bottom w:w="0"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[___]</w:t>
            </w:r>
          </w:p>
        </w:tc>
        <w:tc>
          <w:tcPr>
            <w:tcW w:w="255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[___], 20[___]</w:t>
            </w:r>
          </w:p>
        </w:tc>
      </w:tr>
      <w:tr>
        <w:trPr/>
        <w:tc>
          <w:tcPr>
            <w:tcW w:w="1771" w:type="dxa"/>
            <w:tcBorders>
              <w:right w:val="single" w:sz="4" w:space="0" w:color="000000"/>
            </w:tcBorders>
            <w:tcMar>
              <w:top w:w="0" w:type="dxa"/>
              <w:left w:w="0" w:type="dxa"/>
              <w:bottom w:w="0"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2</w:t>
            </w:r>
          </w:p>
        </w:tc>
        <w:tc>
          <w:tcPr>
            <w:tcW w:w="2416" w:type="dxa"/>
            <w:tcBorders>
              <w:right w:val="single" w:sz="4" w:space="0" w:color="000000"/>
            </w:tcBorders>
            <w:tcMar>
              <w:top w:w="0" w:type="dxa"/>
              <w:left w:w="0" w:type="dxa"/>
              <w:bottom w:w="0"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[___]</w:t>
            </w:r>
          </w:p>
        </w:tc>
        <w:tc>
          <w:tcPr>
            <w:tcW w:w="255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[___], 20[___]</w:t>
            </w:r>
          </w:p>
        </w:tc>
      </w:tr>
      <w:tr>
        <w:trPr/>
        <w:tc>
          <w:tcPr>
            <w:tcW w:w="1771" w:type="dxa"/>
            <w:tcBorders>
              <w:right w:val="single" w:sz="4" w:space="0" w:color="000000"/>
            </w:tcBorders>
            <w:tcMar>
              <w:top w:w="0" w:type="dxa"/>
              <w:left w:w="0" w:type="dxa"/>
              <w:bottom w:w="0"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3</w:t>
            </w:r>
          </w:p>
        </w:tc>
        <w:tc>
          <w:tcPr>
            <w:tcW w:w="2416" w:type="dxa"/>
            <w:tcBorders>
              <w:right w:val="single" w:sz="4" w:space="0" w:color="000000"/>
            </w:tcBorders>
            <w:tcMar>
              <w:top w:w="0" w:type="dxa"/>
              <w:left w:w="0" w:type="dxa"/>
              <w:bottom w:w="0"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[___]</w:t>
            </w:r>
          </w:p>
        </w:tc>
        <w:tc>
          <w:tcPr>
            <w:tcW w:w="255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[___], 20[___]</w:t>
            </w:r>
          </w:p>
        </w:tc>
      </w:tr>
      <w:tr>
        <w:trPr/>
        <w:tc>
          <w:tcPr>
            <w:tcW w:w="1771" w:type="dxa"/>
            <w:tcBorders>
              <w:right w:val="single" w:sz="4" w:space="0" w:color="000000"/>
            </w:tcBorders>
            <w:tcMar>
              <w:top w:w="0" w:type="dxa"/>
              <w:left w:w="0" w:type="dxa"/>
              <w:bottom w:w="0"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</w:t>
            </w:r>
          </w:p>
        </w:tc>
        <w:tc>
          <w:tcPr>
            <w:tcW w:w="2416" w:type="dxa"/>
            <w:tcBorders>
              <w:right w:val="single" w:sz="4" w:space="0" w:color="000000"/>
            </w:tcBorders>
            <w:tcMar>
              <w:top w:w="0" w:type="dxa"/>
              <w:left w:w="0" w:type="dxa"/>
              <w:bottom w:w="0"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[___]</w:t>
            </w:r>
          </w:p>
        </w:tc>
        <w:tc>
          <w:tcPr>
            <w:tcW w:w="255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[___], 20[___]</w:t>
            </w:r>
          </w:p>
        </w:tc>
      </w:tr>
    </w:tbl>
    <w:p>
      <w:pPr>
        <w:pStyle w:val="TextBody"/>
        <w:bidi w:val="0"/>
        <w:spacing w:before="0" w:after="240"/>
        <w:jc w:val="center"/>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Follows.</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Party B hereby agrees (a) to check this Supplemental Confirmation carefully and immediately upon receipt so that errors or discrepancies can be promptly identified and rectified and (b) to confirm that the foregoing correctly sets forth the terms of the agreement between us with respect to the particular Transaction to which this Supplemental Confirmation relates by manually signing this Supplemental Confirmation and providing any other information requested herein or in the Master Confirmation and immediately sending an executed copy to us.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Yours sincerely,</w:t>
      </w:r>
    </w:p>
    <w:tbl>
      <w:tblPr>
        <w:tblW w:w="1710" w:type="dxa"/>
        <w:jc w:val="left"/>
        <w:tblInd w:w="0" w:type="dxa"/>
        <w:tblLayout w:type="fixed"/>
        <w:tblCellMar>
          <w:top w:w="28" w:type="dxa"/>
          <w:left w:w="28" w:type="dxa"/>
          <w:bottom w:w="28" w:type="dxa"/>
          <w:right w:w="28" w:type="dxa"/>
        </w:tblCellMar>
      </w:tblPr>
      <w:tblGrid>
        <w:gridCol w:w="544"/>
        <w:gridCol w:w="1166"/>
      </w:tblGrid>
      <w:tr>
        <w:trPr/>
        <w:tc>
          <w:tcPr>
            <w:tcW w:w="54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1710" w:type="dxa"/>
            <w:gridSpan w:val="2"/>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 as agent for]</w:t>
            </w:r>
          </w:p>
          <w:p>
            <w:pPr>
              <w:pStyle w:val="TableContents"/>
              <w:bidi w:val="0"/>
              <w:jc w:val="both"/>
              <w:rPr>
                <w:rFonts w:ascii="Times New Roman" w:hAnsi="Times New Roman"/>
                <w:sz w:val="20"/>
              </w:rPr>
            </w:pPr>
            <w:r>
              <w:rPr>
                <w:rFonts w:ascii="Times New Roman" w:hAnsi="Times New Roman"/>
                <w:b/>
                <w:i/>
                <w:color w:val="000000"/>
                <w:sz w:val="20"/>
              </w:rPr>
              <w:t>[DEALER NAME</w:t>
            </w:r>
            <w:r>
              <w:rPr>
                <w:rFonts w:ascii="Times New Roman" w:hAnsi="Times New Roman"/>
                <w:b/>
                <w:color w:val="000000"/>
                <w:sz w:val="20"/>
              </w:rPr>
              <w:t>]</w:t>
            </w:r>
          </w:p>
          <w:p>
            <w:pPr>
              <w:pStyle w:val="TableContents"/>
              <w:bidi w:val="0"/>
              <w:spacing w:before="0" w:after="240"/>
              <w:jc w:val="both"/>
              <w:rPr/>
            </w:pPr>
            <w:r>
              <w:rPr/>
              <w:t> </w:t>
            </w:r>
          </w:p>
        </w:tc>
      </w:tr>
      <w:tr>
        <w:trPr/>
        <w:tc>
          <w:tcPr>
            <w:tcW w:w="544" w:type="dxa"/>
            <w:tcBorders/>
            <w:tcMar>
              <w:top w:w="0" w:type="dxa"/>
              <w:left w:w="0" w:type="dxa"/>
              <w:bottom w:w="0" w:type="dxa"/>
              <w:right w:w="0" w:type="dxa"/>
            </w:tcMar>
            <w:vAlign w:val="center"/>
          </w:tcPr>
          <w:p>
            <w:pPr>
              <w:pStyle w:val="TableContents"/>
              <w:bidi w:val="0"/>
              <w:spacing w:before="0" w:after="283"/>
              <w:ind w:left="0" w:right="0" w:firstLine="17"/>
              <w:jc w:val="left"/>
              <w:rPr>
                <w:rFonts w:ascii="Times New Roman" w:hAnsi="Times New Roman"/>
                <w:color w:val="000000"/>
                <w:sz w:val="20"/>
              </w:rPr>
            </w:pPr>
            <w:r>
              <w:rPr>
                <w:rFonts w:ascii="Times New Roman" w:hAnsi="Times New Roman"/>
                <w:color w:val="000000"/>
                <w:sz w:val="20"/>
              </w:rPr>
              <w:t>By:</w:t>
            </w:r>
          </w:p>
        </w:tc>
        <w:tc>
          <w:tcPr>
            <w:tcW w:w="1166" w:type="dxa"/>
            <w:tcBorders>
              <w:bottom w:val="single" w:sz="4" w:space="0" w:color="000000"/>
            </w:tcBorders>
            <w:tcMar>
              <w:top w:w="0" w:type="dxa"/>
              <w:left w:w="0" w:type="dxa"/>
              <w:right w:w="0" w:type="dxa"/>
            </w:tcMar>
            <w:vAlign w:val="center"/>
          </w:tcPr>
          <w:p>
            <w:pPr>
              <w:pStyle w:val="TableContents"/>
              <w:bidi w:val="0"/>
              <w:spacing w:before="0" w:after="283"/>
              <w:ind w:left="0" w:right="0" w:firstLine="748"/>
              <w:jc w:val="left"/>
              <w:rPr/>
            </w:pPr>
            <w:r>
              <w:rPr/>
              <w:t> </w:t>
            </w:r>
          </w:p>
        </w:tc>
      </w:tr>
      <w:tr>
        <w:trPr/>
        <w:tc>
          <w:tcPr>
            <w:tcW w:w="1710" w:type="dxa"/>
            <w:gridSpan w:val="2"/>
            <w:tcBorders/>
            <w:tcMar>
              <w:top w:w="0" w:type="dxa"/>
              <w:left w:w="0" w:type="dxa"/>
              <w:bottom w:w="0" w:type="dxa"/>
              <w:right w:w="0" w:type="dxa"/>
            </w:tcMar>
            <w:vAlign w:val="center"/>
          </w:tcPr>
          <w:p>
            <w:pPr>
              <w:pStyle w:val="TableContents"/>
              <w:bidi w:val="0"/>
              <w:spacing w:before="0" w:after="283"/>
              <w:ind w:left="0" w:right="0" w:firstLine="748"/>
              <w:jc w:val="left"/>
              <w:rPr>
                <w:rFonts w:ascii="Times New Roman" w:hAnsi="Times New Roman"/>
                <w:color w:val="000000"/>
                <w:sz w:val="20"/>
              </w:rPr>
            </w:pPr>
            <w:r>
              <w:rPr>
                <w:rFonts w:ascii="Times New Roman" w:hAnsi="Times New Roman"/>
                <w:color w:val="000000"/>
                <w:sz w:val="20"/>
              </w:rPr>
              <w:t xml:space="preserve">Name: </w:t>
            </w:r>
          </w:p>
        </w:tc>
      </w:tr>
      <w:tr>
        <w:trPr/>
        <w:tc>
          <w:tcPr>
            <w:tcW w:w="1710" w:type="dxa"/>
            <w:gridSpan w:val="2"/>
            <w:tcBorders/>
            <w:tcMar>
              <w:top w:w="0" w:type="dxa"/>
              <w:left w:w="0" w:type="dxa"/>
              <w:bottom w:w="0" w:type="dxa"/>
              <w:right w:w="0" w:type="dxa"/>
            </w:tcMar>
            <w:vAlign w:val="center"/>
          </w:tcPr>
          <w:p>
            <w:pPr>
              <w:pStyle w:val="TableContents"/>
              <w:bidi w:val="0"/>
              <w:spacing w:before="0" w:after="283"/>
              <w:ind w:left="0" w:right="0" w:firstLine="748"/>
              <w:jc w:val="left"/>
              <w:rPr>
                <w:rFonts w:ascii="Times New Roman" w:hAnsi="Times New Roman"/>
                <w:color w:val="000000"/>
                <w:sz w:val="20"/>
              </w:rPr>
            </w:pPr>
            <w:r>
              <w:rPr>
                <w:rFonts w:ascii="Times New Roman" w:hAnsi="Times New Roman"/>
                <w:color w:val="000000"/>
                <w:sz w:val="20"/>
              </w:rPr>
              <w:t xml:space="preserve">Title: </w:t>
            </w:r>
          </w:p>
        </w:tc>
      </w:tr>
    </w:tbl>
    <w:p>
      <w:pPr>
        <w:pStyle w:val="TextBody"/>
        <w:bidi w:val="0"/>
        <w:spacing w:before="0" w:after="240"/>
        <w:jc w:val="both"/>
        <w:rPr/>
      </w:pPr>
      <w:r>
        <w:rPr/>
        <w:t> </w:t>
      </w:r>
    </w:p>
    <w:p>
      <w:pPr>
        <w:pStyle w:val="TextBody"/>
        <w:bidi w:val="0"/>
        <w:spacing w:before="0" w:after="240"/>
        <w:jc w:val="both"/>
        <w:rPr/>
      </w:pPr>
      <w:r>
        <w:rPr/>
        <w:t> </w:t>
      </w:r>
    </w:p>
    <w:tbl>
      <w:tblPr>
        <w:tblW w:w="1710" w:type="dxa"/>
        <w:jc w:val="left"/>
        <w:tblInd w:w="0" w:type="dxa"/>
        <w:tblLayout w:type="fixed"/>
        <w:tblCellMar>
          <w:top w:w="28" w:type="dxa"/>
          <w:left w:w="28" w:type="dxa"/>
          <w:bottom w:w="28" w:type="dxa"/>
          <w:right w:w="28" w:type="dxa"/>
        </w:tblCellMar>
      </w:tblPr>
      <w:tblGrid>
        <w:gridCol w:w="544"/>
        <w:gridCol w:w="1166"/>
      </w:tblGrid>
      <w:tr>
        <w:trPr/>
        <w:tc>
          <w:tcPr>
            <w:tcW w:w="54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1710" w:type="dxa"/>
            <w:gridSpan w:val="2"/>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b/>
                <w:i/>
                <w:color w:val="000000"/>
                <w:sz w:val="20"/>
              </w:rPr>
              <w:t>[DEALER NAME</w:t>
            </w:r>
            <w:r>
              <w:rPr>
                <w:rFonts w:ascii="Times New Roman" w:hAnsi="Times New Roman"/>
                <w:b/>
                <w:color w:val="000000"/>
                <w:sz w:val="20"/>
              </w:rPr>
              <w:t>]</w:t>
            </w:r>
          </w:p>
          <w:p>
            <w:pPr>
              <w:pStyle w:val="TableContents"/>
              <w:bidi w:val="0"/>
              <w:spacing w:before="0" w:after="240"/>
              <w:jc w:val="both"/>
              <w:rPr/>
            </w:pPr>
            <w:r>
              <w:rPr/>
              <w:t> </w:t>
            </w:r>
          </w:p>
        </w:tc>
      </w:tr>
      <w:tr>
        <w:trPr/>
        <w:tc>
          <w:tcPr>
            <w:tcW w:w="544" w:type="dxa"/>
            <w:tcBorders/>
            <w:tcMar>
              <w:top w:w="0" w:type="dxa"/>
              <w:left w:w="0" w:type="dxa"/>
              <w:bottom w:w="0" w:type="dxa"/>
              <w:right w:w="0" w:type="dxa"/>
            </w:tcMar>
            <w:vAlign w:val="center"/>
          </w:tcPr>
          <w:p>
            <w:pPr>
              <w:pStyle w:val="TableContents"/>
              <w:bidi w:val="0"/>
              <w:spacing w:before="0" w:after="283"/>
              <w:ind w:left="0" w:right="0" w:firstLine="17"/>
              <w:jc w:val="left"/>
              <w:rPr>
                <w:rFonts w:ascii="Times New Roman" w:hAnsi="Times New Roman"/>
                <w:color w:val="000000"/>
                <w:sz w:val="20"/>
              </w:rPr>
            </w:pPr>
            <w:r>
              <w:rPr>
                <w:rFonts w:ascii="Times New Roman" w:hAnsi="Times New Roman"/>
                <w:color w:val="000000"/>
                <w:sz w:val="20"/>
              </w:rPr>
              <w:t>By:</w:t>
            </w:r>
          </w:p>
        </w:tc>
        <w:tc>
          <w:tcPr>
            <w:tcW w:w="1166" w:type="dxa"/>
            <w:tcBorders>
              <w:bottom w:val="single" w:sz="4" w:space="0" w:color="000000"/>
            </w:tcBorders>
            <w:tcMar>
              <w:top w:w="0" w:type="dxa"/>
              <w:left w:w="0" w:type="dxa"/>
              <w:right w:w="0" w:type="dxa"/>
            </w:tcMar>
            <w:vAlign w:val="center"/>
          </w:tcPr>
          <w:p>
            <w:pPr>
              <w:pStyle w:val="TableContents"/>
              <w:bidi w:val="0"/>
              <w:spacing w:before="0" w:after="283"/>
              <w:ind w:left="0" w:right="0" w:firstLine="748"/>
              <w:jc w:val="left"/>
              <w:rPr/>
            </w:pPr>
            <w:r>
              <w:rPr/>
              <w:t> </w:t>
            </w:r>
          </w:p>
        </w:tc>
      </w:tr>
      <w:tr>
        <w:trPr/>
        <w:tc>
          <w:tcPr>
            <w:tcW w:w="1710" w:type="dxa"/>
            <w:gridSpan w:val="2"/>
            <w:tcBorders/>
            <w:tcMar>
              <w:top w:w="0" w:type="dxa"/>
              <w:left w:w="0" w:type="dxa"/>
              <w:bottom w:w="0" w:type="dxa"/>
              <w:right w:w="0" w:type="dxa"/>
            </w:tcMar>
            <w:vAlign w:val="center"/>
          </w:tcPr>
          <w:p>
            <w:pPr>
              <w:pStyle w:val="TableContents"/>
              <w:bidi w:val="0"/>
              <w:spacing w:before="0" w:after="283"/>
              <w:ind w:left="0" w:right="0" w:firstLine="748"/>
              <w:jc w:val="left"/>
              <w:rPr>
                <w:rFonts w:ascii="Times New Roman" w:hAnsi="Times New Roman"/>
                <w:color w:val="000000"/>
                <w:sz w:val="20"/>
              </w:rPr>
            </w:pPr>
            <w:r>
              <w:rPr>
                <w:rFonts w:ascii="Times New Roman" w:hAnsi="Times New Roman"/>
                <w:color w:val="000000"/>
                <w:sz w:val="20"/>
              </w:rPr>
              <w:t xml:space="preserve">Name: </w:t>
            </w:r>
          </w:p>
        </w:tc>
      </w:tr>
      <w:tr>
        <w:trPr/>
        <w:tc>
          <w:tcPr>
            <w:tcW w:w="1710" w:type="dxa"/>
            <w:gridSpan w:val="2"/>
            <w:tcBorders/>
            <w:tcMar>
              <w:top w:w="0" w:type="dxa"/>
              <w:left w:w="0" w:type="dxa"/>
              <w:bottom w:w="0" w:type="dxa"/>
              <w:right w:w="0" w:type="dxa"/>
            </w:tcMar>
            <w:vAlign w:val="center"/>
          </w:tcPr>
          <w:p>
            <w:pPr>
              <w:pStyle w:val="TableContents"/>
              <w:bidi w:val="0"/>
              <w:spacing w:before="0" w:after="283"/>
              <w:ind w:left="0" w:right="0" w:firstLine="748"/>
              <w:jc w:val="left"/>
              <w:rPr>
                <w:rFonts w:ascii="Times New Roman" w:hAnsi="Times New Roman"/>
                <w:color w:val="000000"/>
                <w:sz w:val="20"/>
              </w:rPr>
            </w:pPr>
            <w:r>
              <w:rPr>
                <w:rFonts w:ascii="Times New Roman" w:hAnsi="Times New Roman"/>
                <w:color w:val="000000"/>
                <w:sz w:val="20"/>
              </w:rPr>
              <w:t xml:space="preserve">Title: </w:t>
            </w:r>
          </w:p>
        </w:tc>
      </w:tr>
    </w:tbl>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Confirmed as of the date first above written: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EASTERLY GOVERNMENT PROPERTIES, INC.</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br/>
      </w:r>
      <w:r>
        <w:rPr>
          <w:rFonts w:ascii="Times New Roman" w:hAnsi="Times New Roman"/>
          <w:color w:val="000000"/>
          <w:sz w:val="20"/>
        </w:rPr>
        <w:t>Name:</w:t>
        <w:br/>
        <w:t>Title: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5" w:name="dea-ex5_1.htm"/>
      <w:bookmarkStart w:id="16" w:name="ksdeaex5_1"/>
      <w:bookmarkEnd w:id="15"/>
      <w:bookmarkEnd w:id="16"/>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5.1</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[Goodwin Procter LLP Letterhead]</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August 5, 2026</w:t>
      </w:r>
    </w:p>
    <w:p>
      <w:pPr>
        <w:pStyle w:val="TextBody"/>
        <w:bidi w:val="0"/>
        <w:jc w:val="left"/>
        <w:rPr>
          <w:rFonts w:ascii="Times New Roman" w:hAnsi="Times New Roman"/>
          <w:sz w:val="20"/>
        </w:rPr>
      </w:pPr>
      <w:r>
        <w:rPr>
          <w:rFonts w:ascii="Times New Roman" w:hAnsi="Times New Roman"/>
          <w:color w:val="000000"/>
          <w:sz w:val="24"/>
        </w:rPr>
        <w:t>Easterly Government Properties, Inc.</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2001 K Street NW, Suite 775 North</w:t>
      </w:r>
    </w:p>
    <w:p>
      <w:pPr>
        <w:pStyle w:val="TextBody"/>
        <w:bidi w:val="0"/>
        <w:jc w:val="left"/>
        <w:rPr>
          <w:rFonts w:ascii="Times New Roman" w:hAnsi="Times New Roman"/>
          <w:color w:val="000000"/>
          <w:sz w:val="24"/>
        </w:rPr>
      </w:pPr>
      <w:r>
        <w:rPr>
          <w:rFonts w:ascii="Times New Roman" w:hAnsi="Times New Roman"/>
          <w:color w:val="000000"/>
          <w:sz w:val="24"/>
        </w:rPr>
        <w:t>Washington, D.C. 20006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Re: </w:t>
      </w:r>
      <w:r>
        <w:rPr>
          <w:rFonts w:ascii="Times New Roman" w:hAnsi="Times New Roman"/>
          <w:color w:val="000000"/>
          <w:sz w:val="24"/>
          <w:u w:val="single"/>
        </w:rPr>
        <w:t>Securities Registered under Registration Statement on Form S-3</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We have acted as counsel to you in connection with your filing of a Registration Statement on Form S-3 (File No. 333-277434) (as amended or supplemented, the “Registration Statement”) filed on February 28, 2024 with the Securities and Exchange Commission (the “Commission”) pursuant to the Securities Act of 1933, as amended (the “Securities Act”), relating to the registration of the offering by Easterly Government Properties, Inc., a Maryland corporation (the “Company”), of any combination of securities of the types specified therein. The Registration Statement became effective upon filing with the Commission on February 28, 2024.</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Reference is made to our opinion letter dated February 28, 2024 and included as Exhibit 5.1 to the Registration Statement. We are delivering this supplemental opinion letter in connection with the prospectus supplement (the “Prospectus Supplement”) filed on August 4, 2026 by the Company with the Commission pursuant to Rule 424 under the Securities Act. The Prospectus Supplement relates to the offering by the Company of up to $214,982,308 in shares (the “Total Shares”) of the Company’s common stock, par value $0.01 per share (“Common Stock”), covered by the Registration Statement and being offered and sold pursuant to the (i) amended and restated equity distribution agreements, each dated as of August 4, 2026, listed on </w:t>
      </w:r>
      <w:r>
        <w:rPr>
          <w:rFonts w:ascii="Times New Roman" w:hAnsi="Times New Roman"/>
          <w:color w:val="000000"/>
          <w:sz w:val="24"/>
          <w:u w:val="single"/>
        </w:rPr>
        <w:t>Schedule I</w:t>
      </w:r>
      <w:r>
        <w:rPr>
          <w:rFonts w:ascii="Times New Roman" w:hAnsi="Times New Roman"/>
          <w:color w:val="000000"/>
          <w:sz w:val="20"/>
        </w:rPr>
        <w:t xml:space="preserve"> </w:t>
      </w:r>
      <w:r>
        <w:rPr>
          <w:rFonts w:ascii="Times New Roman" w:hAnsi="Times New Roman"/>
          <w:color w:val="000000"/>
          <w:sz w:val="24"/>
        </w:rPr>
        <w:t xml:space="preserve">hereto (collectively, the “Distribution Agreements”), (ii) master confirmations for non-contingent forward transactions, each dated as of August 4, 2026, listed on </w:t>
      </w:r>
      <w:r>
        <w:rPr>
          <w:rFonts w:ascii="Times New Roman" w:hAnsi="Times New Roman"/>
          <w:color w:val="000000"/>
          <w:sz w:val="24"/>
          <w:u w:val="single"/>
        </w:rPr>
        <w:t>Schedule I</w:t>
      </w:r>
      <w:r>
        <w:rPr>
          <w:rFonts w:ascii="Times New Roman" w:hAnsi="Times New Roman"/>
          <w:color w:val="000000"/>
          <w:sz w:val="20"/>
        </w:rPr>
        <w:t xml:space="preserve"> </w:t>
      </w:r>
      <w:r>
        <w:rPr>
          <w:rFonts w:ascii="Times New Roman" w:hAnsi="Times New Roman"/>
          <w:color w:val="000000"/>
          <w:sz w:val="24"/>
        </w:rPr>
        <w:t xml:space="preserve">hereto (collectively, the “Non-Contingent Forward Confirmations”), and (iii) master confirmations for contingent forward transactions, each dated as of August 4, 2026, listed on </w:t>
      </w:r>
      <w:r>
        <w:rPr>
          <w:rFonts w:ascii="Times New Roman" w:hAnsi="Times New Roman"/>
          <w:color w:val="000000"/>
          <w:sz w:val="24"/>
          <w:u w:val="single"/>
        </w:rPr>
        <w:t>Schedule I</w:t>
      </w:r>
      <w:r>
        <w:rPr>
          <w:rFonts w:ascii="Times New Roman" w:hAnsi="Times New Roman"/>
          <w:color w:val="000000"/>
          <w:sz w:val="20"/>
        </w:rPr>
        <w:t xml:space="preserve"> </w:t>
      </w:r>
      <w:r>
        <w:rPr>
          <w:rFonts w:ascii="Times New Roman" w:hAnsi="Times New Roman"/>
          <w:color w:val="000000"/>
          <w:sz w:val="24"/>
        </w:rPr>
        <w:t>hereto (collectively, the “Contingent Forward Confirmations” and, together with the Non-Contingent Forward Confirmations, the “Forward Confirmations”). Pursuant to the Distribution Agreements, the Total Shares may include (i) shares of Common Stock sold by the Company through or to the sales agents (the “Issuance Shares”) and (ii) shares of Common Stock borrowed by the forward purchasers (or their affiliates) from third parties and sold by the forward sellers (the “Forward Hedge Shares”) pursuant to one or more non-contingent forward transactions (a “Non-Contingent Forward”) and/or contingent forward transactions (a “Contingent Forward” and, together with a Non-Contingent Forward, the “Forwards”). Each Forward is to be governed by the terms of the applicable Forward Confirmation and related supplemental confirmations entered into for each Forward in accordance with the terms of the applicable Distribution Agreement. In connection with each Non-Contingent Forward, the relevant forward purchaser will agree to purchase from the Company (subject to the Company’s right to elect cash</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Easterly Government Properties, Inc.</w:t>
      </w:r>
    </w:p>
    <w:p>
      <w:pPr>
        <w:pStyle w:val="TextBody"/>
        <w:bidi w:val="0"/>
        <w:jc w:val="left"/>
        <w:rPr>
          <w:rFonts w:ascii="Times New Roman" w:hAnsi="Times New Roman"/>
          <w:color w:val="000000"/>
          <w:sz w:val="24"/>
        </w:rPr>
      </w:pPr>
      <w:r>
        <w:rPr>
          <w:rFonts w:ascii="Times New Roman" w:hAnsi="Times New Roman"/>
          <w:color w:val="000000"/>
          <w:sz w:val="24"/>
        </w:rPr>
        <w:t>August 5, 2026</w:t>
      </w:r>
    </w:p>
    <w:p>
      <w:pPr>
        <w:pStyle w:val="TextBody"/>
        <w:bidi w:val="0"/>
        <w:jc w:val="left"/>
        <w:rPr>
          <w:rFonts w:ascii="Times New Roman" w:hAnsi="Times New Roman"/>
          <w:color w:val="000000"/>
          <w:sz w:val="24"/>
        </w:rPr>
      </w:pPr>
      <w:r>
        <w:rPr>
          <w:rFonts w:ascii="Times New Roman" w:hAnsi="Times New Roman"/>
          <w:color w:val="000000"/>
          <w:sz w:val="24"/>
        </w:rPr>
        <w:t>Page 2</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settlement or net share settlement), a number of shares of Common Stock equal to the number of Forward Hedge Shares sold by the relevant forward seller pursuant to the applicable Distribution Agreement (the “Non-Contingent Settlement Shares”), subject to adjustment as set forth in the applicable Non-Contingent Forward Confirmation, for a purchase price equal to the price at which the Forward Hedge Shares were sold by the forward sellers, less certain commissions and subject to certain adjustments. In connection with each Contingent Forward, the relevant forward purchaser will agree to purchase from the Company, upon the exercise of the applicable contingency with respect to all or any portion of such Contingent Forward (subject to the Company’s right to elect cash settlement or net share settlement), the number of shares of Common Stock underlying the exercised portion of such Contingent Forward (the “Contingency Exercised Settlement Shares” and, together with the Non-Contingent Settlement Shares, the “Forward Settlement Shares”), for a purchase price based on the initial forward price agreed for such Contingent Forward, less certain commissions and subject to adjustments and the other terms set forth in the applicable Contingent Forward Confirmation. For purposes of this supplemental opinion letter, we refer to the Forward Settlement Shares, together with the Issuance Shares, as the “Shares.”</w:t>
      </w:r>
    </w:p>
    <w:p>
      <w:pPr>
        <w:pStyle w:val="TextBody"/>
        <w:bidi w:val="0"/>
        <w:jc w:val="left"/>
        <w:rPr>
          <w:rFonts w:ascii="Times New Roman" w:hAnsi="Times New Roman"/>
          <w:color w:val="000000"/>
          <w:sz w:val="24"/>
        </w:rPr>
      </w:pPr>
      <w:r>
        <w:rPr>
          <w:rFonts w:ascii="Times New Roman" w:hAnsi="Times New Roman"/>
          <w:color w:val="000000"/>
          <w:sz w:val="24"/>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purposes of the opinion set forth below, we have assumed that the Issuance Shares are issued, and the Forward Hedge Shares are sold, for a price per share equal to or greater than the minimum price authorized by the Company’s board of directors or a duly authorized committee thereof prior to the date hereof (the “Minimum Price”), that, in the case of each Contingent Forward, the initial forward price under such Contingent Forward is, as of the trade date of such Contingent Forward, equal to or greater than the Minimum Price, and that no event occurs that causes the number of authorized shares of Common Stock available for issuance by the Company to be less than the aggregate of (i) the maximum number of then unissued Issuance Shares that may be issued for the Minimum Price plus (ii) the maximum number of shares of Common Stock deliverable by the Company upon settlement of the Forwards that have not then settled (including, in the case of each Contingent Forward, the shares of Common Stock underlying any portion of such Contingent Forward as to which the applicable contingency has not then been exercised or expired).</w:t>
      </w:r>
    </w:p>
    <w:p>
      <w:pPr>
        <w:pStyle w:val="TextBody"/>
        <w:bidi w:val="0"/>
        <w:jc w:val="left"/>
        <w:rPr>
          <w:rFonts w:ascii="Times New Roman" w:hAnsi="Times New Roman"/>
          <w:color w:val="000000"/>
          <w:sz w:val="24"/>
        </w:rPr>
      </w:pPr>
      <w:r>
        <w:rPr>
          <w:rFonts w:ascii="Times New Roman" w:hAnsi="Times New Roman"/>
          <w:color w:val="000000"/>
          <w:sz w:val="24"/>
        </w:rPr>
        <w:t>The opinion set forth below is limited to the Maryland General Corporation Law.</w:t>
      </w:r>
    </w:p>
    <w:p>
      <w:pPr>
        <w:pStyle w:val="TextBody"/>
        <w:bidi w:val="0"/>
        <w:spacing w:before="180" w:after="283"/>
        <w:jc w:val="left"/>
        <w:rPr>
          <w:rFonts w:ascii="Times New Roman" w:hAnsi="Times New Roman"/>
          <w:color w:val="000000"/>
          <w:sz w:val="24"/>
        </w:rPr>
      </w:pPr>
      <w:r>
        <w:rPr>
          <w:rFonts w:ascii="Times New Roman" w:hAnsi="Times New Roman"/>
          <w:color w:val="000000"/>
          <w:sz w:val="24"/>
        </w:rPr>
        <w:t>Based on the foregoing, we are of the opinion that the Shares have been duly authorized and, when issued, delivered and paid for in accordance with a Distribution Agreement and/or a Forward Confirmation (and a related, duly authorized supplemental confirmation), as applicable, and in exchange for a price per share equal to or greater than the Minimum Price (or in net share settlement of a Forward Confirmation (and a related, duly authorized supplemental confirmation)), will be validly issued, fully paid and nonassessable.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Easterly Government Properties, Inc.</w:t>
      </w:r>
    </w:p>
    <w:p>
      <w:pPr>
        <w:pStyle w:val="TextBody"/>
        <w:bidi w:val="0"/>
        <w:jc w:val="left"/>
        <w:rPr>
          <w:rFonts w:ascii="Times New Roman" w:hAnsi="Times New Roman"/>
          <w:color w:val="000000"/>
          <w:sz w:val="24"/>
        </w:rPr>
      </w:pPr>
      <w:r>
        <w:rPr>
          <w:rFonts w:ascii="Times New Roman" w:hAnsi="Times New Roman"/>
          <w:color w:val="000000"/>
          <w:sz w:val="24"/>
        </w:rPr>
        <w:t>August 5, 2026</w:t>
      </w:r>
    </w:p>
    <w:p>
      <w:pPr>
        <w:pStyle w:val="TextBody"/>
        <w:bidi w:val="0"/>
        <w:jc w:val="left"/>
        <w:rPr>
          <w:rFonts w:ascii="Times New Roman" w:hAnsi="Times New Roman"/>
          <w:color w:val="000000"/>
          <w:sz w:val="24"/>
        </w:rPr>
      </w:pPr>
      <w:r>
        <w:rPr>
          <w:rFonts w:ascii="Times New Roman" w:hAnsi="Times New Roman"/>
          <w:color w:val="000000"/>
          <w:sz w:val="24"/>
        </w:rPr>
        <w:t>Page 3</w:t>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color w:val="000000"/>
          <w:sz w:val="24"/>
        </w:rPr>
        <w:t xml:space="preserve">This supplemental opinion letter and the opinion it contains shall be interpreted in accordance with the Core Opinion Principles as published in 74 </w:t>
      </w:r>
      <w:r>
        <w:rPr>
          <w:rFonts w:ascii="Times New Roman" w:hAnsi="Times New Roman"/>
          <w:i/>
          <w:color w:val="000000"/>
          <w:sz w:val="24"/>
        </w:rPr>
        <w:t>Business Lawyer</w:t>
      </w:r>
      <w:r>
        <w:rPr>
          <w:rFonts w:ascii="Times New Roman" w:hAnsi="Times New Roman"/>
          <w:color w:val="000000"/>
          <w:sz w:val="20"/>
        </w:rPr>
        <w:t xml:space="preserve"> </w:t>
      </w:r>
      <w:r>
        <w:rPr>
          <w:rFonts w:ascii="Times New Roman" w:hAnsi="Times New Roman"/>
          <w:color w:val="000000"/>
          <w:sz w:val="24"/>
        </w:rPr>
        <w:t>815 (Summer 2019).</w:t>
      </w:r>
    </w:p>
    <w:p>
      <w:pPr>
        <w:pStyle w:val="TextBody"/>
        <w:bidi w:val="0"/>
        <w:jc w:val="left"/>
        <w:rPr>
          <w:rFonts w:ascii="Times New Roman" w:hAnsi="Times New Roman"/>
          <w:color w:val="000000"/>
          <w:sz w:val="24"/>
        </w:rPr>
      </w:pPr>
      <w:r>
        <w:rPr>
          <w:rFonts w:ascii="Times New Roman" w:hAnsi="Times New Roman"/>
          <w:color w:val="000000"/>
          <w:sz w:val="24"/>
        </w:rPr>
        <w:t>We hereby consent to the inclusion of this supplemental opinion letter as Exhibit 5.1 to the Company’s Current Report on Form 8-K dated August 4, 2026, which is incorporated by reference into the Registration Statement and to the references to our firm under the caption “Legal Matters” in the Registration Statement and Prospectus Supplement. In giving our consent, we do not admit that we are in the category of persons whose consent is required under Section 7 of the Securities Act or the rules and regulations thereunder.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Very truly yours,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 Goodwin Procter LLP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GOODWIN PROCTER </w:t>
      </w:r>
      <w:r>
        <w:rPr>
          <w:rFonts w:ascii="Times New Roman" w:hAnsi="Times New Roman"/>
          <w:color w:val="000000"/>
          <w:sz w:val="18"/>
        </w:rPr>
        <w:t>LLP</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I</w:t>
      </w:r>
    </w:p>
    <w:p>
      <w:pPr>
        <w:pStyle w:val="TextBody"/>
        <w:bidi w:val="0"/>
        <w:spacing w:before="0" w:after="240"/>
        <w:jc w:val="left"/>
        <w:rPr/>
      </w:pPr>
      <w:r>
        <w:rPr/>
        <w:t> </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Amended and Restated Equity Distribution Agreements: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rFonts w:ascii="Times New Roman" w:hAnsi="Times New Roman"/>
          <w:color w:val="000000"/>
          <w:sz w:val="24"/>
        </w:rPr>
      </w:pPr>
      <w:r>
        <w:rPr>
          <w:rFonts w:ascii="Times New Roman" w:hAnsi="Times New Roman"/>
          <w:color w:val="000000"/>
          <w:sz w:val="24"/>
        </w:rPr>
        <w:t>Amended and Restated Equity Distribution Agreement, dated as of August 4, 2026, by and among the Company, the Operating Partnership, Citigroup Global Markets Inc., as sales agent and/or principal, Citibank N.A., as forward purchaser and Citigroup Global Markets Inc. as agent for Citibank N.A., as forward seller.</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Amended and Restated Equity Distribution Agreement, dated as of August 4, 2026, by and among the Company, the Operating Partnership, BMO Capital Markets Corp., as sales agent and/or principal and as forward seller, and Bank of Montreal, as forward purchaser.</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rFonts w:ascii="Times New Roman" w:hAnsi="Times New Roman"/>
          <w:color w:val="000000"/>
          <w:sz w:val="24"/>
        </w:rPr>
      </w:pPr>
      <w:r>
        <w:rPr>
          <w:rFonts w:ascii="Times New Roman" w:hAnsi="Times New Roman"/>
          <w:color w:val="000000"/>
          <w:sz w:val="24"/>
        </w:rPr>
        <w:t>Amended and Restated Equity Distribution Agreement, dated as of August 4, 2026, by and among the Company, the Operating Partnership, BTIG, LLC, as sales agent and/or principal, Nomura Securities International, Inc., as forward seller, and Nomura Global Financial Products, Inc., as forward purchaser.</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jc w:val="both"/>
        <w:rPr>
          <w:rFonts w:ascii="Times New Roman" w:hAnsi="Times New Roman"/>
          <w:color w:val="000000"/>
          <w:sz w:val="24"/>
        </w:rPr>
      </w:pPr>
      <w:r>
        <w:rPr>
          <w:rFonts w:ascii="Times New Roman" w:hAnsi="Times New Roman"/>
          <w:color w:val="000000"/>
          <w:sz w:val="24"/>
        </w:rPr>
        <w:t>Amended and Restated Equity Distribution Agreement, dated as of August 4, 2026, by and among the Company, the Operating Partnership and Jefferies LLC, as sales agent and/or principal, forward seller and as forward purchaser.</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5.</w:t>
      </w:r>
    </w:p>
    <w:p>
      <w:pPr>
        <w:pStyle w:val="TextBody"/>
        <w:bidi w:val="0"/>
        <w:jc w:val="both"/>
        <w:rPr>
          <w:rFonts w:ascii="Times New Roman" w:hAnsi="Times New Roman"/>
          <w:color w:val="000000"/>
          <w:sz w:val="24"/>
        </w:rPr>
      </w:pPr>
      <w:r>
        <w:rPr>
          <w:rFonts w:ascii="Times New Roman" w:hAnsi="Times New Roman"/>
          <w:color w:val="000000"/>
          <w:sz w:val="24"/>
        </w:rPr>
        <w:t>Amended and Restated Equity Distribution Agreement, dated as of August 4, 2026, by and among the Company, the Operating Partnership and Raymond James &amp; Associates, Inc., as sales agent and/or principal, forward seller and as forward purchaser.</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6.</w:t>
      </w:r>
    </w:p>
    <w:p>
      <w:pPr>
        <w:pStyle w:val="TextBody"/>
        <w:bidi w:val="0"/>
        <w:jc w:val="both"/>
        <w:rPr>
          <w:rFonts w:ascii="Times New Roman" w:hAnsi="Times New Roman"/>
          <w:color w:val="000000"/>
          <w:sz w:val="24"/>
        </w:rPr>
      </w:pPr>
      <w:r>
        <w:rPr>
          <w:rFonts w:ascii="Times New Roman" w:hAnsi="Times New Roman"/>
          <w:color w:val="000000"/>
          <w:sz w:val="24"/>
        </w:rPr>
        <w:t>Amended and Restated Equity Distribution Agreement, dated as of August 4, 2026, by and among the Company, the Operating Partnership, RBC Capital Markets, LLC, as sales agent and/or principal and as forward seller, and Royal Bank of Canada, as forward purchaser.</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7.</w:t>
      </w:r>
    </w:p>
    <w:p>
      <w:pPr>
        <w:pStyle w:val="TextBody"/>
        <w:bidi w:val="0"/>
        <w:jc w:val="both"/>
        <w:rPr>
          <w:rFonts w:ascii="Times New Roman" w:hAnsi="Times New Roman"/>
          <w:color w:val="000000"/>
          <w:sz w:val="24"/>
        </w:rPr>
      </w:pPr>
      <w:r>
        <w:rPr>
          <w:rFonts w:ascii="Times New Roman" w:hAnsi="Times New Roman"/>
          <w:color w:val="000000"/>
          <w:sz w:val="24"/>
        </w:rPr>
        <w:t>Amended and Restated Equity Distribution Agreement, dated as of August 4, 2026, by and among the Company, the Operating Partnership, Truist Securities, Inc., as sales agent and/or principal and as forward seller, and Truist Bank, as forward purchaser.</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8.</w:t>
      </w:r>
    </w:p>
    <w:p>
      <w:pPr>
        <w:pStyle w:val="TextBody"/>
        <w:bidi w:val="0"/>
        <w:jc w:val="both"/>
        <w:rPr>
          <w:rFonts w:ascii="Times New Roman" w:hAnsi="Times New Roman"/>
          <w:color w:val="000000"/>
          <w:sz w:val="24"/>
        </w:rPr>
      </w:pPr>
      <w:r>
        <w:rPr>
          <w:rFonts w:ascii="Times New Roman" w:hAnsi="Times New Roman"/>
          <w:color w:val="000000"/>
          <w:sz w:val="24"/>
        </w:rPr>
        <w:t>Amended and Restated Equity Distribution Agreement, dated as of August 4, 2026, by and among the Company, the Operating Partnership, Wells Fargo Securities, LLC, as sales agent and/or principal and as forward seller, and Wells Fargo Bank, National Association, as forward purchaser.</w:t>
      </w:r>
    </w:p>
    <w:p>
      <w:pPr>
        <w:pStyle w:val="TextBody"/>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Schedule I-1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9.</w:t>
      </w:r>
    </w:p>
    <w:p>
      <w:pPr>
        <w:pStyle w:val="TextBody"/>
        <w:bidi w:val="0"/>
        <w:jc w:val="both"/>
        <w:rPr>
          <w:rFonts w:ascii="Times New Roman" w:hAnsi="Times New Roman"/>
          <w:color w:val="000000"/>
          <w:sz w:val="24"/>
        </w:rPr>
      </w:pPr>
      <w:r>
        <w:rPr>
          <w:rFonts w:ascii="Times New Roman" w:hAnsi="Times New Roman"/>
          <w:color w:val="000000"/>
          <w:sz w:val="24"/>
        </w:rPr>
        <w:t>Amended and Restated Equity Distribution Agreement, dated as of August 4, 2026, by and among the Company, the Operating Partnership and Compass Point Research and Trading, LLC, as sales agent and/or principal.</w:t>
      </w:r>
    </w:p>
    <w:p>
      <w:pPr>
        <w:pStyle w:val="TextBody"/>
        <w:bidi w:val="0"/>
        <w:jc w:val="left"/>
        <w:rPr/>
      </w:pPr>
      <w:r>
        <w:rPr/>
        <w:t> </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Master Confirmations for Non-Contingent Forward Transactions: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Master Confirmation for Non-Contingent Forward Transactions, dated as of August 4, 2026, by and between the Company and Citibank N.A.</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Master Confirmation for Non-Contingent Forward Transactions, dated as of August 4, 2026, by and among the Company, BMO Capital Markets Corp., as agent for Bank of Montreal, and Bank of Montreal.</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24"/>
        </w:rPr>
      </w:pPr>
      <w:r>
        <w:rPr>
          <w:rFonts w:ascii="Times New Roman" w:hAnsi="Times New Roman"/>
          <w:color w:val="000000"/>
          <w:sz w:val="24"/>
        </w:rPr>
        <w:t>Master Confirmation for Non-Contingent Forward Transactions, dated as of August 4, 2026, by and between the Company and Jefferies LLC.</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olor w:val="000000"/>
          <w:sz w:val="24"/>
        </w:rPr>
      </w:pPr>
      <w:r>
        <w:rPr>
          <w:rFonts w:ascii="Times New Roman" w:hAnsi="Times New Roman"/>
          <w:color w:val="000000"/>
          <w:sz w:val="24"/>
        </w:rPr>
        <w:t>Master Confirmation for Non-Contingent Forward Transactions, dated as of August 4, 2026, by and between the Company and Raymond James &amp; Associates, Inc.</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5.</w:t>
      </w:r>
    </w:p>
    <w:p>
      <w:pPr>
        <w:pStyle w:val="TextBody"/>
        <w:bidi w:val="0"/>
        <w:jc w:val="left"/>
        <w:rPr>
          <w:rFonts w:ascii="Times New Roman" w:hAnsi="Times New Roman"/>
          <w:color w:val="000000"/>
          <w:sz w:val="24"/>
        </w:rPr>
      </w:pPr>
      <w:r>
        <w:rPr>
          <w:rFonts w:ascii="Times New Roman" w:hAnsi="Times New Roman"/>
          <w:color w:val="000000"/>
          <w:sz w:val="24"/>
        </w:rPr>
        <w:t>Master Confirmation for Non-Contingent Forward Transactions, dated as of August 4, 2026, by and among the Company, RBC Capital Markets, LLC, as agent for Royal Bank of Canada, and Royal Bank of Canada.</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0"/>
        <w:jc w:val="left"/>
        <w:rPr/>
      </w:pPr>
      <w:r>
        <w:rPr>
          <w:rFonts w:ascii="Times New Roman" w:hAnsi="Times New Roman"/>
          <w:color w:val="000000"/>
          <w:sz w:val="24"/>
        </w:rPr>
        <w:t>Master Confirmation for Non-Contingent Forward Transactions, dated as of August 4, 2026, by and among the Company, Wells Fargo Securities, LLC, as agent for Wells Fargo Bank, National Association, and Wells Fargo Bank, National Association.</w:t>
        <w:br/>
      </w: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7.</w:t>
      </w:r>
    </w:p>
    <w:p>
      <w:pPr>
        <w:pStyle w:val="TextBody"/>
        <w:bidi w:val="0"/>
        <w:jc w:val="left"/>
        <w:rPr>
          <w:rFonts w:ascii="Times New Roman" w:hAnsi="Times New Roman"/>
          <w:color w:val="000000"/>
          <w:sz w:val="24"/>
        </w:rPr>
      </w:pPr>
      <w:r>
        <w:rPr>
          <w:rFonts w:ascii="Times New Roman" w:hAnsi="Times New Roman"/>
          <w:color w:val="000000"/>
          <w:sz w:val="24"/>
        </w:rPr>
        <w:t>Master Confirmation for Non-Contingent Forward Transactions, dated as of August 4, 2026, by and between the Company and Nomura Global Financial Products, Inc.</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8.</w:t>
      </w:r>
    </w:p>
    <w:p>
      <w:pPr>
        <w:pStyle w:val="TextBody"/>
        <w:bidi w:val="0"/>
        <w:jc w:val="left"/>
        <w:rPr>
          <w:rFonts w:ascii="Times New Roman" w:hAnsi="Times New Roman"/>
          <w:color w:val="000000"/>
          <w:sz w:val="24"/>
        </w:rPr>
      </w:pPr>
      <w:r>
        <w:rPr>
          <w:rFonts w:ascii="Times New Roman" w:hAnsi="Times New Roman"/>
          <w:color w:val="000000"/>
          <w:sz w:val="24"/>
        </w:rPr>
        <w:t>Master Confirmation for Non-Contingent Forward Transactions, dated as of August 4, 2026, by and among the Company, Truist Securities, Inc., as agent for Truist Bank, and Truist Bank.</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Master Confirmations for Contingent Forward Transactions:</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Master Confirmation for Contingent Forward Transactions, dated as of August 4, 2026, by and between the Company and Jefferies LLC.</w:t>
      </w:r>
    </w:p>
    <w:p>
      <w:pPr>
        <w:pStyle w:val="TextBody"/>
        <w:bidi w:val="0"/>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Master Confirmation for Contingent Forward Transactions, dated as of August 4, 2026, by and between the Company and Citibank N.A.</w:t>
      </w:r>
    </w:p>
    <w:p>
      <w:pPr>
        <w:pStyle w:val="TextBody"/>
        <w:bidi w:val="0"/>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3.</w:t>
      </w:r>
    </w:p>
    <w:p>
      <w:pPr>
        <w:pStyle w:val="TextBody"/>
        <w:bidi w:val="0"/>
        <w:jc w:val="left"/>
        <w:rPr>
          <w:rFonts w:ascii="Times New Roman" w:hAnsi="Times New Roman"/>
          <w:color w:val="000000"/>
          <w:sz w:val="24"/>
        </w:rPr>
      </w:pPr>
      <w:r>
        <w:rPr>
          <w:rFonts w:ascii="Times New Roman" w:hAnsi="Times New Roman"/>
          <w:color w:val="000000"/>
          <w:sz w:val="24"/>
        </w:rPr>
        <w:t>Master Confirmation for Contingent Forward Transactions, dated as of August 4, 2026, by and among the Company, RBC Capital Markets, LLC, as agent for Royal Bank of Canada, and Royal Bank of Canada.</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Schedule I-2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4.</w:t>
      </w:r>
    </w:p>
    <w:p>
      <w:pPr>
        <w:pStyle w:val="TextBody"/>
        <w:bidi w:val="0"/>
        <w:jc w:val="both"/>
        <w:rPr>
          <w:rFonts w:ascii="Times New Roman" w:hAnsi="Times New Roman"/>
          <w:color w:val="000000"/>
          <w:sz w:val="24"/>
        </w:rPr>
      </w:pPr>
      <w:r>
        <w:rPr>
          <w:rFonts w:ascii="Times New Roman" w:hAnsi="Times New Roman"/>
          <w:color w:val="000000"/>
          <w:sz w:val="24"/>
        </w:rPr>
        <w:t>Master Confirmation for Contingent Forward Transactions, dated as of August 4, 2026, by and among the Company, Truist Securities, Inc., as agent for Truist Bank, and Truist Bank.</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5.</w:t>
      </w:r>
    </w:p>
    <w:p>
      <w:pPr>
        <w:pStyle w:val="TextBody"/>
        <w:bidi w:val="0"/>
        <w:jc w:val="both"/>
        <w:rPr>
          <w:rFonts w:ascii="Times New Roman" w:hAnsi="Times New Roman"/>
          <w:color w:val="000000"/>
          <w:sz w:val="24"/>
        </w:rPr>
      </w:pPr>
      <w:r>
        <w:rPr>
          <w:rFonts w:ascii="Times New Roman" w:hAnsi="Times New Roman"/>
          <w:color w:val="000000"/>
          <w:sz w:val="24"/>
        </w:rPr>
        <w:t>Master Confirmation for Contingent Forward Transactions, dated as of August 4, 2026, by and among the Company, Wells Fargo Securities, LLC, as agent for Wells Fargo Bank, National Association, and Wells Fargo Bank, National Association.</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Schedule I-3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71252</Words>
  <Characters>372961</Characters>
  <CharactersWithSpaces>443329</CharactersWithSpaces>
  <Paragraphs>2349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