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Easterly Government Properties,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20" w:type="dxa"/>
        <w:tblCellMar>
          <w:top w:w="0" w:type="dxa"/>
          <w:left w:w="0" w:type="dxa"/>
          <w:bottom w:w="0" w:type="dxa"/>
          <w:right w:w="0" w:type="dxa"/>
        </w:tblCellMar>
      </w:tblPr>
      <w:tr>
        <w:trPr>
          <w:trHeight w:val="222"/>
        </w:trPr>
        <w:tc>
          <w:tcPr>
            <w:tcW w:w="3220" w:type="dxa"/>
            <w:vAlign w:val="bottom"/>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1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001-36834</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47-2047728</w:t>
            </w:r>
          </w:p>
        </w:tc>
      </w:tr>
      <w:tr>
        <w:trPr>
          <w:trHeight w:val="148"/>
        </w:trPr>
        <w:tc>
          <w:tcPr>
            <w:tcW w:w="3220" w:type="dxa"/>
            <w:vAlign w:val="bottom"/>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80" w:type="dxa"/>
            <w:vAlign w:val="bottom"/>
          </w:tcPr>
          <w:p>
            <w:pPr>
              <w:jc w:val="center"/>
              <w:ind w:right="3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20" w:type="dxa"/>
            <w:vAlign w:val="bottom"/>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220" w:type="dxa"/>
            <w:vAlign w:val="bottom"/>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2001 K Street NW</w:t>
            </w:r>
          </w:p>
        </w:tc>
        <w:tc>
          <w:tcPr>
            <w:tcW w:w="31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220" w:type="dxa"/>
            <w:vAlign w:val="bottom"/>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Suite 775 North</w:t>
            </w:r>
          </w:p>
        </w:tc>
        <w:tc>
          <w:tcPr>
            <w:tcW w:w="31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220" w:type="dxa"/>
            <w:vAlign w:val="bottom"/>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Washington, District of Columbia</w:t>
            </w:r>
          </w:p>
        </w:tc>
        <w:tc>
          <w:tcPr>
            <w:tcW w:w="31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20006</w:t>
            </w:r>
          </w:p>
        </w:tc>
      </w:tr>
      <w:tr>
        <w:trPr>
          <w:trHeight w:val="178"/>
        </w:trPr>
        <w:tc>
          <w:tcPr>
            <w:tcW w:w="3220" w:type="dxa"/>
            <w:vAlign w:val="bottom"/>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(202) 595-9500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Common Stock</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Term Loan Agreement</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June 25, 2026, Easterly Government Properties, Inc. (the “Company”), its operating partnership, Easterly Government Properties LP (the “Operating Partnership”), and certain subsidiaries of the Operating Partnership entered into a term loan agreement (the “2026 Term Loan Agreement”) with PNC Bank, National Association, as administrative agent, U.S. Bank National Association and Truist Bank, as syndication agents, U.S. Bank National Association, PNC Capital Markets LLC, Truist Securities, Inc. and Wells Fargo Securities, LLC, as joint lead arrangers, and U.S. Bank National Association, PNC Capital Markets LLC and Truist Securities, Inc., as joint bookrunners, and the initial lenders named therein (collectively, the “Lenders”).</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2026 Term Loan Agreement provides for a $200.0 million senior unsecured term loan, which includes an accordion feature that provides the Company with additional capacity, subject to the satisfaction of customary terms and conditions, of up to $50.0 million for a total facility size of $250.0 million (the “2026 Term Loan”). The 2026 Term Loan will mature in June 2031.</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Borrowings under the 2026 Term Loan will, at the Operating Partnership’s option, bear interest at floating rates equal to either (i) a fluctuating rate equal to the sum of (a) the highest of (x) PNC Bank’s base rate, (y) the federal funds effective rate plus 0.50% and (z) the one-month adjusted term secured overnight financing (“SOFR”) rate plus 1.00%, plus, in each case, (b) a margin ranging from 0.20% to 0.70% based on the Company’s leverage ratio, (ii) the daily simple SOFR (the “DSS”), or (iii) the term SOFR (the “Term SOFR”), plus, in the case of borrowings bearing interest at DSS or Term SOFR, a margin ranging from 1.20% to 1.70% based on the Company’s leverage ratio.</w:t>
      </w:r>
    </w:p>
    <w:p>
      <w:pPr>
        <w:spacing w:after="0" w:line="18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2026 Term Loan Agreement also contains certain customary covenants, including but not limited to financial covenants that require the Company to maintain maximum ratios of consolidated total indebtedness, consolidated secured indebtedness and consolidated secured recourse indebtedness to total asset value, and a minimum consolidated fixed charge ratio.</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Operating Partnership’s obligations under the 2026 Term Loan Agreement are initially fully and unconditionally guaranteed by the Company and certain of their subsidiaries.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Eleventh Amendment to 2016 Term Loan Agreement</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June 25, 2026, the Company, the Operating Partnership, and certain subsidiaries of the Operating Partnership entered into an eleventh amendment (the “</w:t>
      </w:r>
      <w:r>
        <w:rPr>
          <w:rFonts w:ascii="Times New Roman" w:cs="Times New Roman" w:eastAsia="Times New Roman" w:hAnsi="Times New Roman"/>
          <w:sz w:val="18"/>
          <w:szCs w:val="18"/>
          <w:u w:val="single" w:color="auto"/>
          <w:color w:val="auto"/>
        </w:rPr>
        <w:t>Eleventh Amendment</w:t>
      </w:r>
      <w:r>
        <w:rPr>
          <w:rFonts w:ascii="Times New Roman" w:cs="Times New Roman" w:eastAsia="Times New Roman" w:hAnsi="Times New Roman"/>
          <w:sz w:val="18"/>
          <w:szCs w:val="18"/>
          <w:color w:val="auto"/>
        </w:rPr>
        <w:t>”) to its senior unsecured term loan agreement, dated as of September 29, 2016 (as amended, the “</w:t>
      </w:r>
      <w:r>
        <w:rPr>
          <w:rFonts w:ascii="Times New Roman" w:cs="Times New Roman" w:eastAsia="Times New Roman" w:hAnsi="Times New Roman"/>
          <w:sz w:val="18"/>
          <w:szCs w:val="18"/>
          <w:u w:val="single" w:color="auto"/>
          <w:color w:val="auto"/>
        </w:rPr>
        <w:t>2016 Term Loan Agreement</w:t>
      </w:r>
      <w:r>
        <w:rPr>
          <w:rFonts w:ascii="Times New Roman" w:cs="Times New Roman" w:eastAsia="Times New Roman" w:hAnsi="Times New Roman"/>
          <w:sz w:val="18"/>
          <w:szCs w:val="18"/>
          <w:color w:val="auto"/>
        </w:rPr>
        <w:t>”), with PNC Bank, National Association, as administrative agent and a lender, and U.S. Bank National Association and Truist Bank, as lenders.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Eleventh Amendment removes the credit spread adjustment applicable to SOFR-based borrowings under the 2016 Term Loan Agreement, consistent with the 2026 Term Loan Agreement. Other than the foregoing, the material terms of the 2016 Term Loan Agreement remain unchanged.</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Certain of the banks and financial institutions that are parties to the 2026 Term Loan Agreement and/or the Eleventh Amendment and their respective affiliates have in the past provided, are currently providing, and in the future may continue to provide investment banking, commercial banking and other financial services to the Company and its affiliates in the ordinary course of business for which they have received and will receive customary compensation.</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2026 Term Loan Agreement and the Eleventh Amendment does not purport to be complete and is qualified in its entirety by reference to the full text of the 2026 Term Loan Agreement and the Eleventh Amendment, which are filed as Exhibits 10.1 and 10.2 hereto, respectively, and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the direct financial obligations are summarized under Item 1.01 of this Current Report and are incorporated by reference in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2026, the Company issued a press release announcing the terms of the 2026 Term Loan Agreement. A copy of that press release is furnished as Exhibit 99.1 to this Current Report. The information in this Item 7.01 of this Current Report, including Exhibit 99.1 attached hereto, is being furnished and shall not be deemed “filed” for purposes of Section 18 of the Securities Exchange Act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ind w:right="20"/>
        <w:spacing w:after="0" w:line="282" w:lineRule="auto"/>
        <w:rPr>
          <w:sz w:val="20"/>
          <w:szCs w:val="20"/>
          <w:color w:val="auto"/>
        </w:rPr>
      </w:pPr>
      <w:r>
        <w:rPr>
          <w:rFonts w:ascii="Times New Roman" w:cs="Times New Roman" w:eastAsia="Times New Roman" w:hAnsi="Times New Roman"/>
          <w:sz w:val="18"/>
          <w:szCs w:val="18"/>
          <w:color w:val="auto"/>
        </w:rPr>
        <w:t>1934, as amended (the “Exchange Act”), or otherwise subject to the liabilities of that Section, nor shall such information be deemed incorporated by reference into any filing under the Securities Act of 1933, as amended, or the Exchange Act regardless of any general incorporation language in such filing.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w:t>
            </w:r>
          </w:p>
        </w:tc>
        <w:tc>
          <w:tcPr>
            <w:tcW w:w="66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9040" w:type="dxa"/>
            <w:vAlign w:val="bottom"/>
            <w:gridSpan w:val="10"/>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2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Number</w:t>
            </w:r>
          </w:p>
        </w:tc>
        <w:tc>
          <w:tcPr>
            <w:tcW w:w="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04"/>
        </w:trPr>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660" w:type="dxa"/>
            <w:vAlign w:val="bottom"/>
          </w:tcPr>
          <w:p>
            <w:pPr>
              <w:spacing w:after="0"/>
              <w:rPr>
                <w:sz w:val="24"/>
                <w:szCs w:val="24"/>
                <w:color w:val="auto"/>
              </w:rPr>
            </w:pPr>
          </w:p>
        </w:tc>
        <w:tc>
          <w:tcPr>
            <w:tcW w:w="9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Term Loan Agreement, dated as of June 25, 2026, by and among the Company, the Operating Partnership, the Guarantors named</w:t>
            </w:r>
          </w:p>
        </w:tc>
        <w:tc>
          <w:tcPr>
            <w:tcW w:w="540" w:type="dxa"/>
            <w:vAlign w:val="bottom"/>
            <w:gridSpan w:val="5"/>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therein, PNC Bank, National Association, as Administrative Agent, U.S. Bank National Association and Truist Bank, as Syndication</w:t>
            </w:r>
          </w:p>
        </w:tc>
        <w:tc>
          <w:tcPr>
            <w:tcW w:w="280" w:type="dxa"/>
            <w:vAlign w:val="bottom"/>
            <w:gridSpan w:val="2"/>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Agents, U.S. Bank National Association, PNC Capital Markets LLC, Truist Securities, Inc. and Wells Fargo Securities, LLC, as Joint</w:t>
            </w:r>
          </w:p>
        </w:tc>
        <w:tc>
          <w:tcPr>
            <w:tcW w:w="2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Lead Arrangers, and U.S. Bank National Association, PNC Capital Markets LLC, and Truist Securities, Inc., as Joint Bookrunners</w:t>
            </w:r>
          </w:p>
        </w:tc>
        <w:tc>
          <w:tcPr>
            <w:tcW w:w="440" w:type="dxa"/>
            <w:vAlign w:val="bottom"/>
            <w:gridSpan w:val="4"/>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and the Initial Lenders named therein</w:t>
            </w:r>
          </w:p>
        </w:tc>
      </w:tr>
      <w:tr>
        <w:trPr>
          <w:trHeight w:val="20"/>
        </w:trPr>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r>
      <w:tr>
        <w:trPr>
          <w:trHeight w:val="196"/>
        </w:trPr>
        <w:tc>
          <w:tcPr>
            <w:tcW w:w="7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660" w:type="dxa"/>
            <w:vAlign w:val="bottom"/>
          </w:tcPr>
          <w:p>
            <w:pPr>
              <w:spacing w:after="0"/>
              <w:rPr>
                <w:sz w:val="17"/>
                <w:szCs w:val="17"/>
                <w:color w:val="auto"/>
              </w:rPr>
            </w:pPr>
          </w:p>
        </w:tc>
        <w:tc>
          <w:tcPr>
            <w:tcW w:w="95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Eleventh Amendment to Term Loan Agreement, dated as of June 25, 2026, by and among the Company, the Operating Partnership,</w:t>
            </w:r>
          </w:p>
        </w:tc>
        <w:tc>
          <w:tcPr>
            <w:tcW w:w="360" w:type="dxa"/>
            <w:vAlign w:val="bottom"/>
            <w:gridSpan w:val="3"/>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the Guarantors named therein, PNC Bank, National Association, as Administrative Agent and a Lender, and U.S. Bank National</w:t>
            </w:r>
          </w:p>
        </w:tc>
        <w:tc>
          <w:tcPr>
            <w:tcW w:w="600" w:type="dxa"/>
            <w:vAlign w:val="bottom"/>
            <w:gridSpan w:val="6"/>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9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Association and Truist Bank, as Lenders</w:t>
            </w:r>
          </w:p>
        </w:tc>
        <w:tc>
          <w:tcPr>
            <w:tcW w:w="6920" w:type="dxa"/>
            <w:vAlign w:val="bottom"/>
            <w:gridSpan w:val="7"/>
          </w:tcPr>
          <w:p>
            <w:pPr>
              <w:spacing w:after="0"/>
              <w:rPr>
                <w:sz w:val="17"/>
                <w:szCs w:val="17"/>
                <w:color w:val="auto"/>
              </w:rPr>
            </w:pPr>
          </w:p>
        </w:tc>
      </w:tr>
      <w:tr>
        <w:trPr>
          <w:trHeight w:val="196"/>
        </w:trPr>
        <w:tc>
          <w:tcPr>
            <w:tcW w:w="7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660" w:type="dxa"/>
            <w:vAlign w:val="bottom"/>
          </w:tcPr>
          <w:p>
            <w:pPr>
              <w:spacing w:after="0"/>
              <w:rPr>
                <w:sz w:val="17"/>
                <w:szCs w:val="17"/>
                <w:color w:val="auto"/>
              </w:rPr>
            </w:pPr>
          </w:p>
        </w:tc>
        <w:tc>
          <w:tcPr>
            <w:tcW w:w="98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June 30, 2026</w:t>
            </w:r>
          </w:p>
        </w:tc>
      </w:tr>
      <w:tr>
        <w:trPr>
          <w:trHeight w:val="20"/>
        </w:trPr>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20" w:type="dxa"/>
            <w:vAlign w:val="bottom"/>
            <w:tcBorders>
              <w:right w:val="single" w:sz="8" w:color="0000EE"/>
            </w:tcBorders>
            <w:gridSpan w:val="2"/>
            <w:shd w:val="clear" w:color="auto" w:fill="0000FF"/>
          </w:tcPr>
          <w:p>
            <w:pPr>
              <w:spacing w:after="0" w:line="20" w:lineRule="exact"/>
              <w:rPr>
                <w:sz w:val="1"/>
                <w:szCs w:val="1"/>
                <w:color w:val="auto"/>
              </w:rPr>
            </w:pPr>
          </w:p>
        </w:tc>
        <w:tc>
          <w:tcPr>
            <w:tcW w:w="7360" w:type="dxa"/>
            <w:vAlign w:val="bottom"/>
            <w:gridSpan w:val="9"/>
          </w:tcPr>
          <w:p>
            <w:pPr>
              <w:spacing w:after="0" w:line="20" w:lineRule="exact"/>
              <w:rPr>
                <w:sz w:val="1"/>
                <w:szCs w:val="1"/>
                <w:color w:val="auto"/>
              </w:rPr>
            </w:pPr>
          </w:p>
        </w:tc>
      </w:tr>
      <w:tr>
        <w:trPr>
          <w:trHeight w:val="237"/>
        </w:trPr>
        <w:tc>
          <w:tcPr>
            <w:tcW w:w="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0"/>
                <w:szCs w:val="20"/>
                <w:color w:val="auto"/>
              </w:rPr>
            </w:pPr>
          </w:p>
        </w:tc>
        <w:tc>
          <w:tcPr>
            <w:tcW w:w="98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EASTERLY GOVERNMENT PROPERTIES, INC.</w:t>
      </w:r>
    </w:p>
    <w:p>
      <w:pPr>
        <w:spacing w:after="0" w:line="374" w:lineRule="exact"/>
        <w:rPr>
          <w:sz w:val="20"/>
          <w:szCs w:val="20"/>
          <w:color w:val="auto"/>
        </w:rPr>
      </w:pPr>
    </w:p>
    <w:p>
      <w:pPr>
        <w:spacing w:after="0"/>
        <w:tabs>
          <w:tab w:leader="none" w:pos="560" w:val="left"/>
          <w:tab w:leader="none" w:pos="5620" w:val="left"/>
        </w:tabs>
        <w:rPr>
          <w:sz w:val="20"/>
          <w:szCs w:val="20"/>
          <w:color w:val="auto"/>
        </w:rPr>
      </w:pPr>
      <w:r>
        <w:rPr>
          <w:rFonts w:ascii="Times New Roman" w:cs="Times New Roman" w:eastAsia="Times New Roman" w:hAnsi="Times New Roman"/>
          <w:sz w:val="18"/>
          <w:szCs w:val="18"/>
          <w:color w:val="auto"/>
        </w:rPr>
        <w:t>Date:</w:t>
        <w:tab/>
        <w:t>June 30, 2026</w:t>
      </w:r>
      <w:r>
        <w:rPr>
          <w:sz w:val="20"/>
          <w:szCs w:val="20"/>
          <w:color w:val="auto"/>
        </w:rPr>
        <w:tab/>
      </w:r>
      <w:r>
        <w:rPr>
          <w:rFonts w:ascii="Times New Roman" w:cs="Times New Roman" w:eastAsia="Times New Roman" w:hAnsi="Times New Roman"/>
          <w:sz w:val="18"/>
          <w:szCs w:val="18"/>
          <w:color w:val="auto"/>
        </w:rPr>
        <w:t>By: /s/ Franklin V.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Franklin V. Logan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EXECUTION COPY</w:t>
      </w:r>
    </w:p>
    <w:p>
      <w:pPr>
        <w:spacing w:after="0" w:line="2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$200,000,000</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TERM LOAN AGREEMENT</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as of June 25, 2026</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EASTERLY GOVERNMENT PROPERTIES LP,</w:t>
      </w:r>
    </w:p>
    <w:p>
      <w:pPr>
        <w:spacing w:after="0" w:line="1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u w:val="single" w:color="auto"/>
          <w:color w:val="auto"/>
        </w:rPr>
        <w:t>as Borrower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EASTERLY GOVERNMENT PROPERTIES, INC.,</w:t>
      </w:r>
    </w:p>
    <w:p>
      <w:pPr>
        <w:spacing w:after="0" w:line="1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u w:val="single" w:color="auto"/>
          <w:color w:val="auto"/>
        </w:rPr>
        <w:t>as Parent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GUARANTORS NAMED HEREIN,</w:t>
      </w:r>
    </w:p>
    <w:p>
      <w:pPr>
        <w:spacing w:after="0" w:line="1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u w:val="single" w:color="auto"/>
          <w:color w:val="auto"/>
        </w:rPr>
        <w:t>as Guarantors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INITIAL LENDERS NAMED HEREIN,</w:t>
      </w:r>
    </w:p>
    <w:p>
      <w:pPr>
        <w:spacing w:after="0" w:line="1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u w:val="single" w:color="auto"/>
          <w:color w:val="auto"/>
        </w:rPr>
        <w:t>as Initial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1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u w:val="single" w:color="auto"/>
          <w:color w:val="auto"/>
        </w:rPr>
        <w:t>as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and</w:t>
      </w:r>
    </w:p>
    <w:p>
      <w:pPr>
        <w:spacing w:after="0" w:line="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TRUIST BANK,</w:t>
      </w:r>
    </w:p>
    <w:p>
      <w:pPr>
        <w:spacing w:after="0" w:line="9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u w:val="single" w:color="auto"/>
          <w:color w:val="auto"/>
        </w:rPr>
        <w:t>as Syndication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WELLS FARGO BANK, N.A.,</w:t>
      </w:r>
    </w:p>
    <w:p>
      <w:pPr>
        <w:spacing w:after="0" w:line="9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u w:val="single" w:color="auto"/>
          <w:color w:val="auto"/>
        </w:rPr>
        <w:t>as Joint Lead Arrangers</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u w:val="single" w:color="auto"/>
          <w:color w:val="auto"/>
        </w:rPr>
        <w:t>Joint Bookrunners</w:t>
      </w:r>
    </w:p>
    <w:p>
      <w:pPr>
        <w:spacing w:after="0" w:line="2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and</w:t>
      </w:r>
    </w:p>
    <w:p>
      <w:pPr>
        <w:spacing w:after="0" w:line="2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WELLS FARGO BANK, N.A.,</w:t>
      </w:r>
    </w:p>
    <w:p>
      <w:pPr>
        <w:spacing w:after="0" w:line="10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u w:val="single" w:color="auto"/>
          <w:color w:val="auto"/>
        </w:rPr>
        <w:t>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1031240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8"/>
        </w:trPr>
        <w:tc>
          <w:tcPr>
            <w:tcW w:w="1520" w:type="dxa"/>
            <w:vAlign w:val="bottom"/>
          </w:tcPr>
          <w:p>
            <w:pPr>
              <w:spacing w:after="0"/>
              <w:rPr>
                <w:sz w:val="21"/>
                <w:szCs w:val="21"/>
                <w:color w:val="auto"/>
              </w:rPr>
            </w:pPr>
          </w:p>
        </w:tc>
        <w:tc>
          <w:tcPr>
            <w:tcW w:w="7680" w:type="dxa"/>
            <w:vAlign w:val="bottom"/>
          </w:tcPr>
          <w:p>
            <w:pPr>
              <w:jc w:val="center"/>
              <w:ind w:left="426"/>
              <w:spacing w:after="0"/>
              <w:rPr>
                <w:sz w:val="20"/>
                <w:szCs w:val="20"/>
                <w:color w:val="auto"/>
              </w:rPr>
            </w:pPr>
            <w:r>
              <w:rPr>
                <w:rFonts w:ascii="Times New Roman" w:cs="Times New Roman" w:eastAsia="Times New Roman" w:hAnsi="Times New Roman"/>
                <w:sz w:val="19"/>
                <w:szCs w:val="19"/>
                <w:b w:val="1"/>
                <w:bCs w:val="1"/>
                <w:color w:val="auto"/>
                <w:w w:val="99"/>
              </w:rPr>
              <w:t>TABLE OF CONTENTS</w:t>
            </w:r>
          </w:p>
        </w:tc>
        <w:tc>
          <w:tcPr>
            <w:tcW w:w="2040" w:type="dxa"/>
            <w:vAlign w:val="bottom"/>
          </w:tcPr>
          <w:p>
            <w:pPr>
              <w:spacing w:after="0"/>
              <w:rPr>
                <w:sz w:val="21"/>
                <w:szCs w:val="21"/>
                <w:color w:val="auto"/>
              </w:rPr>
            </w:pPr>
          </w:p>
        </w:tc>
      </w:tr>
      <w:tr>
        <w:trPr>
          <w:trHeight w:val="432"/>
        </w:trPr>
        <w:tc>
          <w:tcPr>
            <w:tcW w:w="15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Page</w:t>
            </w:r>
          </w:p>
        </w:tc>
      </w:tr>
      <w:tr>
        <w:trPr>
          <w:trHeight w:val="432"/>
        </w:trPr>
        <w:tc>
          <w:tcPr>
            <w:tcW w:w="1520" w:type="dxa"/>
            <w:vAlign w:val="bottom"/>
          </w:tcPr>
          <w:p>
            <w:pPr>
              <w:spacing w:after="0"/>
              <w:rPr>
                <w:sz w:val="24"/>
                <w:szCs w:val="24"/>
                <w:color w:val="auto"/>
              </w:rPr>
            </w:pPr>
          </w:p>
        </w:tc>
        <w:tc>
          <w:tcPr>
            <w:tcW w:w="7680" w:type="dxa"/>
            <w:vAlign w:val="bottom"/>
          </w:tcPr>
          <w:p>
            <w:pPr>
              <w:jc w:val="center"/>
              <w:ind w:left="426"/>
              <w:spacing w:after="0"/>
              <w:rPr>
                <w:sz w:val="20"/>
                <w:szCs w:val="20"/>
                <w:color w:val="auto"/>
              </w:rPr>
            </w:pPr>
            <w:r>
              <w:rPr>
                <w:rFonts w:ascii="Times New Roman" w:cs="Times New Roman" w:eastAsia="Times New Roman" w:hAnsi="Times New Roman"/>
                <w:sz w:val="19"/>
                <w:szCs w:val="19"/>
                <w:color w:val="auto"/>
              </w:rPr>
              <w:t>ARTICLE I</w:t>
            </w:r>
          </w:p>
        </w:tc>
        <w:tc>
          <w:tcPr>
            <w:tcW w:w="2040" w:type="dxa"/>
            <w:vAlign w:val="bottom"/>
          </w:tcPr>
          <w:p>
            <w:pPr>
              <w:spacing w:after="0"/>
              <w:rPr>
                <w:sz w:val="24"/>
                <w:szCs w:val="24"/>
                <w:color w:val="auto"/>
              </w:rPr>
            </w:pPr>
          </w:p>
        </w:tc>
      </w:tr>
      <w:tr>
        <w:trPr>
          <w:trHeight w:val="432"/>
        </w:trPr>
        <w:tc>
          <w:tcPr>
            <w:tcW w:w="1520" w:type="dxa"/>
            <w:vAlign w:val="bottom"/>
          </w:tcPr>
          <w:p>
            <w:pPr>
              <w:spacing w:after="0"/>
              <w:rPr>
                <w:sz w:val="24"/>
                <w:szCs w:val="24"/>
                <w:color w:val="auto"/>
              </w:rPr>
            </w:pPr>
          </w:p>
        </w:tc>
        <w:tc>
          <w:tcPr>
            <w:tcW w:w="7680" w:type="dxa"/>
            <w:vAlign w:val="bottom"/>
          </w:tcPr>
          <w:p>
            <w:pPr>
              <w:jc w:val="center"/>
              <w:ind w:left="426"/>
              <w:spacing w:after="0"/>
              <w:rPr>
                <w:sz w:val="20"/>
                <w:szCs w:val="20"/>
                <w:color w:val="auto"/>
              </w:rPr>
            </w:pPr>
            <w:r>
              <w:rPr>
                <w:rFonts w:ascii="Times New Roman" w:cs="Times New Roman" w:eastAsia="Times New Roman" w:hAnsi="Times New Roman"/>
                <w:sz w:val="19"/>
                <w:szCs w:val="19"/>
                <w:color w:val="auto"/>
                <w:w w:val="99"/>
              </w:rPr>
              <w:t>DEFINITIONS AND ACCOUNTING TERMS</w:t>
            </w:r>
          </w:p>
        </w:tc>
        <w:tc>
          <w:tcPr>
            <w:tcW w:w="2040" w:type="dxa"/>
            <w:vAlign w:val="bottom"/>
          </w:tcPr>
          <w:p>
            <w:pPr>
              <w:spacing w:after="0"/>
              <w:rPr>
                <w:sz w:val="24"/>
                <w:szCs w:val="24"/>
                <w:color w:val="auto"/>
              </w:rPr>
            </w:pPr>
          </w:p>
        </w:tc>
      </w:tr>
      <w:tr>
        <w:trPr>
          <w:trHeight w:val="296"/>
        </w:trPr>
        <w:tc>
          <w:tcPr>
            <w:tcW w:w="1520" w:type="dxa"/>
            <w:vAlign w:val="bottom"/>
          </w:tcPr>
          <w:p>
            <w:pPr>
              <w:spacing w:after="0"/>
              <w:rPr>
                <w:sz w:val="20"/>
                <w:szCs w:val="20"/>
                <w:color w:val="auto"/>
              </w:rPr>
            </w:pPr>
            <w:r>
              <w:rPr>
                <w:rFonts w:ascii="Times New Roman" w:cs="Times New Roman" w:eastAsia="Times New Roman" w:hAnsi="Times New Roman"/>
                <w:sz w:val="19"/>
                <w:szCs w:val="19"/>
                <w:color w:val="auto"/>
              </w:rPr>
              <w:t>Section 1.01</w:t>
            </w:r>
          </w:p>
        </w:tc>
        <w:tc>
          <w:tcPr>
            <w:tcW w:w="76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Certain Defined Terms</w:t>
            </w:r>
          </w:p>
        </w:tc>
        <w:tc>
          <w:tcPr>
            <w:tcW w:w="2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1.02</w:t>
            </w:r>
          </w:p>
        </w:tc>
        <w:tc>
          <w:tcPr>
            <w:tcW w:w="76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Computation of Time Periods; Other Definitional Provisions</w:t>
            </w:r>
          </w:p>
        </w:tc>
        <w:tc>
          <w:tcPr>
            <w:tcW w:w="2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35</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1.03</w:t>
            </w:r>
          </w:p>
        </w:tc>
        <w:tc>
          <w:tcPr>
            <w:tcW w:w="76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Accounting Terms</w:t>
            </w:r>
          </w:p>
        </w:tc>
        <w:tc>
          <w:tcPr>
            <w:tcW w:w="2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35</w:t>
            </w:r>
          </w:p>
        </w:tc>
      </w:tr>
      <w:tr>
        <w:trPr>
          <w:trHeight w:val="244"/>
        </w:trPr>
        <w:tc>
          <w:tcPr>
            <w:tcW w:w="1520" w:type="dxa"/>
            <w:vAlign w:val="bottom"/>
          </w:tcPr>
          <w:p>
            <w:pPr>
              <w:spacing w:after="0"/>
              <w:rPr>
                <w:sz w:val="20"/>
                <w:szCs w:val="20"/>
                <w:color w:val="auto"/>
              </w:rPr>
            </w:pPr>
            <w:r>
              <w:rPr>
                <w:rFonts w:ascii="Times New Roman" w:cs="Times New Roman" w:eastAsia="Times New Roman" w:hAnsi="Times New Roman"/>
                <w:sz w:val="19"/>
                <w:szCs w:val="19"/>
                <w:color w:val="auto"/>
              </w:rPr>
              <w:t>Section 1.04</w:t>
            </w:r>
          </w:p>
        </w:tc>
        <w:tc>
          <w:tcPr>
            <w:tcW w:w="76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Divisions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w:t>
            </w:r>
          </w:p>
        </w:tc>
      </w:tr>
      <w:tr>
        <w:trPr>
          <w:trHeight w:val="324"/>
        </w:trPr>
        <w:tc>
          <w:tcPr>
            <w:tcW w:w="1520" w:type="dxa"/>
            <w:vAlign w:val="bottom"/>
          </w:tcPr>
          <w:p>
            <w:pPr>
              <w:spacing w:after="0"/>
              <w:rPr>
                <w:sz w:val="24"/>
                <w:szCs w:val="24"/>
                <w:color w:val="auto"/>
              </w:rPr>
            </w:pPr>
          </w:p>
        </w:tc>
        <w:tc>
          <w:tcPr>
            <w:tcW w:w="7680" w:type="dxa"/>
            <w:vAlign w:val="bottom"/>
          </w:tcPr>
          <w:p>
            <w:pPr>
              <w:jc w:val="center"/>
              <w:ind w:left="426"/>
              <w:spacing w:after="0"/>
              <w:rPr>
                <w:sz w:val="20"/>
                <w:szCs w:val="20"/>
                <w:color w:val="auto"/>
              </w:rPr>
            </w:pPr>
            <w:r>
              <w:rPr>
                <w:rFonts w:ascii="Times New Roman" w:cs="Times New Roman" w:eastAsia="Times New Roman" w:hAnsi="Times New Roman"/>
                <w:sz w:val="19"/>
                <w:szCs w:val="19"/>
                <w:color w:val="auto"/>
                <w:w w:val="98"/>
              </w:rPr>
              <w:t>ARTICLE II</w:t>
            </w:r>
          </w:p>
        </w:tc>
        <w:tc>
          <w:tcPr>
            <w:tcW w:w="2040" w:type="dxa"/>
            <w:vAlign w:val="bottom"/>
          </w:tcPr>
          <w:p>
            <w:pPr>
              <w:spacing w:after="0"/>
              <w:rPr>
                <w:sz w:val="24"/>
                <w:szCs w:val="24"/>
                <w:color w:val="auto"/>
              </w:rPr>
            </w:pPr>
          </w:p>
        </w:tc>
      </w:tr>
      <w:tr>
        <w:trPr>
          <w:trHeight w:val="432"/>
        </w:trPr>
        <w:tc>
          <w:tcPr>
            <w:tcW w:w="1520" w:type="dxa"/>
            <w:vAlign w:val="bottom"/>
          </w:tcPr>
          <w:p>
            <w:pPr>
              <w:spacing w:after="0"/>
              <w:rPr>
                <w:sz w:val="24"/>
                <w:szCs w:val="24"/>
                <w:color w:val="auto"/>
              </w:rPr>
            </w:pPr>
          </w:p>
        </w:tc>
        <w:tc>
          <w:tcPr>
            <w:tcW w:w="7680" w:type="dxa"/>
            <w:vAlign w:val="bottom"/>
          </w:tcPr>
          <w:p>
            <w:pPr>
              <w:jc w:val="center"/>
              <w:ind w:left="426"/>
              <w:spacing w:after="0"/>
              <w:rPr>
                <w:sz w:val="20"/>
                <w:szCs w:val="20"/>
                <w:color w:val="auto"/>
              </w:rPr>
            </w:pPr>
            <w:r>
              <w:rPr>
                <w:rFonts w:ascii="Times New Roman" w:cs="Times New Roman" w:eastAsia="Times New Roman" w:hAnsi="Times New Roman"/>
                <w:sz w:val="19"/>
                <w:szCs w:val="19"/>
                <w:color w:val="auto"/>
                <w:w w:val="99"/>
              </w:rPr>
              <w:t>AMOUNTS AND TERMS OF THE ADVANCES</w:t>
            </w:r>
          </w:p>
        </w:tc>
        <w:tc>
          <w:tcPr>
            <w:tcW w:w="2040" w:type="dxa"/>
            <w:vAlign w:val="bottom"/>
          </w:tcPr>
          <w:p>
            <w:pPr>
              <w:spacing w:after="0"/>
              <w:rPr>
                <w:sz w:val="24"/>
                <w:szCs w:val="24"/>
                <w:color w:val="auto"/>
              </w:rPr>
            </w:pPr>
          </w:p>
        </w:tc>
      </w:tr>
      <w:tr>
        <w:trPr>
          <w:trHeight w:val="296"/>
        </w:trPr>
        <w:tc>
          <w:tcPr>
            <w:tcW w:w="1520" w:type="dxa"/>
            <w:vAlign w:val="bottom"/>
          </w:tcPr>
          <w:p>
            <w:pPr>
              <w:spacing w:after="0"/>
              <w:rPr>
                <w:sz w:val="20"/>
                <w:szCs w:val="20"/>
                <w:color w:val="auto"/>
              </w:rPr>
            </w:pPr>
            <w:r>
              <w:rPr>
                <w:rFonts w:ascii="Times New Roman" w:cs="Times New Roman" w:eastAsia="Times New Roman" w:hAnsi="Times New Roman"/>
                <w:sz w:val="19"/>
                <w:szCs w:val="19"/>
                <w:color w:val="auto"/>
              </w:rPr>
              <w:t>Section 2.01</w:t>
            </w:r>
          </w:p>
        </w:tc>
        <w:tc>
          <w:tcPr>
            <w:tcW w:w="76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The Advances</w:t>
            </w:r>
          </w:p>
        </w:tc>
        <w:tc>
          <w:tcPr>
            <w:tcW w:w="2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2.02</w:t>
            </w:r>
          </w:p>
        </w:tc>
        <w:tc>
          <w:tcPr>
            <w:tcW w:w="76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Making the Advances</w:t>
            </w:r>
          </w:p>
        </w:tc>
        <w:tc>
          <w:tcPr>
            <w:tcW w:w="2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35</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2.03</w:t>
            </w:r>
          </w:p>
        </w:tc>
        <w:tc>
          <w:tcPr>
            <w:tcW w:w="76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[Reserved]</w:t>
            </w:r>
          </w:p>
        </w:tc>
        <w:tc>
          <w:tcPr>
            <w:tcW w:w="2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37</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2.04</w:t>
            </w:r>
          </w:p>
        </w:tc>
        <w:tc>
          <w:tcPr>
            <w:tcW w:w="76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Repayment of Advances</w:t>
            </w:r>
          </w:p>
        </w:tc>
        <w:tc>
          <w:tcPr>
            <w:tcW w:w="2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37</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2.05</w:t>
            </w:r>
          </w:p>
        </w:tc>
        <w:tc>
          <w:tcPr>
            <w:tcW w:w="76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Termination or Reduction of the Commitments</w:t>
            </w:r>
          </w:p>
        </w:tc>
        <w:tc>
          <w:tcPr>
            <w:tcW w:w="2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37</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2.06</w:t>
            </w:r>
          </w:p>
        </w:tc>
        <w:tc>
          <w:tcPr>
            <w:tcW w:w="76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Prepayments</w:t>
            </w:r>
          </w:p>
        </w:tc>
        <w:tc>
          <w:tcPr>
            <w:tcW w:w="2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37</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2.07</w:t>
            </w:r>
          </w:p>
        </w:tc>
        <w:tc>
          <w:tcPr>
            <w:tcW w:w="76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Interest</w:t>
            </w:r>
          </w:p>
        </w:tc>
        <w:tc>
          <w:tcPr>
            <w:tcW w:w="2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38</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2.08</w:t>
            </w:r>
          </w:p>
        </w:tc>
        <w:tc>
          <w:tcPr>
            <w:tcW w:w="76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Fees</w:t>
            </w:r>
          </w:p>
        </w:tc>
        <w:tc>
          <w:tcPr>
            <w:tcW w:w="2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41</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2.09</w:t>
            </w:r>
          </w:p>
        </w:tc>
        <w:tc>
          <w:tcPr>
            <w:tcW w:w="76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Conversion of Advances</w:t>
            </w:r>
          </w:p>
        </w:tc>
        <w:tc>
          <w:tcPr>
            <w:tcW w:w="2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41</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2.10</w:t>
            </w:r>
          </w:p>
        </w:tc>
        <w:tc>
          <w:tcPr>
            <w:tcW w:w="76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Increased Costs, Etc.</w:t>
            </w:r>
          </w:p>
        </w:tc>
        <w:tc>
          <w:tcPr>
            <w:tcW w:w="2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42</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2.11</w:t>
            </w:r>
          </w:p>
        </w:tc>
        <w:tc>
          <w:tcPr>
            <w:tcW w:w="76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Payments and Computations</w:t>
            </w:r>
          </w:p>
        </w:tc>
        <w:tc>
          <w:tcPr>
            <w:tcW w:w="2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43</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2.12</w:t>
            </w:r>
          </w:p>
        </w:tc>
        <w:tc>
          <w:tcPr>
            <w:tcW w:w="76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Taxes</w:t>
            </w:r>
          </w:p>
        </w:tc>
        <w:tc>
          <w:tcPr>
            <w:tcW w:w="2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45</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2.13</w:t>
            </w:r>
          </w:p>
        </w:tc>
        <w:tc>
          <w:tcPr>
            <w:tcW w:w="76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Sharing of Payments, Etc.</w:t>
            </w:r>
          </w:p>
        </w:tc>
        <w:tc>
          <w:tcPr>
            <w:tcW w:w="2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49</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2.14</w:t>
            </w:r>
          </w:p>
        </w:tc>
        <w:tc>
          <w:tcPr>
            <w:tcW w:w="76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Use of Proceeds</w:t>
            </w:r>
          </w:p>
        </w:tc>
        <w:tc>
          <w:tcPr>
            <w:tcW w:w="2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49</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2.15</w:t>
            </w:r>
          </w:p>
        </w:tc>
        <w:tc>
          <w:tcPr>
            <w:tcW w:w="76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Evidence of Debt</w:t>
            </w:r>
          </w:p>
        </w:tc>
        <w:tc>
          <w:tcPr>
            <w:tcW w:w="2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50</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2.16</w:t>
            </w:r>
          </w:p>
        </w:tc>
        <w:tc>
          <w:tcPr>
            <w:tcW w:w="76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[Reserved].</w:t>
            </w:r>
          </w:p>
        </w:tc>
        <w:tc>
          <w:tcPr>
            <w:tcW w:w="2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50</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2.17</w:t>
            </w:r>
          </w:p>
        </w:tc>
        <w:tc>
          <w:tcPr>
            <w:tcW w:w="76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Increase in the Aggregate Commitments</w:t>
            </w:r>
          </w:p>
        </w:tc>
        <w:tc>
          <w:tcPr>
            <w:tcW w:w="2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50</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2.18</w:t>
            </w:r>
          </w:p>
        </w:tc>
        <w:tc>
          <w:tcPr>
            <w:tcW w:w="76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Defaulting Lenders</w:t>
            </w:r>
          </w:p>
        </w:tc>
        <w:tc>
          <w:tcPr>
            <w:tcW w:w="2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51</w:t>
            </w:r>
          </w:p>
        </w:tc>
      </w:tr>
      <w:tr>
        <w:trPr>
          <w:trHeight w:val="244"/>
        </w:trPr>
        <w:tc>
          <w:tcPr>
            <w:tcW w:w="1520" w:type="dxa"/>
            <w:vAlign w:val="bottom"/>
          </w:tcPr>
          <w:p>
            <w:pPr>
              <w:spacing w:after="0"/>
              <w:rPr>
                <w:sz w:val="20"/>
                <w:szCs w:val="20"/>
                <w:color w:val="auto"/>
              </w:rPr>
            </w:pPr>
            <w:r>
              <w:rPr>
                <w:rFonts w:ascii="Times New Roman" w:cs="Times New Roman" w:eastAsia="Times New Roman" w:hAnsi="Times New Roman"/>
                <w:sz w:val="19"/>
                <w:szCs w:val="19"/>
                <w:color w:val="auto"/>
              </w:rPr>
              <w:t>Section 2.19</w:t>
            </w:r>
          </w:p>
        </w:tc>
        <w:tc>
          <w:tcPr>
            <w:tcW w:w="76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Replacement of Lenders</w:t>
            </w:r>
          </w:p>
        </w:tc>
        <w:tc>
          <w:tcPr>
            <w:tcW w:w="2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w:t>
            </w:r>
          </w:p>
        </w:tc>
      </w:tr>
      <w:tr>
        <w:trPr>
          <w:trHeight w:val="324"/>
        </w:trPr>
        <w:tc>
          <w:tcPr>
            <w:tcW w:w="1520" w:type="dxa"/>
            <w:vAlign w:val="bottom"/>
          </w:tcPr>
          <w:p>
            <w:pPr>
              <w:spacing w:after="0"/>
              <w:rPr>
                <w:sz w:val="24"/>
                <w:szCs w:val="24"/>
                <w:color w:val="auto"/>
              </w:rPr>
            </w:pPr>
          </w:p>
        </w:tc>
        <w:tc>
          <w:tcPr>
            <w:tcW w:w="7680" w:type="dxa"/>
            <w:vAlign w:val="bottom"/>
          </w:tcPr>
          <w:p>
            <w:pPr>
              <w:jc w:val="center"/>
              <w:ind w:left="426"/>
              <w:spacing w:after="0"/>
              <w:rPr>
                <w:sz w:val="20"/>
                <w:szCs w:val="20"/>
                <w:color w:val="auto"/>
              </w:rPr>
            </w:pPr>
            <w:r>
              <w:rPr>
                <w:rFonts w:ascii="Times New Roman" w:cs="Times New Roman" w:eastAsia="Times New Roman" w:hAnsi="Times New Roman"/>
                <w:sz w:val="19"/>
                <w:szCs w:val="19"/>
                <w:color w:val="auto"/>
              </w:rPr>
              <w:t>ARTICLE III</w:t>
            </w:r>
          </w:p>
        </w:tc>
        <w:tc>
          <w:tcPr>
            <w:tcW w:w="2040" w:type="dxa"/>
            <w:vAlign w:val="bottom"/>
          </w:tcPr>
          <w:p>
            <w:pPr>
              <w:spacing w:after="0"/>
              <w:rPr>
                <w:sz w:val="24"/>
                <w:szCs w:val="24"/>
                <w:color w:val="auto"/>
              </w:rPr>
            </w:pPr>
          </w:p>
        </w:tc>
      </w:tr>
      <w:tr>
        <w:trPr>
          <w:trHeight w:val="432"/>
        </w:trPr>
        <w:tc>
          <w:tcPr>
            <w:tcW w:w="1520" w:type="dxa"/>
            <w:vAlign w:val="bottom"/>
          </w:tcPr>
          <w:p>
            <w:pPr>
              <w:spacing w:after="0"/>
              <w:rPr>
                <w:sz w:val="24"/>
                <w:szCs w:val="24"/>
                <w:color w:val="auto"/>
              </w:rPr>
            </w:pPr>
          </w:p>
        </w:tc>
        <w:tc>
          <w:tcPr>
            <w:tcW w:w="7680" w:type="dxa"/>
            <w:vAlign w:val="bottom"/>
          </w:tcPr>
          <w:p>
            <w:pPr>
              <w:jc w:val="center"/>
              <w:ind w:left="446"/>
              <w:spacing w:after="0"/>
              <w:rPr>
                <w:sz w:val="20"/>
                <w:szCs w:val="20"/>
                <w:color w:val="auto"/>
              </w:rPr>
            </w:pPr>
            <w:r>
              <w:rPr>
                <w:rFonts w:ascii="Times New Roman" w:cs="Times New Roman" w:eastAsia="Times New Roman" w:hAnsi="Times New Roman"/>
                <w:sz w:val="19"/>
                <w:szCs w:val="19"/>
                <w:color w:val="auto"/>
                <w:w w:val="99"/>
              </w:rPr>
              <w:t>CONDITIONS PRECEDENT TO CLOSING</w:t>
            </w:r>
          </w:p>
        </w:tc>
        <w:tc>
          <w:tcPr>
            <w:tcW w:w="2040" w:type="dxa"/>
            <w:vAlign w:val="bottom"/>
          </w:tcPr>
          <w:p>
            <w:pPr>
              <w:spacing w:after="0"/>
              <w:rPr>
                <w:sz w:val="24"/>
                <w:szCs w:val="24"/>
                <w:color w:val="auto"/>
              </w:rPr>
            </w:pPr>
          </w:p>
        </w:tc>
      </w:tr>
      <w:tr>
        <w:trPr>
          <w:trHeight w:val="296"/>
        </w:trPr>
        <w:tc>
          <w:tcPr>
            <w:tcW w:w="1520" w:type="dxa"/>
            <w:vAlign w:val="bottom"/>
          </w:tcPr>
          <w:p>
            <w:pPr>
              <w:spacing w:after="0"/>
              <w:rPr>
                <w:sz w:val="20"/>
                <w:szCs w:val="20"/>
                <w:color w:val="auto"/>
              </w:rPr>
            </w:pPr>
            <w:r>
              <w:rPr>
                <w:rFonts w:ascii="Times New Roman" w:cs="Times New Roman" w:eastAsia="Times New Roman" w:hAnsi="Times New Roman"/>
                <w:sz w:val="19"/>
                <w:szCs w:val="19"/>
                <w:color w:val="auto"/>
              </w:rPr>
              <w:t>Section 3.01</w:t>
            </w:r>
          </w:p>
        </w:tc>
        <w:tc>
          <w:tcPr>
            <w:tcW w:w="76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Conditions Precedent to Closing</w:t>
            </w:r>
          </w:p>
        </w:tc>
        <w:tc>
          <w:tcPr>
            <w:tcW w:w="2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3.02</w:t>
            </w:r>
          </w:p>
        </w:tc>
        <w:tc>
          <w:tcPr>
            <w:tcW w:w="76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Conditions Precedent to Each Borrowing and Increase</w:t>
            </w:r>
          </w:p>
        </w:tc>
        <w:tc>
          <w:tcPr>
            <w:tcW w:w="20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56</w:t>
            </w:r>
          </w:p>
        </w:tc>
      </w:tr>
      <w:tr>
        <w:trPr>
          <w:trHeight w:val="244"/>
        </w:trPr>
        <w:tc>
          <w:tcPr>
            <w:tcW w:w="1520" w:type="dxa"/>
            <w:vAlign w:val="bottom"/>
          </w:tcPr>
          <w:p>
            <w:pPr>
              <w:spacing w:after="0"/>
              <w:rPr>
                <w:sz w:val="20"/>
                <w:szCs w:val="20"/>
                <w:color w:val="auto"/>
              </w:rPr>
            </w:pPr>
            <w:r>
              <w:rPr>
                <w:rFonts w:ascii="Times New Roman" w:cs="Times New Roman" w:eastAsia="Times New Roman" w:hAnsi="Times New Roman"/>
                <w:sz w:val="19"/>
                <w:szCs w:val="19"/>
                <w:color w:val="auto"/>
              </w:rPr>
              <w:t>Section 3.03</w:t>
            </w:r>
          </w:p>
        </w:tc>
        <w:tc>
          <w:tcPr>
            <w:tcW w:w="76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Determinations Under Sections 3.01 and 3.02</w:t>
            </w:r>
          </w:p>
        </w:tc>
        <w:tc>
          <w:tcPr>
            <w:tcW w:w="2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w:t>
            </w:r>
          </w:p>
        </w:tc>
      </w:tr>
      <w:tr>
        <w:trPr>
          <w:trHeight w:val="324"/>
        </w:trPr>
        <w:tc>
          <w:tcPr>
            <w:tcW w:w="1520" w:type="dxa"/>
            <w:vAlign w:val="bottom"/>
          </w:tcPr>
          <w:p>
            <w:pPr>
              <w:spacing w:after="0"/>
              <w:rPr>
                <w:sz w:val="24"/>
                <w:szCs w:val="24"/>
                <w:color w:val="auto"/>
              </w:rPr>
            </w:pPr>
          </w:p>
        </w:tc>
        <w:tc>
          <w:tcPr>
            <w:tcW w:w="7680" w:type="dxa"/>
            <w:vAlign w:val="bottom"/>
          </w:tcPr>
          <w:p>
            <w:pPr>
              <w:jc w:val="center"/>
              <w:ind w:left="426"/>
              <w:spacing w:after="0"/>
              <w:rPr>
                <w:sz w:val="20"/>
                <w:szCs w:val="20"/>
                <w:color w:val="auto"/>
              </w:rPr>
            </w:pPr>
            <w:r>
              <w:rPr>
                <w:rFonts w:ascii="Times New Roman" w:cs="Times New Roman" w:eastAsia="Times New Roman" w:hAnsi="Times New Roman"/>
                <w:sz w:val="19"/>
                <w:szCs w:val="19"/>
                <w:color w:val="auto"/>
                <w:w w:val="98"/>
              </w:rPr>
              <w:t>ARTICLE IV</w:t>
            </w:r>
          </w:p>
        </w:tc>
        <w:tc>
          <w:tcPr>
            <w:tcW w:w="2040" w:type="dxa"/>
            <w:vAlign w:val="bottom"/>
          </w:tcPr>
          <w:p>
            <w:pPr>
              <w:spacing w:after="0"/>
              <w:rPr>
                <w:sz w:val="24"/>
                <w:szCs w:val="24"/>
                <w:color w:val="auto"/>
              </w:rPr>
            </w:pPr>
          </w:p>
        </w:tc>
      </w:tr>
      <w:tr>
        <w:trPr>
          <w:trHeight w:val="432"/>
        </w:trPr>
        <w:tc>
          <w:tcPr>
            <w:tcW w:w="1520" w:type="dxa"/>
            <w:vAlign w:val="bottom"/>
          </w:tcPr>
          <w:p>
            <w:pPr>
              <w:spacing w:after="0"/>
              <w:rPr>
                <w:sz w:val="24"/>
                <w:szCs w:val="24"/>
                <w:color w:val="auto"/>
              </w:rPr>
            </w:pPr>
          </w:p>
        </w:tc>
        <w:tc>
          <w:tcPr>
            <w:tcW w:w="7680" w:type="dxa"/>
            <w:vAlign w:val="bottom"/>
          </w:tcPr>
          <w:p>
            <w:pPr>
              <w:jc w:val="center"/>
              <w:ind w:left="446"/>
              <w:spacing w:after="0"/>
              <w:rPr>
                <w:sz w:val="20"/>
                <w:szCs w:val="20"/>
                <w:color w:val="auto"/>
              </w:rPr>
            </w:pPr>
            <w:r>
              <w:rPr>
                <w:rFonts w:ascii="Times New Roman" w:cs="Times New Roman" w:eastAsia="Times New Roman" w:hAnsi="Times New Roman"/>
                <w:sz w:val="19"/>
                <w:szCs w:val="19"/>
                <w:color w:val="auto"/>
                <w:w w:val="99"/>
              </w:rPr>
              <w:t>REPRESENTATIONS AND WARRANTIES</w:t>
            </w:r>
          </w:p>
        </w:tc>
        <w:tc>
          <w:tcPr>
            <w:tcW w:w="2040" w:type="dxa"/>
            <w:vAlign w:val="bottom"/>
          </w:tcPr>
          <w:p>
            <w:pPr>
              <w:spacing w:after="0"/>
              <w:rPr>
                <w:sz w:val="24"/>
                <w:szCs w:val="24"/>
                <w:color w:val="auto"/>
              </w:rPr>
            </w:pPr>
          </w:p>
        </w:tc>
      </w:tr>
      <w:tr>
        <w:trPr>
          <w:trHeight w:val="324"/>
        </w:trPr>
        <w:tc>
          <w:tcPr>
            <w:tcW w:w="1520" w:type="dxa"/>
            <w:vAlign w:val="bottom"/>
          </w:tcPr>
          <w:p>
            <w:pPr>
              <w:spacing w:after="0"/>
              <w:rPr>
                <w:sz w:val="20"/>
                <w:szCs w:val="20"/>
                <w:color w:val="auto"/>
              </w:rPr>
            </w:pPr>
            <w:r>
              <w:rPr>
                <w:rFonts w:ascii="Times New Roman" w:cs="Times New Roman" w:eastAsia="Times New Roman" w:hAnsi="Times New Roman"/>
                <w:sz w:val="19"/>
                <w:szCs w:val="19"/>
                <w:color w:val="auto"/>
              </w:rPr>
              <w:t>Section 4.01</w:t>
            </w:r>
          </w:p>
        </w:tc>
        <w:tc>
          <w:tcPr>
            <w:tcW w:w="76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Representations and Warranties of the Loan Parties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w:t>
            </w:r>
          </w:p>
        </w:tc>
      </w:tr>
      <w:tr>
        <w:trPr>
          <w:trHeight w:val="1409"/>
        </w:trPr>
        <w:tc>
          <w:tcPr>
            <w:tcW w:w="1520" w:type="dxa"/>
            <w:vAlign w:val="bottom"/>
            <w:tcBorders>
              <w:bottom w:val="single" w:sz="8" w:color="9A9A9A"/>
            </w:tcBorders>
          </w:tcPr>
          <w:p>
            <w:pPr>
              <w:spacing w:after="0"/>
              <w:rPr>
                <w:sz w:val="24"/>
                <w:szCs w:val="24"/>
                <w:color w:val="auto"/>
              </w:rPr>
            </w:pPr>
          </w:p>
        </w:tc>
        <w:tc>
          <w:tcPr>
            <w:tcW w:w="76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6" w:name="page7"/>
    <w:bookmarkEnd w:id="6"/>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520" w:type="dxa"/>
            <w:vAlign w:val="bottom"/>
          </w:tcPr>
          <w:p>
            <w:pPr>
              <w:spacing w:after="0"/>
              <w:rPr>
                <w:sz w:val="21"/>
                <w:szCs w:val="21"/>
                <w:color w:val="auto"/>
              </w:rPr>
            </w:pPr>
          </w:p>
        </w:tc>
        <w:tc>
          <w:tcPr>
            <w:tcW w:w="7580" w:type="dxa"/>
            <w:vAlign w:val="bottom"/>
          </w:tcPr>
          <w:p>
            <w:pPr>
              <w:jc w:val="center"/>
              <w:ind w:left="545"/>
              <w:spacing w:after="0"/>
              <w:rPr>
                <w:sz w:val="20"/>
                <w:szCs w:val="20"/>
                <w:color w:val="auto"/>
              </w:rPr>
            </w:pPr>
            <w:r>
              <w:rPr>
                <w:rFonts w:ascii="Times New Roman" w:cs="Times New Roman" w:eastAsia="Times New Roman" w:hAnsi="Times New Roman"/>
                <w:sz w:val="19"/>
                <w:szCs w:val="19"/>
                <w:color w:val="auto"/>
                <w:w w:val="99"/>
              </w:rPr>
              <w:t>ARTICLE V</w:t>
            </w:r>
          </w:p>
        </w:tc>
        <w:tc>
          <w:tcPr>
            <w:tcW w:w="2140" w:type="dxa"/>
            <w:vAlign w:val="bottom"/>
          </w:tcPr>
          <w:p>
            <w:pPr>
              <w:spacing w:after="0"/>
              <w:rPr>
                <w:sz w:val="21"/>
                <w:szCs w:val="21"/>
                <w:color w:val="auto"/>
              </w:rPr>
            </w:pPr>
          </w:p>
        </w:tc>
      </w:tr>
      <w:tr>
        <w:trPr>
          <w:trHeight w:val="432"/>
        </w:trPr>
        <w:tc>
          <w:tcPr>
            <w:tcW w:w="1520" w:type="dxa"/>
            <w:vAlign w:val="bottom"/>
          </w:tcPr>
          <w:p>
            <w:pPr>
              <w:spacing w:after="0"/>
              <w:rPr>
                <w:sz w:val="24"/>
                <w:szCs w:val="24"/>
                <w:color w:val="auto"/>
              </w:rPr>
            </w:pPr>
          </w:p>
        </w:tc>
        <w:tc>
          <w:tcPr>
            <w:tcW w:w="7580" w:type="dxa"/>
            <w:vAlign w:val="bottom"/>
          </w:tcPr>
          <w:p>
            <w:pPr>
              <w:jc w:val="center"/>
              <w:ind w:left="525"/>
              <w:spacing w:after="0"/>
              <w:rPr>
                <w:sz w:val="20"/>
                <w:szCs w:val="20"/>
                <w:color w:val="auto"/>
              </w:rPr>
            </w:pPr>
            <w:r>
              <w:rPr>
                <w:rFonts w:ascii="Times New Roman" w:cs="Times New Roman" w:eastAsia="Times New Roman" w:hAnsi="Times New Roman"/>
                <w:sz w:val="19"/>
                <w:szCs w:val="19"/>
                <w:color w:val="auto"/>
                <w:w w:val="99"/>
              </w:rPr>
              <w:t>COVENANTS OF THE LOAN PARTIES</w:t>
            </w:r>
          </w:p>
        </w:tc>
        <w:tc>
          <w:tcPr>
            <w:tcW w:w="2140" w:type="dxa"/>
            <w:vAlign w:val="bottom"/>
          </w:tcPr>
          <w:p>
            <w:pPr>
              <w:spacing w:after="0"/>
              <w:rPr>
                <w:sz w:val="24"/>
                <w:szCs w:val="24"/>
                <w:color w:val="auto"/>
              </w:rPr>
            </w:pPr>
          </w:p>
        </w:tc>
      </w:tr>
      <w:tr>
        <w:trPr>
          <w:trHeight w:val="296"/>
        </w:trPr>
        <w:tc>
          <w:tcPr>
            <w:tcW w:w="1520" w:type="dxa"/>
            <w:vAlign w:val="bottom"/>
          </w:tcPr>
          <w:p>
            <w:pPr>
              <w:spacing w:after="0"/>
              <w:rPr>
                <w:sz w:val="20"/>
                <w:szCs w:val="20"/>
                <w:color w:val="auto"/>
              </w:rPr>
            </w:pPr>
            <w:r>
              <w:rPr>
                <w:rFonts w:ascii="Times New Roman" w:cs="Times New Roman" w:eastAsia="Times New Roman" w:hAnsi="Times New Roman"/>
                <w:sz w:val="19"/>
                <w:szCs w:val="19"/>
                <w:color w:val="auto"/>
              </w:rPr>
              <w:t>Section 5.01</w:t>
            </w:r>
          </w:p>
        </w:tc>
        <w:tc>
          <w:tcPr>
            <w:tcW w:w="75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Affirmative Covenants</w:t>
            </w:r>
          </w:p>
        </w:tc>
        <w:tc>
          <w:tcPr>
            <w:tcW w:w="2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5.02</w:t>
            </w:r>
          </w:p>
        </w:tc>
        <w:tc>
          <w:tcPr>
            <w:tcW w:w="75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Negative Covenants</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68</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5.03</w:t>
            </w:r>
          </w:p>
        </w:tc>
        <w:tc>
          <w:tcPr>
            <w:tcW w:w="75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Reporting Requirements</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72</w:t>
            </w:r>
          </w:p>
        </w:tc>
      </w:tr>
      <w:tr>
        <w:trPr>
          <w:trHeight w:val="244"/>
        </w:trPr>
        <w:tc>
          <w:tcPr>
            <w:tcW w:w="1520" w:type="dxa"/>
            <w:vAlign w:val="bottom"/>
          </w:tcPr>
          <w:p>
            <w:pPr>
              <w:spacing w:after="0"/>
              <w:rPr>
                <w:sz w:val="20"/>
                <w:szCs w:val="20"/>
                <w:color w:val="auto"/>
              </w:rPr>
            </w:pPr>
            <w:r>
              <w:rPr>
                <w:rFonts w:ascii="Times New Roman" w:cs="Times New Roman" w:eastAsia="Times New Roman" w:hAnsi="Times New Roman"/>
                <w:sz w:val="19"/>
                <w:szCs w:val="19"/>
                <w:color w:val="auto"/>
              </w:rPr>
              <w:t>Section 5.04</w:t>
            </w:r>
          </w:p>
        </w:tc>
        <w:tc>
          <w:tcPr>
            <w:tcW w:w="75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Financial Covenants</w:t>
            </w:r>
          </w:p>
        </w:tc>
        <w:tc>
          <w:tcPr>
            <w:tcW w:w="2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w:t>
            </w:r>
          </w:p>
        </w:tc>
      </w:tr>
      <w:tr>
        <w:trPr>
          <w:trHeight w:val="324"/>
        </w:trPr>
        <w:tc>
          <w:tcPr>
            <w:tcW w:w="1520" w:type="dxa"/>
            <w:vAlign w:val="bottom"/>
          </w:tcPr>
          <w:p>
            <w:pPr>
              <w:spacing w:after="0"/>
              <w:rPr>
                <w:sz w:val="24"/>
                <w:szCs w:val="24"/>
                <w:color w:val="auto"/>
              </w:rPr>
            </w:pPr>
          </w:p>
        </w:tc>
        <w:tc>
          <w:tcPr>
            <w:tcW w:w="7580" w:type="dxa"/>
            <w:vAlign w:val="bottom"/>
          </w:tcPr>
          <w:p>
            <w:pPr>
              <w:jc w:val="center"/>
              <w:ind w:left="525"/>
              <w:spacing w:after="0"/>
              <w:rPr>
                <w:sz w:val="20"/>
                <w:szCs w:val="20"/>
                <w:color w:val="auto"/>
              </w:rPr>
            </w:pPr>
            <w:r>
              <w:rPr>
                <w:rFonts w:ascii="Times New Roman" w:cs="Times New Roman" w:eastAsia="Times New Roman" w:hAnsi="Times New Roman"/>
                <w:sz w:val="19"/>
                <w:szCs w:val="19"/>
                <w:color w:val="auto"/>
                <w:w w:val="98"/>
              </w:rPr>
              <w:t>ARTICLE VI</w:t>
            </w:r>
          </w:p>
        </w:tc>
        <w:tc>
          <w:tcPr>
            <w:tcW w:w="2140" w:type="dxa"/>
            <w:vAlign w:val="bottom"/>
          </w:tcPr>
          <w:p>
            <w:pPr>
              <w:spacing w:after="0"/>
              <w:rPr>
                <w:sz w:val="24"/>
                <w:szCs w:val="24"/>
                <w:color w:val="auto"/>
              </w:rPr>
            </w:pPr>
          </w:p>
        </w:tc>
      </w:tr>
      <w:tr>
        <w:trPr>
          <w:trHeight w:val="432"/>
        </w:trPr>
        <w:tc>
          <w:tcPr>
            <w:tcW w:w="1520" w:type="dxa"/>
            <w:vAlign w:val="bottom"/>
          </w:tcPr>
          <w:p>
            <w:pPr>
              <w:spacing w:after="0"/>
              <w:rPr>
                <w:sz w:val="24"/>
                <w:szCs w:val="24"/>
                <w:color w:val="auto"/>
              </w:rPr>
            </w:pPr>
          </w:p>
        </w:tc>
        <w:tc>
          <w:tcPr>
            <w:tcW w:w="7580" w:type="dxa"/>
            <w:vAlign w:val="bottom"/>
          </w:tcPr>
          <w:p>
            <w:pPr>
              <w:jc w:val="center"/>
              <w:ind w:left="525"/>
              <w:spacing w:after="0"/>
              <w:rPr>
                <w:sz w:val="20"/>
                <w:szCs w:val="20"/>
                <w:color w:val="auto"/>
              </w:rPr>
            </w:pPr>
            <w:r>
              <w:rPr>
                <w:rFonts w:ascii="Times New Roman" w:cs="Times New Roman" w:eastAsia="Times New Roman" w:hAnsi="Times New Roman"/>
                <w:sz w:val="19"/>
                <w:szCs w:val="19"/>
                <w:color w:val="auto"/>
                <w:w w:val="99"/>
              </w:rPr>
              <w:t>EVENTS OF DEFAULT</w:t>
            </w:r>
          </w:p>
        </w:tc>
        <w:tc>
          <w:tcPr>
            <w:tcW w:w="2140" w:type="dxa"/>
            <w:vAlign w:val="bottom"/>
          </w:tcPr>
          <w:p>
            <w:pPr>
              <w:spacing w:after="0"/>
              <w:rPr>
                <w:sz w:val="24"/>
                <w:szCs w:val="24"/>
                <w:color w:val="auto"/>
              </w:rPr>
            </w:pPr>
          </w:p>
        </w:tc>
      </w:tr>
      <w:tr>
        <w:trPr>
          <w:trHeight w:val="324"/>
        </w:trPr>
        <w:tc>
          <w:tcPr>
            <w:tcW w:w="1520" w:type="dxa"/>
            <w:vAlign w:val="bottom"/>
          </w:tcPr>
          <w:p>
            <w:pPr>
              <w:spacing w:after="0"/>
              <w:rPr>
                <w:sz w:val="20"/>
                <w:szCs w:val="20"/>
                <w:color w:val="auto"/>
              </w:rPr>
            </w:pPr>
            <w:r>
              <w:rPr>
                <w:rFonts w:ascii="Times New Roman" w:cs="Times New Roman" w:eastAsia="Times New Roman" w:hAnsi="Times New Roman"/>
                <w:sz w:val="19"/>
                <w:szCs w:val="19"/>
                <w:color w:val="auto"/>
              </w:rPr>
              <w:t>Section 6.01</w:t>
            </w:r>
          </w:p>
        </w:tc>
        <w:tc>
          <w:tcPr>
            <w:tcW w:w="75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Events of Default</w:t>
            </w:r>
          </w:p>
        </w:tc>
        <w:tc>
          <w:tcPr>
            <w:tcW w:w="2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w:t>
            </w:r>
          </w:p>
        </w:tc>
      </w:tr>
      <w:tr>
        <w:trPr>
          <w:trHeight w:val="324"/>
        </w:trPr>
        <w:tc>
          <w:tcPr>
            <w:tcW w:w="1520" w:type="dxa"/>
            <w:vAlign w:val="bottom"/>
          </w:tcPr>
          <w:p>
            <w:pPr>
              <w:spacing w:after="0"/>
              <w:rPr>
                <w:sz w:val="24"/>
                <w:szCs w:val="24"/>
                <w:color w:val="auto"/>
              </w:rPr>
            </w:pPr>
          </w:p>
        </w:tc>
        <w:tc>
          <w:tcPr>
            <w:tcW w:w="7580" w:type="dxa"/>
            <w:vAlign w:val="bottom"/>
          </w:tcPr>
          <w:p>
            <w:pPr>
              <w:jc w:val="center"/>
              <w:ind w:left="545"/>
              <w:spacing w:after="0"/>
              <w:rPr>
                <w:sz w:val="20"/>
                <w:szCs w:val="20"/>
                <w:color w:val="auto"/>
              </w:rPr>
            </w:pPr>
            <w:r>
              <w:rPr>
                <w:rFonts w:ascii="Times New Roman" w:cs="Times New Roman" w:eastAsia="Times New Roman" w:hAnsi="Times New Roman"/>
                <w:sz w:val="19"/>
                <w:szCs w:val="19"/>
                <w:color w:val="auto"/>
                <w:w w:val="98"/>
              </w:rPr>
              <w:t>ARTICLE VII</w:t>
            </w:r>
          </w:p>
        </w:tc>
        <w:tc>
          <w:tcPr>
            <w:tcW w:w="2140" w:type="dxa"/>
            <w:vAlign w:val="bottom"/>
          </w:tcPr>
          <w:p>
            <w:pPr>
              <w:spacing w:after="0"/>
              <w:rPr>
                <w:sz w:val="24"/>
                <w:szCs w:val="24"/>
                <w:color w:val="auto"/>
              </w:rPr>
            </w:pPr>
          </w:p>
        </w:tc>
      </w:tr>
      <w:tr>
        <w:trPr>
          <w:trHeight w:val="432"/>
        </w:trPr>
        <w:tc>
          <w:tcPr>
            <w:tcW w:w="1520" w:type="dxa"/>
            <w:vAlign w:val="bottom"/>
          </w:tcPr>
          <w:p>
            <w:pPr>
              <w:spacing w:after="0"/>
              <w:rPr>
                <w:sz w:val="24"/>
                <w:szCs w:val="24"/>
                <w:color w:val="auto"/>
              </w:rPr>
            </w:pPr>
          </w:p>
        </w:tc>
        <w:tc>
          <w:tcPr>
            <w:tcW w:w="7580" w:type="dxa"/>
            <w:vAlign w:val="bottom"/>
          </w:tcPr>
          <w:p>
            <w:pPr>
              <w:jc w:val="center"/>
              <w:ind w:left="545"/>
              <w:spacing w:after="0"/>
              <w:rPr>
                <w:sz w:val="20"/>
                <w:szCs w:val="20"/>
                <w:color w:val="auto"/>
              </w:rPr>
            </w:pPr>
            <w:r>
              <w:rPr>
                <w:rFonts w:ascii="Times New Roman" w:cs="Times New Roman" w:eastAsia="Times New Roman" w:hAnsi="Times New Roman"/>
                <w:sz w:val="19"/>
                <w:szCs w:val="19"/>
                <w:color w:val="auto"/>
                <w:w w:val="99"/>
              </w:rPr>
              <w:t>GUARANTY</w:t>
            </w:r>
          </w:p>
        </w:tc>
        <w:tc>
          <w:tcPr>
            <w:tcW w:w="2140" w:type="dxa"/>
            <w:vAlign w:val="bottom"/>
          </w:tcPr>
          <w:p>
            <w:pPr>
              <w:spacing w:after="0"/>
              <w:rPr>
                <w:sz w:val="24"/>
                <w:szCs w:val="24"/>
                <w:color w:val="auto"/>
              </w:rPr>
            </w:pPr>
          </w:p>
        </w:tc>
      </w:tr>
      <w:tr>
        <w:trPr>
          <w:trHeight w:val="296"/>
        </w:trPr>
        <w:tc>
          <w:tcPr>
            <w:tcW w:w="1520" w:type="dxa"/>
            <w:vAlign w:val="bottom"/>
          </w:tcPr>
          <w:p>
            <w:pPr>
              <w:spacing w:after="0"/>
              <w:rPr>
                <w:sz w:val="20"/>
                <w:szCs w:val="20"/>
                <w:color w:val="auto"/>
              </w:rPr>
            </w:pPr>
            <w:r>
              <w:rPr>
                <w:rFonts w:ascii="Times New Roman" w:cs="Times New Roman" w:eastAsia="Times New Roman" w:hAnsi="Times New Roman"/>
                <w:sz w:val="19"/>
                <w:szCs w:val="19"/>
                <w:color w:val="auto"/>
              </w:rPr>
              <w:t>Section 7.01</w:t>
            </w:r>
          </w:p>
        </w:tc>
        <w:tc>
          <w:tcPr>
            <w:tcW w:w="75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Guaranty; Limitation of Liability</w:t>
            </w:r>
          </w:p>
        </w:tc>
        <w:tc>
          <w:tcPr>
            <w:tcW w:w="2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7.02</w:t>
            </w:r>
          </w:p>
        </w:tc>
        <w:tc>
          <w:tcPr>
            <w:tcW w:w="75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Guaranty Absolute</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80</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7.03</w:t>
            </w:r>
          </w:p>
        </w:tc>
        <w:tc>
          <w:tcPr>
            <w:tcW w:w="75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Waivers and Acknowledgments</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81</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7.04</w:t>
            </w:r>
          </w:p>
        </w:tc>
        <w:tc>
          <w:tcPr>
            <w:tcW w:w="75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Subrogation</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82</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7.05</w:t>
            </w:r>
          </w:p>
        </w:tc>
        <w:tc>
          <w:tcPr>
            <w:tcW w:w="75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Guaranty Supplements</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82</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7.06</w:t>
            </w:r>
          </w:p>
        </w:tc>
        <w:tc>
          <w:tcPr>
            <w:tcW w:w="75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Indemnification by Guarantors</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83</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7.07</w:t>
            </w:r>
          </w:p>
        </w:tc>
        <w:tc>
          <w:tcPr>
            <w:tcW w:w="75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Subordination</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83</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7.08</w:t>
            </w:r>
          </w:p>
        </w:tc>
        <w:tc>
          <w:tcPr>
            <w:tcW w:w="75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Continuing Guaranty; Effect of Release</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84</w:t>
            </w:r>
          </w:p>
        </w:tc>
      </w:tr>
      <w:tr>
        <w:trPr>
          <w:trHeight w:val="244"/>
        </w:trPr>
        <w:tc>
          <w:tcPr>
            <w:tcW w:w="1520" w:type="dxa"/>
            <w:vAlign w:val="bottom"/>
          </w:tcPr>
          <w:p>
            <w:pPr>
              <w:spacing w:after="0"/>
              <w:rPr>
                <w:sz w:val="20"/>
                <w:szCs w:val="20"/>
                <w:color w:val="auto"/>
              </w:rPr>
            </w:pPr>
            <w:r>
              <w:rPr>
                <w:rFonts w:ascii="Times New Roman" w:cs="Times New Roman" w:eastAsia="Times New Roman" w:hAnsi="Times New Roman"/>
                <w:sz w:val="19"/>
                <w:szCs w:val="19"/>
                <w:color w:val="auto"/>
              </w:rPr>
              <w:t>Section 7.09</w:t>
            </w:r>
          </w:p>
        </w:tc>
        <w:tc>
          <w:tcPr>
            <w:tcW w:w="75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Keepwell</w:t>
            </w:r>
          </w:p>
        </w:tc>
        <w:tc>
          <w:tcPr>
            <w:tcW w:w="2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w:t>
            </w:r>
          </w:p>
        </w:tc>
      </w:tr>
      <w:tr>
        <w:trPr>
          <w:trHeight w:val="324"/>
        </w:trPr>
        <w:tc>
          <w:tcPr>
            <w:tcW w:w="1520" w:type="dxa"/>
            <w:vAlign w:val="bottom"/>
          </w:tcPr>
          <w:p>
            <w:pPr>
              <w:spacing w:after="0"/>
              <w:rPr>
                <w:sz w:val="24"/>
                <w:szCs w:val="24"/>
                <w:color w:val="auto"/>
              </w:rPr>
            </w:pPr>
          </w:p>
        </w:tc>
        <w:tc>
          <w:tcPr>
            <w:tcW w:w="7580" w:type="dxa"/>
            <w:vAlign w:val="bottom"/>
          </w:tcPr>
          <w:p>
            <w:pPr>
              <w:jc w:val="center"/>
              <w:ind w:left="525"/>
              <w:spacing w:after="0"/>
              <w:rPr>
                <w:sz w:val="20"/>
                <w:szCs w:val="20"/>
                <w:color w:val="auto"/>
              </w:rPr>
            </w:pPr>
            <w:r>
              <w:rPr>
                <w:rFonts w:ascii="Times New Roman" w:cs="Times New Roman" w:eastAsia="Times New Roman" w:hAnsi="Times New Roman"/>
                <w:sz w:val="19"/>
                <w:szCs w:val="19"/>
                <w:color w:val="auto"/>
                <w:w w:val="98"/>
              </w:rPr>
              <w:t>ARTICLE VIII</w:t>
            </w:r>
          </w:p>
        </w:tc>
        <w:tc>
          <w:tcPr>
            <w:tcW w:w="2140" w:type="dxa"/>
            <w:vAlign w:val="bottom"/>
          </w:tcPr>
          <w:p>
            <w:pPr>
              <w:spacing w:after="0"/>
              <w:rPr>
                <w:sz w:val="24"/>
                <w:szCs w:val="24"/>
                <w:color w:val="auto"/>
              </w:rPr>
            </w:pPr>
          </w:p>
        </w:tc>
      </w:tr>
      <w:tr>
        <w:trPr>
          <w:trHeight w:val="432"/>
        </w:trPr>
        <w:tc>
          <w:tcPr>
            <w:tcW w:w="1520" w:type="dxa"/>
            <w:vAlign w:val="bottom"/>
          </w:tcPr>
          <w:p>
            <w:pPr>
              <w:spacing w:after="0"/>
              <w:rPr>
                <w:sz w:val="24"/>
                <w:szCs w:val="24"/>
                <w:color w:val="auto"/>
              </w:rPr>
            </w:pPr>
          </w:p>
        </w:tc>
        <w:tc>
          <w:tcPr>
            <w:tcW w:w="7580" w:type="dxa"/>
            <w:vAlign w:val="bottom"/>
          </w:tcPr>
          <w:p>
            <w:pPr>
              <w:jc w:val="center"/>
              <w:ind w:left="525"/>
              <w:spacing w:after="0"/>
              <w:rPr>
                <w:sz w:val="20"/>
                <w:szCs w:val="20"/>
                <w:color w:val="auto"/>
              </w:rPr>
            </w:pPr>
            <w:r>
              <w:rPr>
                <w:rFonts w:ascii="Times New Roman" w:cs="Times New Roman" w:eastAsia="Times New Roman" w:hAnsi="Times New Roman"/>
                <w:sz w:val="19"/>
                <w:szCs w:val="19"/>
                <w:color w:val="auto"/>
                <w:w w:val="99"/>
              </w:rPr>
              <w:t>THE ADMINISTRATIVE AGENT</w:t>
            </w:r>
          </w:p>
        </w:tc>
        <w:tc>
          <w:tcPr>
            <w:tcW w:w="2140" w:type="dxa"/>
            <w:vAlign w:val="bottom"/>
          </w:tcPr>
          <w:p>
            <w:pPr>
              <w:spacing w:after="0"/>
              <w:rPr>
                <w:sz w:val="24"/>
                <w:szCs w:val="24"/>
                <w:color w:val="auto"/>
              </w:rPr>
            </w:pPr>
          </w:p>
        </w:tc>
      </w:tr>
      <w:tr>
        <w:trPr>
          <w:trHeight w:val="296"/>
        </w:trPr>
        <w:tc>
          <w:tcPr>
            <w:tcW w:w="1520" w:type="dxa"/>
            <w:vAlign w:val="bottom"/>
          </w:tcPr>
          <w:p>
            <w:pPr>
              <w:spacing w:after="0"/>
              <w:rPr>
                <w:sz w:val="20"/>
                <w:szCs w:val="20"/>
                <w:color w:val="auto"/>
              </w:rPr>
            </w:pPr>
            <w:r>
              <w:rPr>
                <w:rFonts w:ascii="Times New Roman" w:cs="Times New Roman" w:eastAsia="Times New Roman" w:hAnsi="Times New Roman"/>
                <w:sz w:val="19"/>
                <w:szCs w:val="19"/>
                <w:color w:val="auto"/>
              </w:rPr>
              <w:t>Section 8.01</w:t>
            </w:r>
          </w:p>
        </w:tc>
        <w:tc>
          <w:tcPr>
            <w:tcW w:w="75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Authorization and Action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8.02</w:t>
            </w:r>
          </w:p>
        </w:tc>
        <w:tc>
          <w:tcPr>
            <w:tcW w:w="75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The Administrative Agent’s Reliance, Etc.</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85</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8.03</w:t>
            </w:r>
          </w:p>
        </w:tc>
        <w:tc>
          <w:tcPr>
            <w:tcW w:w="75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PNC and Affiliates</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85</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8.04</w:t>
            </w:r>
          </w:p>
        </w:tc>
        <w:tc>
          <w:tcPr>
            <w:tcW w:w="75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Lender Credit Decision</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85</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8.05</w:t>
            </w:r>
          </w:p>
        </w:tc>
        <w:tc>
          <w:tcPr>
            <w:tcW w:w="75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Indemnification by Lenders</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86</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8.06</w:t>
            </w:r>
          </w:p>
        </w:tc>
        <w:tc>
          <w:tcPr>
            <w:tcW w:w="75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Successor Agent</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86</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8.07</w:t>
            </w:r>
          </w:p>
        </w:tc>
        <w:tc>
          <w:tcPr>
            <w:tcW w:w="75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Relationship of Administrative Agent and Lenders</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87</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8.08</w:t>
            </w:r>
          </w:p>
        </w:tc>
        <w:tc>
          <w:tcPr>
            <w:tcW w:w="75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Certain ERISA Matters</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87</w:t>
            </w:r>
          </w:p>
        </w:tc>
      </w:tr>
      <w:tr>
        <w:trPr>
          <w:trHeight w:val="244"/>
        </w:trPr>
        <w:tc>
          <w:tcPr>
            <w:tcW w:w="1520" w:type="dxa"/>
            <w:vAlign w:val="bottom"/>
          </w:tcPr>
          <w:p>
            <w:pPr>
              <w:spacing w:after="0"/>
              <w:rPr>
                <w:sz w:val="20"/>
                <w:szCs w:val="20"/>
                <w:color w:val="auto"/>
              </w:rPr>
            </w:pPr>
            <w:r>
              <w:rPr>
                <w:rFonts w:ascii="Times New Roman" w:cs="Times New Roman" w:eastAsia="Times New Roman" w:hAnsi="Times New Roman"/>
                <w:sz w:val="19"/>
                <w:szCs w:val="19"/>
                <w:color w:val="auto"/>
              </w:rPr>
              <w:t>Section 8.09</w:t>
            </w:r>
          </w:p>
        </w:tc>
        <w:tc>
          <w:tcPr>
            <w:tcW w:w="75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Payments in Error</w:t>
            </w:r>
          </w:p>
        </w:tc>
        <w:tc>
          <w:tcPr>
            <w:tcW w:w="2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w:t>
            </w:r>
          </w:p>
        </w:tc>
      </w:tr>
      <w:tr>
        <w:trPr>
          <w:trHeight w:val="324"/>
        </w:trPr>
        <w:tc>
          <w:tcPr>
            <w:tcW w:w="1520" w:type="dxa"/>
            <w:vAlign w:val="bottom"/>
          </w:tcPr>
          <w:p>
            <w:pPr>
              <w:spacing w:after="0"/>
              <w:rPr>
                <w:sz w:val="24"/>
                <w:szCs w:val="24"/>
                <w:color w:val="auto"/>
              </w:rPr>
            </w:pPr>
          </w:p>
        </w:tc>
        <w:tc>
          <w:tcPr>
            <w:tcW w:w="7580" w:type="dxa"/>
            <w:vAlign w:val="bottom"/>
          </w:tcPr>
          <w:p>
            <w:pPr>
              <w:jc w:val="center"/>
              <w:ind w:left="525"/>
              <w:spacing w:after="0"/>
              <w:rPr>
                <w:sz w:val="20"/>
                <w:szCs w:val="20"/>
                <w:color w:val="auto"/>
              </w:rPr>
            </w:pPr>
            <w:r>
              <w:rPr>
                <w:rFonts w:ascii="Times New Roman" w:cs="Times New Roman" w:eastAsia="Times New Roman" w:hAnsi="Times New Roman"/>
                <w:sz w:val="19"/>
                <w:szCs w:val="19"/>
                <w:color w:val="auto"/>
                <w:w w:val="98"/>
              </w:rPr>
              <w:t>ARTICLE IX</w:t>
            </w:r>
          </w:p>
        </w:tc>
        <w:tc>
          <w:tcPr>
            <w:tcW w:w="2140" w:type="dxa"/>
            <w:vAlign w:val="bottom"/>
          </w:tcPr>
          <w:p>
            <w:pPr>
              <w:spacing w:after="0"/>
              <w:rPr>
                <w:sz w:val="24"/>
                <w:szCs w:val="24"/>
                <w:color w:val="auto"/>
              </w:rPr>
            </w:pPr>
          </w:p>
        </w:tc>
      </w:tr>
      <w:tr>
        <w:trPr>
          <w:trHeight w:val="432"/>
        </w:trPr>
        <w:tc>
          <w:tcPr>
            <w:tcW w:w="1520" w:type="dxa"/>
            <w:vAlign w:val="bottom"/>
          </w:tcPr>
          <w:p>
            <w:pPr>
              <w:spacing w:after="0"/>
              <w:rPr>
                <w:sz w:val="24"/>
                <w:szCs w:val="24"/>
                <w:color w:val="auto"/>
              </w:rPr>
            </w:pPr>
          </w:p>
        </w:tc>
        <w:tc>
          <w:tcPr>
            <w:tcW w:w="7580" w:type="dxa"/>
            <w:vAlign w:val="bottom"/>
          </w:tcPr>
          <w:p>
            <w:pPr>
              <w:jc w:val="center"/>
              <w:ind w:left="545"/>
              <w:spacing w:after="0"/>
              <w:rPr>
                <w:sz w:val="20"/>
                <w:szCs w:val="20"/>
                <w:color w:val="auto"/>
              </w:rPr>
            </w:pPr>
            <w:r>
              <w:rPr>
                <w:rFonts w:ascii="Times New Roman" w:cs="Times New Roman" w:eastAsia="Times New Roman" w:hAnsi="Times New Roman"/>
                <w:sz w:val="19"/>
                <w:szCs w:val="19"/>
                <w:color w:val="auto"/>
                <w:w w:val="99"/>
              </w:rPr>
              <w:t>MISCELLANEOUS</w:t>
            </w:r>
          </w:p>
        </w:tc>
        <w:tc>
          <w:tcPr>
            <w:tcW w:w="2140" w:type="dxa"/>
            <w:vAlign w:val="bottom"/>
          </w:tcPr>
          <w:p>
            <w:pPr>
              <w:spacing w:after="0"/>
              <w:rPr>
                <w:sz w:val="24"/>
                <w:szCs w:val="24"/>
                <w:color w:val="auto"/>
              </w:rPr>
            </w:pPr>
          </w:p>
        </w:tc>
      </w:tr>
      <w:tr>
        <w:trPr>
          <w:trHeight w:val="296"/>
        </w:trPr>
        <w:tc>
          <w:tcPr>
            <w:tcW w:w="1520" w:type="dxa"/>
            <w:vAlign w:val="bottom"/>
          </w:tcPr>
          <w:p>
            <w:pPr>
              <w:spacing w:after="0"/>
              <w:rPr>
                <w:sz w:val="20"/>
                <w:szCs w:val="20"/>
                <w:color w:val="auto"/>
              </w:rPr>
            </w:pPr>
            <w:r>
              <w:rPr>
                <w:rFonts w:ascii="Times New Roman" w:cs="Times New Roman" w:eastAsia="Times New Roman" w:hAnsi="Times New Roman"/>
                <w:sz w:val="19"/>
                <w:szCs w:val="19"/>
                <w:color w:val="auto"/>
              </w:rPr>
              <w:t>Section 9.01</w:t>
            </w:r>
          </w:p>
        </w:tc>
        <w:tc>
          <w:tcPr>
            <w:tcW w:w="75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Amendments, Etc.</w:t>
            </w:r>
          </w:p>
        </w:tc>
        <w:tc>
          <w:tcPr>
            <w:tcW w:w="2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9.02</w:t>
            </w:r>
          </w:p>
        </w:tc>
        <w:tc>
          <w:tcPr>
            <w:tcW w:w="75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Notices, Etc.</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93</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9.03</w:t>
            </w:r>
          </w:p>
        </w:tc>
        <w:tc>
          <w:tcPr>
            <w:tcW w:w="75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No Waiver; Remedies</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95</w:t>
            </w:r>
          </w:p>
        </w:tc>
      </w:tr>
      <w:tr>
        <w:trPr>
          <w:trHeight w:val="188"/>
        </w:trPr>
        <w:tc>
          <w:tcPr>
            <w:tcW w:w="1520" w:type="dxa"/>
            <w:vAlign w:val="bottom"/>
          </w:tcPr>
          <w:p>
            <w:pPr>
              <w:spacing w:after="0" w:line="188" w:lineRule="exact"/>
              <w:rPr>
                <w:sz w:val="20"/>
                <w:szCs w:val="20"/>
                <w:color w:val="auto"/>
              </w:rPr>
            </w:pPr>
            <w:r>
              <w:rPr>
                <w:rFonts w:ascii="Times New Roman" w:cs="Times New Roman" w:eastAsia="Times New Roman" w:hAnsi="Times New Roman"/>
                <w:sz w:val="19"/>
                <w:szCs w:val="19"/>
                <w:color w:val="auto"/>
              </w:rPr>
              <w:t>Section 9.04</w:t>
            </w:r>
          </w:p>
        </w:tc>
        <w:tc>
          <w:tcPr>
            <w:tcW w:w="7580" w:type="dxa"/>
            <w:vAlign w:val="bottom"/>
          </w:tcPr>
          <w:p>
            <w:pPr>
              <w:ind w:left="580"/>
              <w:spacing w:after="0" w:line="188" w:lineRule="exact"/>
              <w:rPr>
                <w:sz w:val="20"/>
                <w:szCs w:val="20"/>
                <w:color w:val="auto"/>
              </w:rPr>
            </w:pPr>
            <w:r>
              <w:rPr>
                <w:rFonts w:ascii="Times New Roman" w:cs="Times New Roman" w:eastAsia="Times New Roman" w:hAnsi="Times New Roman"/>
                <w:sz w:val="19"/>
                <w:szCs w:val="19"/>
                <w:color w:val="auto"/>
              </w:rPr>
              <w:t>Costs and Expenses</w:t>
            </w:r>
          </w:p>
        </w:tc>
        <w:tc>
          <w:tcPr>
            <w:tcW w:w="2140" w:type="dxa"/>
            <w:vAlign w:val="bottom"/>
          </w:tcPr>
          <w:p>
            <w:pPr>
              <w:jc w:val="right"/>
              <w:spacing w:after="0" w:line="188" w:lineRule="exact"/>
              <w:rPr>
                <w:sz w:val="20"/>
                <w:szCs w:val="20"/>
                <w:color w:val="auto"/>
              </w:rPr>
            </w:pPr>
            <w:r>
              <w:rPr>
                <w:rFonts w:ascii="Times New Roman" w:cs="Times New Roman" w:eastAsia="Times New Roman" w:hAnsi="Times New Roman"/>
                <w:sz w:val="19"/>
                <w:szCs w:val="19"/>
                <w:color w:val="auto"/>
              </w:rPr>
              <w:t>95</w:t>
            </w: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19"/>
                <w:szCs w:val="19"/>
                <w:color w:val="auto"/>
              </w:rPr>
              <w:t>Section 9.05</w:t>
            </w:r>
          </w:p>
        </w:tc>
        <w:tc>
          <w:tcPr>
            <w:tcW w:w="7580" w:type="dxa"/>
            <w:vAlign w:val="bottom"/>
          </w:tcPr>
          <w:p>
            <w:pPr>
              <w:ind w:left="580"/>
              <w:spacing w:after="0" w:line="219" w:lineRule="exact"/>
              <w:rPr>
                <w:sz w:val="20"/>
                <w:szCs w:val="20"/>
                <w:color w:val="auto"/>
              </w:rPr>
            </w:pPr>
            <w:r>
              <w:rPr>
                <w:rFonts w:ascii="Times New Roman" w:cs="Times New Roman" w:eastAsia="Times New Roman" w:hAnsi="Times New Roman"/>
                <w:sz w:val="19"/>
                <w:szCs w:val="19"/>
                <w:color w:val="auto"/>
              </w:rPr>
              <w:t>Right of Set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off</w:t>
            </w:r>
          </w:p>
        </w:tc>
        <w:tc>
          <w:tcPr>
            <w:tcW w:w="2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9.06</w:t>
            </w:r>
          </w:p>
        </w:tc>
        <w:tc>
          <w:tcPr>
            <w:tcW w:w="75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Binding Effect</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97</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9.07</w:t>
            </w:r>
          </w:p>
        </w:tc>
        <w:tc>
          <w:tcPr>
            <w:tcW w:w="75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Assignments and Participations; Replacement Notes</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97</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9.08</w:t>
            </w:r>
          </w:p>
        </w:tc>
        <w:tc>
          <w:tcPr>
            <w:tcW w:w="75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Execution in Counterparts</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100</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9.09</w:t>
            </w:r>
          </w:p>
        </w:tc>
        <w:tc>
          <w:tcPr>
            <w:tcW w:w="75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Severability</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101</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9.10</w:t>
            </w:r>
          </w:p>
        </w:tc>
        <w:tc>
          <w:tcPr>
            <w:tcW w:w="75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Survival of Representations</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101</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9.11</w:t>
            </w:r>
          </w:p>
        </w:tc>
        <w:tc>
          <w:tcPr>
            <w:tcW w:w="75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Usury Not Intended</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101</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9.12</w:t>
            </w:r>
          </w:p>
        </w:tc>
        <w:tc>
          <w:tcPr>
            <w:tcW w:w="758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[Reserved]</w:t>
            </w:r>
          </w:p>
        </w:tc>
        <w:tc>
          <w:tcPr>
            <w:tcW w:w="214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102</w:t>
            </w:r>
          </w:p>
        </w:tc>
      </w:tr>
      <w:tr>
        <w:trPr>
          <w:trHeight w:val="244"/>
        </w:trPr>
        <w:tc>
          <w:tcPr>
            <w:tcW w:w="1520" w:type="dxa"/>
            <w:vAlign w:val="bottom"/>
          </w:tcPr>
          <w:p>
            <w:pPr>
              <w:spacing w:after="0"/>
              <w:rPr>
                <w:sz w:val="20"/>
                <w:szCs w:val="20"/>
                <w:color w:val="auto"/>
              </w:rPr>
            </w:pPr>
            <w:r>
              <w:rPr>
                <w:rFonts w:ascii="Times New Roman" w:cs="Times New Roman" w:eastAsia="Times New Roman" w:hAnsi="Times New Roman"/>
                <w:sz w:val="19"/>
                <w:szCs w:val="19"/>
                <w:color w:val="auto"/>
              </w:rPr>
              <w:t>Section 9.13</w:t>
            </w:r>
          </w:p>
        </w:tc>
        <w:tc>
          <w:tcPr>
            <w:tcW w:w="758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Confidentiality</w:t>
            </w:r>
          </w:p>
        </w:tc>
        <w:tc>
          <w:tcPr>
            <w:tcW w:w="2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w:t>
            </w:r>
          </w:p>
        </w:tc>
      </w:tr>
      <w:tr>
        <w:trPr>
          <w:trHeight w:val="1409"/>
        </w:trPr>
        <w:tc>
          <w:tcPr>
            <w:tcW w:w="152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8"/>
        </w:trPr>
        <w:tc>
          <w:tcPr>
            <w:tcW w:w="1520" w:type="dxa"/>
            <w:vAlign w:val="bottom"/>
          </w:tcPr>
          <w:p>
            <w:pPr>
              <w:spacing w:after="0"/>
              <w:rPr>
                <w:sz w:val="20"/>
                <w:szCs w:val="20"/>
                <w:color w:val="auto"/>
              </w:rPr>
            </w:pPr>
            <w:r>
              <w:rPr>
                <w:rFonts w:ascii="Times New Roman" w:cs="Times New Roman" w:eastAsia="Times New Roman" w:hAnsi="Times New Roman"/>
                <w:sz w:val="19"/>
                <w:szCs w:val="19"/>
                <w:color w:val="auto"/>
              </w:rPr>
              <w:t>Section 9.14</w:t>
            </w:r>
          </w:p>
        </w:tc>
        <w:tc>
          <w:tcPr>
            <w:tcW w:w="792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Release of Guarantors</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9.15</w:t>
            </w:r>
          </w:p>
        </w:tc>
        <w:tc>
          <w:tcPr>
            <w:tcW w:w="792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Patriot Act Notification; Anti-Money Laundering Act; Beneficial Ownership</w:t>
            </w:r>
          </w:p>
        </w:tc>
        <w:tc>
          <w:tcPr>
            <w:tcW w:w="18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106</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9.16</w:t>
            </w:r>
          </w:p>
        </w:tc>
        <w:tc>
          <w:tcPr>
            <w:tcW w:w="792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Jurisdiction, Etc</w:t>
            </w:r>
          </w:p>
        </w:tc>
        <w:tc>
          <w:tcPr>
            <w:tcW w:w="18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106</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9.17</w:t>
            </w:r>
          </w:p>
        </w:tc>
        <w:tc>
          <w:tcPr>
            <w:tcW w:w="792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Governing Law</w:t>
            </w:r>
          </w:p>
        </w:tc>
        <w:tc>
          <w:tcPr>
            <w:tcW w:w="18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107</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9.18</w:t>
            </w:r>
          </w:p>
        </w:tc>
        <w:tc>
          <w:tcPr>
            <w:tcW w:w="792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WAIVER OF JURY TRIAL</w:t>
            </w:r>
          </w:p>
        </w:tc>
        <w:tc>
          <w:tcPr>
            <w:tcW w:w="18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107</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9.19</w:t>
            </w:r>
          </w:p>
        </w:tc>
        <w:tc>
          <w:tcPr>
            <w:tcW w:w="792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No Fiduciary Duties</w:t>
            </w:r>
          </w:p>
        </w:tc>
        <w:tc>
          <w:tcPr>
            <w:tcW w:w="18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107</w:t>
            </w:r>
          </w:p>
        </w:tc>
      </w:tr>
      <w:tr>
        <w:trPr>
          <w:trHeight w:val="216"/>
        </w:trPr>
        <w:tc>
          <w:tcPr>
            <w:tcW w:w="15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Section 9.20</w:t>
            </w:r>
          </w:p>
        </w:tc>
        <w:tc>
          <w:tcPr>
            <w:tcW w:w="7920" w:type="dxa"/>
            <w:vAlign w:val="bottom"/>
          </w:tcPr>
          <w:p>
            <w:pPr>
              <w:ind w:left="580"/>
              <w:spacing w:after="0" w:line="216" w:lineRule="exact"/>
              <w:rPr>
                <w:sz w:val="20"/>
                <w:szCs w:val="20"/>
                <w:color w:val="auto"/>
              </w:rPr>
            </w:pPr>
            <w:r>
              <w:rPr>
                <w:rFonts w:ascii="Times New Roman" w:cs="Times New Roman" w:eastAsia="Times New Roman" w:hAnsi="Times New Roman"/>
                <w:sz w:val="19"/>
                <w:szCs w:val="19"/>
                <w:color w:val="auto"/>
              </w:rPr>
              <w:t>Acknowledgement and Consent to Bail-In of Affected Financial Institutions</w:t>
            </w:r>
          </w:p>
        </w:tc>
        <w:tc>
          <w:tcPr>
            <w:tcW w:w="180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107</w:t>
            </w:r>
          </w:p>
        </w:tc>
      </w:tr>
      <w:tr>
        <w:trPr>
          <w:trHeight w:val="244"/>
        </w:trPr>
        <w:tc>
          <w:tcPr>
            <w:tcW w:w="1520" w:type="dxa"/>
            <w:vAlign w:val="bottom"/>
          </w:tcPr>
          <w:p>
            <w:pPr>
              <w:spacing w:after="0"/>
              <w:rPr>
                <w:sz w:val="20"/>
                <w:szCs w:val="20"/>
                <w:color w:val="auto"/>
              </w:rPr>
            </w:pPr>
            <w:r>
              <w:rPr>
                <w:rFonts w:ascii="Times New Roman" w:cs="Times New Roman" w:eastAsia="Times New Roman" w:hAnsi="Times New Roman"/>
                <w:sz w:val="19"/>
                <w:szCs w:val="19"/>
                <w:color w:val="auto"/>
              </w:rPr>
              <w:t>Section 9.21</w:t>
            </w:r>
          </w:p>
        </w:tc>
        <w:tc>
          <w:tcPr>
            <w:tcW w:w="7920" w:type="dxa"/>
            <w:vAlign w:val="bottom"/>
          </w:tcPr>
          <w:p>
            <w:pPr>
              <w:ind w:left="580"/>
              <w:spacing w:after="0"/>
              <w:rPr>
                <w:sz w:val="20"/>
                <w:szCs w:val="20"/>
                <w:color w:val="auto"/>
              </w:rPr>
            </w:pPr>
            <w:r>
              <w:rPr>
                <w:rFonts w:ascii="Times New Roman" w:cs="Times New Roman" w:eastAsia="Times New Roman" w:hAnsi="Times New Roman"/>
                <w:sz w:val="19"/>
                <w:szCs w:val="19"/>
                <w:color w:val="auto"/>
              </w:rPr>
              <w:t>Acknowledgement Regarding Any Supported QFCs</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108</w:t>
            </w:r>
          </w:p>
        </w:tc>
      </w:tr>
      <w:tr>
        <w:trPr>
          <w:trHeight w:val="1409"/>
        </w:trPr>
        <w:tc>
          <w:tcPr>
            <w:tcW w:w="1520" w:type="dxa"/>
            <w:vAlign w:val="bottom"/>
            <w:tcBorders>
              <w:bottom w:val="single" w:sz="8" w:color="9A9A9A"/>
            </w:tcBorders>
          </w:tcPr>
          <w:p>
            <w:pPr>
              <w:spacing w:after="0"/>
              <w:rPr>
                <w:sz w:val="24"/>
                <w:szCs w:val="24"/>
                <w:color w:val="auto"/>
              </w:rPr>
            </w:pPr>
          </w:p>
        </w:tc>
        <w:tc>
          <w:tcPr>
            <w:tcW w:w="79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8" w:name="page9"/>
    <w:bookmarkEnd w:id="8"/>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9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SCHEDULES</w:t>
            </w:r>
          </w:p>
        </w:tc>
        <w:tc>
          <w:tcPr>
            <w:tcW w:w="740" w:type="dxa"/>
            <w:vAlign w:val="bottom"/>
          </w:tcPr>
          <w:p>
            <w:pPr>
              <w:spacing w:after="0"/>
              <w:rPr>
                <w:sz w:val="21"/>
                <w:szCs w:val="21"/>
                <w:color w:val="auto"/>
              </w:rPr>
            </w:pPr>
          </w:p>
        </w:tc>
        <w:tc>
          <w:tcPr>
            <w:tcW w:w="8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19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Schedule I</w:t>
            </w:r>
          </w:p>
        </w:tc>
        <w:tc>
          <w:tcPr>
            <w:tcW w:w="74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Commitments and Applicable Lending Offices</w:t>
            </w:r>
          </w:p>
        </w:tc>
        <w:tc>
          <w:tcPr>
            <w:tcW w:w="0" w:type="dxa"/>
            <w:vAlign w:val="bottom"/>
          </w:tcPr>
          <w:p>
            <w:pPr>
              <w:spacing w:after="0"/>
              <w:rPr>
                <w:sz w:val="1"/>
                <w:szCs w:val="1"/>
                <w:color w:val="auto"/>
              </w:rPr>
            </w:pPr>
          </w:p>
        </w:tc>
      </w:tr>
      <w:tr>
        <w:trPr>
          <w:trHeight w:val="229"/>
        </w:trPr>
        <w:tc>
          <w:tcPr>
            <w:tcW w:w="19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Schedule II</w:t>
            </w:r>
          </w:p>
        </w:tc>
        <w:tc>
          <w:tcPr>
            <w:tcW w:w="74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Unencumbered Assets</w:t>
            </w:r>
          </w:p>
        </w:tc>
        <w:tc>
          <w:tcPr>
            <w:tcW w:w="0" w:type="dxa"/>
            <w:vAlign w:val="bottom"/>
          </w:tcPr>
          <w:p>
            <w:pPr>
              <w:spacing w:after="0"/>
              <w:rPr>
                <w:sz w:val="1"/>
                <w:szCs w:val="1"/>
                <w:color w:val="auto"/>
              </w:rPr>
            </w:pPr>
          </w:p>
        </w:tc>
      </w:tr>
      <w:tr>
        <w:trPr>
          <w:trHeight w:val="230"/>
        </w:trPr>
        <w:tc>
          <w:tcPr>
            <w:tcW w:w="19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Schedule 4.01(b)</w:t>
            </w:r>
          </w:p>
        </w:tc>
        <w:tc>
          <w:tcPr>
            <w:tcW w:w="74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Subsidiaries</w:t>
            </w:r>
          </w:p>
        </w:tc>
        <w:tc>
          <w:tcPr>
            <w:tcW w:w="0" w:type="dxa"/>
            <w:vAlign w:val="bottom"/>
          </w:tcPr>
          <w:p>
            <w:pPr>
              <w:spacing w:after="0"/>
              <w:rPr>
                <w:sz w:val="1"/>
                <w:szCs w:val="1"/>
                <w:color w:val="auto"/>
              </w:rPr>
            </w:pPr>
          </w:p>
        </w:tc>
      </w:tr>
      <w:tr>
        <w:trPr>
          <w:trHeight w:val="229"/>
        </w:trPr>
        <w:tc>
          <w:tcPr>
            <w:tcW w:w="19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Schedule 4.01(f)</w:t>
            </w:r>
          </w:p>
        </w:tc>
        <w:tc>
          <w:tcPr>
            <w:tcW w:w="74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Material Litigation</w:t>
            </w:r>
          </w:p>
        </w:tc>
        <w:tc>
          <w:tcPr>
            <w:tcW w:w="0" w:type="dxa"/>
            <w:vAlign w:val="bottom"/>
          </w:tcPr>
          <w:p>
            <w:pPr>
              <w:spacing w:after="0"/>
              <w:rPr>
                <w:sz w:val="1"/>
                <w:szCs w:val="1"/>
                <w:color w:val="auto"/>
              </w:rPr>
            </w:pPr>
          </w:p>
        </w:tc>
      </w:tr>
      <w:tr>
        <w:trPr>
          <w:trHeight w:val="229"/>
        </w:trPr>
        <w:tc>
          <w:tcPr>
            <w:tcW w:w="19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Schedule 4.01(o)</w:t>
            </w:r>
          </w:p>
        </w:tc>
        <w:tc>
          <w:tcPr>
            <w:tcW w:w="74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Existing Liens</w:t>
            </w:r>
          </w:p>
        </w:tc>
        <w:tc>
          <w:tcPr>
            <w:tcW w:w="0" w:type="dxa"/>
            <w:vAlign w:val="bottom"/>
          </w:tcPr>
          <w:p>
            <w:pPr>
              <w:spacing w:after="0"/>
              <w:rPr>
                <w:sz w:val="1"/>
                <w:szCs w:val="1"/>
                <w:color w:val="auto"/>
              </w:rPr>
            </w:pPr>
          </w:p>
        </w:tc>
      </w:tr>
      <w:tr>
        <w:trPr>
          <w:trHeight w:val="230"/>
        </w:trPr>
        <w:tc>
          <w:tcPr>
            <w:tcW w:w="19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Schedule 4.01(p)</w:t>
            </w:r>
          </w:p>
        </w:tc>
        <w:tc>
          <w:tcPr>
            <w:tcW w:w="74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Real Property</w:t>
            </w:r>
          </w:p>
        </w:tc>
        <w:tc>
          <w:tcPr>
            <w:tcW w:w="0" w:type="dxa"/>
            <w:vAlign w:val="bottom"/>
          </w:tcPr>
          <w:p>
            <w:pPr>
              <w:spacing w:after="0"/>
              <w:rPr>
                <w:sz w:val="1"/>
                <w:szCs w:val="1"/>
                <w:color w:val="auto"/>
              </w:rPr>
            </w:pPr>
          </w:p>
        </w:tc>
      </w:tr>
      <w:tr>
        <w:trPr>
          <w:trHeight w:val="229"/>
        </w:trPr>
        <w:tc>
          <w:tcPr>
            <w:tcW w:w="19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Part I</w:t>
            </w:r>
          </w:p>
        </w:tc>
        <w:tc>
          <w:tcPr>
            <w:tcW w:w="74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Owned Assets</w:t>
            </w:r>
          </w:p>
        </w:tc>
        <w:tc>
          <w:tcPr>
            <w:tcW w:w="0" w:type="dxa"/>
            <w:vAlign w:val="bottom"/>
          </w:tcPr>
          <w:p>
            <w:pPr>
              <w:spacing w:after="0"/>
              <w:rPr>
                <w:sz w:val="1"/>
                <w:szCs w:val="1"/>
                <w:color w:val="auto"/>
              </w:rPr>
            </w:pPr>
          </w:p>
        </w:tc>
      </w:tr>
      <w:tr>
        <w:trPr>
          <w:trHeight w:val="229"/>
        </w:trPr>
        <w:tc>
          <w:tcPr>
            <w:tcW w:w="19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Part II</w:t>
            </w:r>
          </w:p>
        </w:tc>
        <w:tc>
          <w:tcPr>
            <w:tcW w:w="74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Leased Assets</w:t>
            </w:r>
          </w:p>
        </w:tc>
        <w:tc>
          <w:tcPr>
            <w:tcW w:w="0" w:type="dxa"/>
            <w:vAlign w:val="bottom"/>
          </w:tcPr>
          <w:p>
            <w:pPr>
              <w:spacing w:after="0"/>
              <w:rPr>
                <w:sz w:val="1"/>
                <w:szCs w:val="1"/>
                <w:color w:val="auto"/>
              </w:rPr>
            </w:pPr>
          </w:p>
        </w:tc>
      </w:tr>
      <w:tr>
        <w:trPr>
          <w:trHeight w:val="230"/>
        </w:trPr>
        <w:tc>
          <w:tcPr>
            <w:tcW w:w="19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Schedule 4.01(q)</w:t>
            </w:r>
          </w:p>
        </w:tc>
        <w:tc>
          <w:tcPr>
            <w:tcW w:w="74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Environmental Concerns</w:t>
            </w:r>
          </w:p>
        </w:tc>
        <w:tc>
          <w:tcPr>
            <w:tcW w:w="0" w:type="dxa"/>
            <w:vAlign w:val="bottom"/>
          </w:tcPr>
          <w:p>
            <w:pPr>
              <w:spacing w:after="0"/>
              <w:rPr>
                <w:sz w:val="1"/>
                <w:szCs w:val="1"/>
                <w:color w:val="auto"/>
              </w:rPr>
            </w:pPr>
          </w:p>
        </w:tc>
      </w:tr>
      <w:tr>
        <w:trPr>
          <w:trHeight w:val="317"/>
        </w:trPr>
        <w:tc>
          <w:tcPr>
            <w:tcW w:w="19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Schedule 4.01(w)</w:t>
            </w:r>
          </w:p>
        </w:tc>
        <w:tc>
          <w:tcPr>
            <w:tcW w:w="74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Plans and Welfare Plans</w:t>
            </w:r>
          </w:p>
        </w:tc>
        <w:tc>
          <w:tcPr>
            <w:tcW w:w="0" w:type="dxa"/>
            <w:vAlign w:val="bottom"/>
          </w:tcPr>
          <w:p>
            <w:pPr>
              <w:spacing w:after="0"/>
              <w:rPr>
                <w:sz w:val="1"/>
                <w:szCs w:val="1"/>
                <w:color w:val="auto"/>
              </w:rPr>
            </w:pPr>
          </w:p>
        </w:tc>
      </w:tr>
      <w:tr>
        <w:trPr>
          <w:trHeight w:val="400"/>
        </w:trPr>
        <w:tc>
          <w:tcPr>
            <w:tcW w:w="19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EXHIBITS</w:t>
            </w:r>
          </w:p>
        </w:tc>
        <w:tc>
          <w:tcPr>
            <w:tcW w:w="74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9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Exhibit A</w:t>
            </w:r>
          </w:p>
        </w:tc>
        <w:tc>
          <w:tcPr>
            <w:tcW w:w="74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Form of Note</w:t>
            </w:r>
          </w:p>
        </w:tc>
        <w:tc>
          <w:tcPr>
            <w:tcW w:w="0" w:type="dxa"/>
            <w:vAlign w:val="bottom"/>
          </w:tcPr>
          <w:p>
            <w:pPr>
              <w:spacing w:after="0"/>
              <w:rPr>
                <w:sz w:val="1"/>
                <w:szCs w:val="1"/>
                <w:color w:val="auto"/>
              </w:rPr>
            </w:pPr>
          </w:p>
        </w:tc>
      </w:tr>
      <w:tr>
        <w:trPr>
          <w:trHeight w:val="229"/>
        </w:trPr>
        <w:tc>
          <w:tcPr>
            <w:tcW w:w="19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Exhibit B</w:t>
            </w:r>
          </w:p>
        </w:tc>
        <w:tc>
          <w:tcPr>
            <w:tcW w:w="74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Form of Notice of Borrowing</w:t>
            </w:r>
          </w:p>
        </w:tc>
        <w:tc>
          <w:tcPr>
            <w:tcW w:w="0" w:type="dxa"/>
            <w:vAlign w:val="bottom"/>
          </w:tcPr>
          <w:p>
            <w:pPr>
              <w:spacing w:after="0"/>
              <w:rPr>
                <w:sz w:val="1"/>
                <w:szCs w:val="1"/>
                <w:color w:val="auto"/>
              </w:rPr>
            </w:pPr>
          </w:p>
        </w:tc>
      </w:tr>
      <w:tr>
        <w:trPr>
          <w:trHeight w:val="230"/>
        </w:trPr>
        <w:tc>
          <w:tcPr>
            <w:tcW w:w="19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Exhibit C</w:t>
            </w:r>
          </w:p>
        </w:tc>
        <w:tc>
          <w:tcPr>
            <w:tcW w:w="74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Form of Guaranty Supplement</w:t>
            </w:r>
          </w:p>
        </w:tc>
        <w:tc>
          <w:tcPr>
            <w:tcW w:w="0" w:type="dxa"/>
            <w:vAlign w:val="bottom"/>
          </w:tcPr>
          <w:p>
            <w:pPr>
              <w:spacing w:after="0"/>
              <w:rPr>
                <w:sz w:val="1"/>
                <w:szCs w:val="1"/>
                <w:color w:val="auto"/>
              </w:rPr>
            </w:pPr>
          </w:p>
        </w:tc>
      </w:tr>
      <w:tr>
        <w:trPr>
          <w:trHeight w:val="229"/>
        </w:trPr>
        <w:tc>
          <w:tcPr>
            <w:tcW w:w="19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Exhibit D</w:t>
            </w:r>
          </w:p>
        </w:tc>
        <w:tc>
          <w:tcPr>
            <w:tcW w:w="74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Form of Assignment and Acceptance</w:t>
            </w:r>
          </w:p>
        </w:tc>
        <w:tc>
          <w:tcPr>
            <w:tcW w:w="0" w:type="dxa"/>
            <w:vAlign w:val="bottom"/>
          </w:tcPr>
          <w:p>
            <w:pPr>
              <w:spacing w:after="0"/>
              <w:rPr>
                <w:sz w:val="1"/>
                <w:szCs w:val="1"/>
                <w:color w:val="auto"/>
              </w:rPr>
            </w:pPr>
          </w:p>
        </w:tc>
      </w:tr>
      <w:tr>
        <w:trPr>
          <w:trHeight w:val="230"/>
        </w:trPr>
        <w:tc>
          <w:tcPr>
            <w:tcW w:w="19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Exhibit E</w:t>
            </w:r>
          </w:p>
        </w:tc>
        <w:tc>
          <w:tcPr>
            <w:tcW w:w="74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[Reserved]</w:t>
            </w:r>
          </w:p>
        </w:tc>
        <w:tc>
          <w:tcPr>
            <w:tcW w:w="0" w:type="dxa"/>
            <w:vAlign w:val="bottom"/>
          </w:tcPr>
          <w:p>
            <w:pPr>
              <w:spacing w:after="0"/>
              <w:rPr>
                <w:sz w:val="1"/>
                <w:szCs w:val="1"/>
                <w:color w:val="auto"/>
              </w:rPr>
            </w:pPr>
          </w:p>
        </w:tc>
      </w:tr>
      <w:tr>
        <w:trPr>
          <w:trHeight w:val="229"/>
        </w:trPr>
        <w:tc>
          <w:tcPr>
            <w:tcW w:w="192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Exhibit F</w:t>
            </w:r>
          </w:p>
        </w:tc>
        <w:tc>
          <w:tcPr>
            <w:tcW w:w="74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[Reserved]</w:t>
            </w:r>
          </w:p>
        </w:tc>
        <w:tc>
          <w:tcPr>
            <w:tcW w:w="0" w:type="dxa"/>
            <w:vAlign w:val="bottom"/>
          </w:tcPr>
          <w:p>
            <w:pPr>
              <w:spacing w:after="0"/>
              <w:rPr>
                <w:sz w:val="1"/>
                <w:szCs w:val="1"/>
                <w:color w:val="auto"/>
              </w:rPr>
            </w:pPr>
          </w:p>
        </w:tc>
      </w:tr>
      <w:tr>
        <w:trPr>
          <w:trHeight w:val="244"/>
        </w:trPr>
        <w:tc>
          <w:tcPr>
            <w:tcW w:w="1920" w:type="dxa"/>
            <w:vAlign w:val="bottom"/>
          </w:tcPr>
          <w:p>
            <w:pPr>
              <w:ind w:left="100"/>
              <w:spacing w:after="0" w:line="219" w:lineRule="exact"/>
              <w:rPr>
                <w:sz w:val="20"/>
                <w:szCs w:val="20"/>
                <w:color w:val="auto"/>
              </w:rPr>
            </w:pPr>
            <w:r>
              <w:rPr>
                <w:rFonts w:ascii="Times New Roman" w:cs="Times New Roman" w:eastAsia="Times New Roman" w:hAnsi="Times New Roman"/>
                <w:sz w:val="19"/>
                <w:szCs w:val="19"/>
                <w:color w:val="auto"/>
              </w:rPr>
              <w:t>Exhibit 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w:t>
            </w:r>
          </w:p>
        </w:tc>
        <w:tc>
          <w:tcPr>
            <w:tcW w:w="74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Form of Section 2.12(g) U.S. Tax Compliance Certificate (For Foreign Lenders That Are Not Partnerships</w:t>
            </w:r>
          </w:p>
        </w:tc>
        <w:tc>
          <w:tcPr>
            <w:tcW w:w="0" w:type="dxa"/>
            <w:vAlign w:val="bottom"/>
          </w:tcPr>
          <w:p>
            <w:pPr>
              <w:spacing w:after="0"/>
              <w:rPr>
                <w:sz w:val="1"/>
                <w:szCs w:val="1"/>
                <w:color w:val="auto"/>
              </w:rPr>
            </w:pPr>
          </w:p>
        </w:tc>
      </w:tr>
      <w:tr>
        <w:trPr>
          <w:trHeight w:val="216"/>
        </w:trPr>
        <w:tc>
          <w:tcPr>
            <w:tcW w:w="1920" w:type="dxa"/>
            <w:vAlign w:val="bottom"/>
            <w:vMerge w:val="restart"/>
          </w:tcPr>
          <w:p>
            <w:pPr>
              <w:ind w:left="100"/>
              <w:spacing w:after="0" w:line="219" w:lineRule="exact"/>
              <w:rPr>
                <w:sz w:val="20"/>
                <w:szCs w:val="20"/>
                <w:color w:val="auto"/>
              </w:rPr>
            </w:pPr>
            <w:r>
              <w:rPr>
                <w:rFonts w:ascii="Times New Roman" w:cs="Times New Roman" w:eastAsia="Times New Roman" w:hAnsi="Times New Roman"/>
                <w:sz w:val="19"/>
                <w:szCs w:val="19"/>
                <w:color w:val="auto"/>
              </w:rPr>
              <w:t>Exhibit 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w:t>
            </w:r>
          </w:p>
        </w:tc>
        <w:tc>
          <w:tcPr>
            <w:tcW w:w="740" w:type="dxa"/>
            <w:vAlign w:val="bottom"/>
          </w:tcPr>
          <w:p>
            <w:pPr>
              <w:spacing w:after="0"/>
              <w:rPr>
                <w:sz w:val="18"/>
                <w:szCs w:val="18"/>
                <w:color w:val="auto"/>
              </w:rPr>
            </w:pPr>
          </w:p>
        </w:tc>
        <w:tc>
          <w:tcPr>
            <w:tcW w:w="858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For U.S. Federal Income Tax Purposes)</w:t>
            </w:r>
          </w:p>
        </w:tc>
        <w:tc>
          <w:tcPr>
            <w:tcW w:w="0" w:type="dxa"/>
            <w:vAlign w:val="bottom"/>
          </w:tcPr>
          <w:p>
            <w:pPr>
              <w:spacing w:after="0"/>
              <w:rPr>
                <w:sz w:val="1"/>
                <w:szCs w:val="1"/>
                <w:color w:val="auto"/>
              </w:rPr>
            </w:pPr>
          </w:p>
        </w:tc>
      </w:tr>
      <w:tr>
        <w:trPr>
          <w:trHeight w:val="216"/>
        </w:trPr>
        <w:tc>
          <w:tcPr>
            <w:tcW w:w="192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858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Form of Section 2.12(g) U.S. Tax Compliance Certificate (For Foreign Participants That Are Not</w:t>
            </w:r>
          </w:p>
        </w:tc>
        <w:tc>
          <w:tcPr>
            <w:tcW w:w="0" w:type="dxa"/>
            <w:vAlign w:val="bottom"/>
          </w:tcPr>
          <w:p>
            <w:pPr>
              <w:spacing w:after="0"/>
              <w:rPr>
                <w:sz w:val="1"/>
                <w:szCs w:val="1"/>
                <w:color w:val="auto"/>
              </w:rPr>
            </w:pPr>
          </w:p>
        </w:tc>
      </w:tr>
      <w:tr>
        <w:trPr>
          <w:trHeight w:val="216"/>
        </w:trPr>
        <w:tc>
          <w:tcPr>
            <w:tcW w:w="1920" w:type="dxa"/>
            <w:vAlign w:val="bottom"/>
            <w:vMerge w:val="restart"/>
          </w:tcPr>
          <w:p>
            <w:pPr>
              <w:ind w:left="100"/>
              <w:spacing w:after="0" w:line="219" w:lineRule="exact"/>
              <w:rPr>
                <w:sz w:val="20"/>
                <w:szCs w:val="20"/>
                <w:color w:val="auto"/>
              </w:rPr>
            </w:pPr>
            <w:r>
              <w:rPr>
                <w:rFonts w:ascii="Times New Roman" w:cs="Times New Roman" w:eastAsia="Times New Roman" w:hAnsi="Times New Roman"/>
                <w:sz w:val="19"/>
                <w:szCs w:val="19"/>
                <w:color w:val="auto"/>
              </w:rPr>
              <w:t>Exhibit 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3</w:t>
            </w:r>
          </w:p>
        </w:tc>
        <w:tc>
          <w:tcPr>
            <w:tcW w:w="740" w:type="dxa"/>
            <w:vAlign w:val="bottom"/>
          </w:tcPr>
          <w:p>
            <w:pPr>
              <w:spacing w:after="0"/>
              <w:rPr>
                <w:sz w:val="18"/>
                <w:szCs w:val="18"/>
                <w:color w:val="auto"/>
              </w:rPr>
            </w:pPr>
          </w:p>
        </w:tc>
        <w:tc>
          <w:tcPr>
            <w:tcW w:w="858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Partnerships For U.S. Federal Income Tax Purposes)</w:t>
            </w:r>
          </w:p>
        </w:tc>
        <w:tc>
          <w:tcPr>
            <w:tcW w:w="0" w:type="dxa"/>
            <w:vAlign w:val="bottom"/>
          </w:tcPr>
          <w:p>
            <w:pPr>
              <w:spacing w:after="0"/>
              <w:rPr>
                <w:sz w:val="1"/>
                <w:szCs w:val="1"/>
                <w:color w:val="auto"/>
              </w:rPr>
            </w:pPr>
          </w:p>
        </w:tc>
      </w:tr>
      <w:tr>
        <w:trPr>
          <w:trHeight w:val="216"/>
        </w:trPr>
        <w:tc>
          <w:tcPr>
            <w:tcW w:w="192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858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Form of Section 2.12(g) U.S. Tax Compliance Certificate (For Foreign Participants That Are Partnerships</w:t>
            </w:r>
          </w:p>
        </w:tc>
        <w:tc>
          <w:tcPr>
            <w:tcW w:w="0" w:type="dxa"/>
            <w:vAlign w:val="bottom"/>
          </w:tcPr>
          <w:p>
            <w:pPr>
              <w:spacing w:after="0"/>
              <w:rPr>
                <w:sz w:val="1"/>
                <w:szCs w:val="1"/>
                <w:color w:val="auto"/>
              </w:rPr>
            </w:pPr>
          </w:p>
        </w:tc>
      </w:tr>
      <w:tr>
        <w:trPr>
          <w:trHeight w:val="216"/>
        </w:trPr>
        <w:tc>
          <w:tcPr>
            <w:tcW w:w="1920" w:type="dxa"/>
            <w:vAlign w:val="bottom"/>
            <w:vMerge w:val="restart"/>
          </w:tcPr>
          <w:p>
            <w:pPr>
              <w:ind w:left="100"/>
              <w:spacing w:after="0" w:line="219" w:lineRule="exact"/>
              <w:rPr>
                <w:sz w:val="20"/>
                <w:szCs w:val="20"/>
                <w:color w:val="auto"/>
              </w:rPr>
            </w:pPr>
            <w:r>
              <w:rPr>
                <w:rFonts w:ascii="Times New Roman" w:cs="Times New Roman" w:eastAsia="Times New Roman" w:hAnsi="Times New Roman"/>
                <w:sz w:val="19"/>
                <w:szCs w:val="19"/>
                <w:color w:val="auto"/>
              </w:rPr>
              <w:t>Exhibit 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4</w:t>
            </w:r>
          </w:p>
        </w:tc>
        <w:tc>
          <w:tcPr>
            <w:tcW w:w="740" w:type="dxa"/>
            <w:vAlign w:val="bottom"/>
          </w:tcPr>
          <w:p>
            <w:pPr>
              <w:spacing w:after="0"/>
              <w:rPr>
                <w:sz w:val="18"/>
                <w:szCs w:val="18"/>
                <w:color w:val="auto"/>
              </w:rPr>
            </w:pPr>
          </w:p>
        </w:tc>
        <w:tc>
          <w:tcPr>
            <w:tcW w:w="858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For U.S. Federal Income Tax Purposes)</w:t>
            </w:r>
          </w:p>
        </w:tc>
        <w:tc>
          <w:tcPr>
            <w:tcW w:w="0" w:type="dxa"/>
            <w:vAlign w:val="bottom"/>
          </w:tcPr>
          <w:p>
            <w:pPr>
              <w:spacing w:after="0"/>
              <w:rPr>
                <w:sz w:val="1"/>
                <w:szCs w:val="1"/>
                <w:color w:val="auto"/>
              </w:rPr>
            </w:pPr>
          </w:p>
        </w:tc>
      </w:tr>
      <w:tr>
        <w:trPr>
          <w:trHeight w:val="216"/>
        </w:trPr>
        <w:tc>
          <w:tcPr>
            <w:tcW w:w="192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858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Form of Section 2.12(g) U.S. Tax Compliance Certificate (For Foreign Lenders That Are Partnerships For</w:t>
            </w:r>
          </w:p>
        </w:tc>
        <w:tc>
          <w:tcPr>
            <w:tcW w:w="0" w:type="dxa"/>
            <w:vAlign w:val="bottom"/>
          </w:tcPr>
          <w:p>
            <w:pPr>
              <w:spacing w:after="0"/>
              <w:rPr>
                <w:sz w:val="1"/>
                <w:szCs w:val="1"/>
                <w:color w:val="auto"/>
              </w:rPr>
            </w:pPr>
          </w:p>
        </w:tc>
      </w:tr>
      <w:tr>
        <w:trPr>
          <w:trHeight w:val="244"/>
        </w:trPr>
        <w:tc>
          <w:tcPr>
            <w:tcW w:w="1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5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U.S. Federal Income Tax Purposes)</w:t>
            </w:r>
          </w:p>
        </w:tc>
        <w:tc>
          <w:tcPr>
            <w:tcW w:w="0" w:type="dxa"/>
            <w:vAlign w:val="bottom"/>
          </w:tcPr>
          <w:p>
            <w:pPr>
              <w:spacing w:after="0"/>
              <w:rPr>
                <w:sz w:val="1"/>
                <w:szCs w:val="1"/>
                <w:color w:val="auto"/>
              </w:rPr>
            </w:pPr>
          </w:p>
        </w:tc>
      </w:tr>
      <w:tr>
        <w:trPr>
          <w:trHeight w:val="1625"/>
        </w:trPr>
        <w:tc>
          <w:tcPr>
            <w:tcW w:w="19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9"/>
          <w:szCs w:val="19"/>
          <w:b w:val="1"/>
          <w:bCs w:val="1"/>
          <w:color w:val="auto"/>
        </w:rPr>
        <w:t>TERM LOAN AGREEMENT</w:t>
      </w:r>
    </w:p>
    <w:p>
      <w:pPr>
        <w:spacing w:after="0" w:line="212"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9"/>
          <w:szCs w:val="19"/>
          <w:color w:val="auto"/>
        </w:rPr>
        <w:t>TERM LOAN AGREEMENT dated as of June 25, 2026 (this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among EASTERLY GOVERNMENT PROPERTIES LP, a Delaware limited partnership (the “</w:t>
      </w:r>
      <w:r>
        <w:rPr>
          <w:rFonts w:ascii="Times New Roman" w:cs="Times New Roman" w:eastAsia="Times New Roman" w:hAnsi="Times New Roman"/>
          <w:sz w:val="19"/>
          <w:szCs w:val="19"/>
          <w:b w:val="1"/>
          <w:bCs w:val="1"/>
          <w:i w:val="1"/>
          <w:iCs w:val="1"/>
          <w:color w:val="auto"/>
        </w:rPr>
        <w:t>Borrower</w:t>
      </w:r>
      <w:r>
        <w:rPr>
          <w:rFonts w:ascii="Times New Roman" w:cs="Times New Roman" w:eastAsia="Times New Roman" w:hAnsi="Times New Roman"/>
          <w:sz w:val="19"/>
          <w:szCs w:val="19"/>
          <w:color w:val="auto"/>
        </w:rPr>
        <w:t>”), EASTERLY GOVERNMENT PROPERTIES, INC., a Maryland corporation (the “</w:t>
      </w:r>
      <w:r>
        <w:rPr>
          <w:rFonts w:ascii="Times New Roman" w:cs="Times New Roman" w:eastAsia="Times New Roman" w:hAnsi="Times New Roman"/>
          <w:sz w:val="19"/>
          <w:szCs w:val="19"/>
          <w:b w:val="1"/>
          <w:bCs w:val="1"/>
          <w:i w:val="1"/>
          <w:iCs w:val="1"/>
          <w:color w:val="auto"/>
        </w:rPr>
        <w:t>Parent</w:t>
      </w:r>
      <w:r>
        <w:rPr>
          <w:rFonts w:ascii="Times New Roman" w:cs="Times New Roman" w:eastAsia="Times New Roman" w:hAnsi="Times New Roman"/>
          <w:sz w:val="19"/>
          <w:szCs w:val="19"/>
          <w:color w:val="auto"/>
        </w:rPr>
        <w:t>”), the entities listed on the signature pages hereof as the subsidiary guarantors from time to time (together with any Additional Guarantors (as hereinafter defined) acceding hereto pursuant to Section 5.01(j) or 7.05, from time to time, the “</w:t>
      </w:r>
      <w:r>
        <w:rPr>
          <w:rFonts w:ascii="Times New Roman" w:cs="Times New Roman" w:eastAsia="Times New Roman" w:hAnsi="Times New Roman"/>
          <w:sz w:val="19"/>
          <w:szCs w:val="19"/>
          <w:b w:val="1"/>
          <w:bCs w:val="1"/>
          <w:i w:val="1"/>
          <w:iCs w:val="1"/>
          <w:color w:val="auto"/>
        </w:rPr>
        <w:t>Subsidiary Guarantors</w:t>
      </w:r>
      <w:r>
        <w:rPr>
          <w:rFonts w:ascii="Times New Roman" w:cs="Times New Roman" w:eastAsia="Times New Roman" w:hAnsi="Times New Roman"/>
          <w:sz w:val="19"/>
          <w:szCs w:val="19"/>
          <w:color w:val="auto"/>
        </w:rPr>
        <w:t>” and, together with the Parent, the “</w:t>
      </w:r>
      <w:r>
        <w:rPr>
          <w:rFonts w:ascii="Times New Roman" w:cs="Times New Roman" w:eastAsia="Times New Roman" w:hAnsi="Times New Roman"/>
          <w:sz w:val="19"/>
          <w:szCs w:val="19"/>
          <w:b w:val="1"/>
          <w:bCs w:val="1"/>
          <w:i w:val="1"/>
          <w:iCs w:val="1"/>
          <w:color w:val="auto"/>
        </w:rPr>
        <w:t>Guarantors</w:t>
      </w:r>
      <w:r>
        <w:rPr>
          <w:rFonts w:ascii="Times New Roman" w:cs="Times New Roman" w:eastAsia="Times New Roman" w:hAnsi="Times New Roman"/>
          <w:sz w:val="19"/>
          <w:szCs w:val="19"/>
          <w:color w:val="auto"/>
        </w:rPr>
        <w:t>”), the banks, financial institutions and other institutional lenders listed on the signature pages hereof as the initial lenders (the “</w:t>
      </w:r>
      <w:r>
        <w:rPr>
          <w:rFonts w:ascii="Times New Roman" w:cs="Times New Roman" w:eastAsia="Times New Roman" w:hAnsi="Times New Roman"/>
          <w:sz w:val="19"/>
          <w:szCs w:val="19"/>
          <w:b w:val="1"/>
          <w:bCs w:val="1"/>
          <w:i w:val="1"/>
          <w:iCs w:val="1"/>
          <w:color w:val="auto"/>
        </w:rPr>
        <w:t>Initial Lenders</w:t>
      </w:r>
      <w:r>
        <w:rPr>
          <w:rFonts w:ascii="Times New Roman" w:cs="Times New Roman" w:eastAsia="Times New Roman" w:hAnsi="Times New Roman"/>
          <w:sz w:val="19"/>
          <w:szCs w:val="19"/>
          <w:color w:val="auto"/>
        </w:rPr>
        <w:t>”), PNC BANK, NATIONAL ASSOCIATION (“</w:t>
      </w:r>
      <w:r>
        <w:rPr>
          <w:rFonts w:ascii="Times New Roman" w:cs="Times New Roman" w:eastAsia="Times New Roman" w:hAnsi="Times New Roman"/>
          <w:sz w:val="19"/>
          <w:szCs w:val="19"/>
          <w:b w:val="1"/>
          <w:bCs w:val="1"/>
          <w:i w:val="1"/>
          <w:iCs w:val="1"/>
          <w:color w:val="auto"/>
        </w:rPr>
        <w:t>PNC</w:t>
      </w:r>
      <w:r>
        <w:rPr>
          <w:rFonts w:ascii="Times New Roman" w:cs="Times New Roman" w:eastAsia="Times New Roman" w:hAnsi="Times New Roman"/>
          <w:sz w:val="19"/>
          <w:szCs w:val="19"/>
          <w:color w:val="auto"/>
        </w:rPr>
        <w:t>”), as administrative agent (together with any successor administrative agent appointed pursuant to Section 8.06, the “</w:t>
      </w:r>
      <w:r>
        <w:rPr>
          <w:rFonts w:ascii="Times New Roman" w:cs="Times New Roman" w:eastAsia="Times New Roman" w:hAnsi="Times New Roman"/>
          <w:sz w:val="19"/>
          <w:szCs w:val="19"/>
          <w:b w:val="1"/>
          <w:bCs w:val="1"/>
          <w:i w:val="1"/>
          <w:iCs w:val="1"/>
          <w:color w:val="auto"/>
        </w:rPr>
        <w:t>Administrative Agent</w:t>
      </w:r>
      <w:r>
        <w:rPr>
          <w:rFonts w:ascii="Times New Roman" w:cs="Times New Roman" w:eastAsia="Times New Roman" w:hAnsi="Times New Roman"/>
          <w:sz w:val="19"/>
          <w:szCs w:val="19"/>
          <w:color w:val="auto"/>
        </w:rPr>
        <w:t>”) for the Lenders (as hereinafter defined), with U.S. BANK NATIONAL ASSOCIATION (“</w:t>
      </w:r>
      <w:r>
        <w:rPr>
          <w:rFonts w:ascii="Times New Roman" w:cs="Times New Roman" w:eastAsia="Times New Roman" w:hAnsi="Times New Roman"/>
          <w:sz w:val="19"/>
          <w:szCs w:val="19"/>
          <w:b w:val="1"/>
          <w:bCs w:val="1"/>
          <w:i w:val="1"/>
          <w:iCs w:val="1"/>
          <w:color w:val="auto"/>
        </w:rPr>
        <w:t>USBNA</w:t>
      </w:r>
      <w:r>
        <w:rPr>
          <w:rFonts w:ascii="Times New Roman" w:cs="Times New Roman" w:eastAsia="Times New Roman" w:hAnsi="Times New Roman"/>
          <w:sz w:val="19"/>
          <w:szCs w:val="19"/>
          <w:color w:val="auto"/>
        </w:rPr>
        <w:t>”), and TRUIST BANK, as syndication agents, USBNA, PNC CAPITAL MARKETS LLC (“</w:t>
      </w:r>
      <w:r>
        <w:rPr>
          <w:rFonts w:ascii="Times New Roman" w:cs="Times New Roman" w:eastAsia="Times New Roman" w:hAnsi="Times New Roman"/>
          <w:sz w:val="19"/>
          <w:szCs w:val="19"/>
          <w:b w:val="1"/>
          <w:bCs w:val="1"/>
          <w:i w:val="1"/>
          <w:iCs w:val="1"/>
          <w:color w:val="auto"/>
        </w:rPr>
        <w:t>PNCCM</w:t>
      </w:r>
      <w:r>
        <w:rPr>
          <w:rFonts w:ascii="Times New Roman" w:cs="Times New Roman" w:eastAsia="Times New Roman" w:hAnsi="Times New Roman"/>
          <w:sz w:val="19"/>
          <w:szCs w:val="19"/>
          <w:color w:val="auto"/>
        </w:rPr>
        <w:t>”), TRUIST SECURITIES, INC. and WELLS FARGO BANK, N.A., as joint lead arrangers (the “</w:t>
      </w:r>
      <w:r>
        <w:rPr>
          <w:rFonts w:ascii="Times New Roman" w:cs="Times New Roman" w:eastAsia="Times New Roman" w:hAnsi="Times New Roman"/>
          <w:sz w:val="19"/>
          <w:szCs w:val="19"/>
          <w:b w:val="1"/>
          <w:bCs w:val="1"/>
          <w:i w:val="1"/>
          <w:iCs w:val="1"/>
          <w:color w:val="auto"/>
        </w:rPr>
        <w:t>JLAs</w:t>
      </w:r>
      <w:r>
        <w:rPr>
          <w:rFonts w:ascii="Times New Roman" w:cs="Times New Roman" w:eastAsia="Times New Roman" w:hAnsi="Times New Roman"/>
          <w:sz w:val="19"/>
          <w:szCs w:val="19"/>
          <w:color w:val="auto"/>
        </w:rPr>
        <w:t>”), USBNA, PNCCM, and TRUIST SECURITIES, INC., as joint bookrunners (the “</w:t>
      </w:r>
      <w:r>
        <w:rPr>
          <w:rFonts w:ascii="Times New Roman" w:cs="Times New Roman" w:eastAsia="Times New Roman" w:hAnsi="Times New Roman"/>
          <w:sz w:val="19"/>
          <w:szCs w:val="19"/>
          <w:b w:val="1"/>
          <w:bCs w:val="1"/>
          <w:i w:val="1"/>
          <w:iCs w:val="1"/>
          <w:color w:val="auto"/>
        </w:rPr>
        <w:t>Bookrunners</w:t>
      </w:r>
      <w:r>
        <w:rPr>
          <w:rFonts w:ascii="Times New Roman" w:cs="Times New Roman" w:eastAsia="Times New Roman" w:hAnsi="Times New Roman"/>
          <w:sz w:val="19"/>
          <w:szCs w:val="19"/>
          <w:color w:val="auto"/>
        </w:rPr>
        <w:t>” and together with the JLAs, the “</w:t>
      </w:r>
      <w:r>
        <w:rPr>
          <w:rFonts w:ascii="Times New Roman" w:cs="Times New Roman" w:eastAsia="Times New Roman" w:hAnsi="Times New Roman"/>
          <w:sz w:val="19"/>
          <w:szCs w:val="19"/>
          <w:b w:val="1"/>
          <w:bCs w:val="1"/>
          <w:i w:val="1"/>
          <w:iCs w:val="1"/>
          <w:color w:val="auto"/>
        </w:rPr>
        <w:t>Arrangers</w:t>
      </w:r>
      <w:r>
        <w:rPr>
          <w:rFonts w:ascii="Times New Roman" w:cs="Times New Roman" w:eastAsia="Times New Roman" w:hAnsi="Times New Roman"/>
          <w:sz w:val="19"/>
          <w:szCs w:val="19"/>
          <w:color w:val="auto"/>
        </w:rPr>
        <w:t>”) and WELLS FARGO BANK, N.A., as Documentation Agent (“</w:t>
      </w:r>
      <w:r>
        <w:rPr>
          <w:rFonts w:ascii="Times New Roman" w:cs="Times New Roman" w:eastAsia="Times New Roman" w:hAnsi="Times New Roman"/>
          <w:sz w:val="19"/>
          <w:szCs w:val="19"/>
          <w:b w:val="1"/>
          <w:bCs w:val="1"/>
          <w:i w:val="1"/>
          <w:iCs w:val="1"/>
          <w:color w:val="auto"/>
        </w:rPr>
        <w:t>Documentation Agent</w:t>
      </w:r>
      <w:r>
        <w:rPr>
          <w:rFonts w:ascii="Times New Roman" w:cs="Times New Roman" w:eastAsia="Times New Roman" w:hAnsi="Times New Roman"/>
          <w:sz w:val="19"/>
          <w:szCs w:val="19"/>
          <w:color w:val="auto"/>
        </w:rPr>
        <w: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DEFINITIONS AND ACCOUNTING TERMS</w:t>
      </w:r>
    </w:p>
    <w:p>
      <w:pPr>
        <w:spacing w:after="0" w:line="218" w:lineRule="exact"/>
        <w:rPr>
          <w:sz w:val="20"/>
          <w:szCs w:val="20"/>
          <w:color w:val="auto"/>
        </w:rPr>
      </w:pPr>
    </w:p>
    <w:p>
      <w:pPr>
        <w:jc w:val="both"/>
        <w:ind w:right="20" w:firstLine="1497"/>
        <w:spacing w:after="0" w:line="265" w:lineRule="auto"/>
        <w:rPr>
          <w:sz w:val="20"/>
          <w:szCs w:val="20"/>
          <w:color w:val="auto"/>
        </w:rPr>
      </w:pPr>
      <w:r>
        <w:rPr>
          <w:rFonts w:ascii="Times New Roman" w:cs="Times New Roman" w:eastAsia="Times New Roman" w:hAnsi="Times New Roman"/>
          <w:sz w:val="19"/>
          <w:szCs w:val="19"/>
          <w:color w:val="010000"/>
        </w:rPr>
        <w:t xml:space="preserve">Section 1.01 </w:t>
      </w:r>
      <w:r>
        <w:rPr>
          <w:rFonts w:ascii="Times New Roman" w:cs="Times New Roman" w:eastAsia="Times New Roman" w:hAnsi="Times New Roman"/>
          <w:sz w:val="19"/>
          <w:szCs w:val="19"/>
          <w:u w:val="single" w:color="auto"/>
          <w:color w:val="000000"/>
        </w:rPr>
        <w:t>Certain Defined Terms</w:t>
      </w:r>
      <w:r>
        <w:rPr>
          <w:rFonts w:ascii="Times New Roman" w:cs="Times New Roman" w:eastAsia="Times New Roman" w:hAnsi="Times New Roman"/>
          <w:sz w:val="19"/>
          <w:szCs w:val="19"/>
          <w:color w:val="000000"/>
        </w:rPr>
        <w:t>. As used in this Agreement, the following terms shall have the following meanings (such</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meanings to be equally applicable to both the singular and plural forms of the terms defined):</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Acceding Lender</w:t>
      </w:r>
      <w:r>
        <w:rPr>
          <w:rFonts w:ascii="Times New Roman" w:cs="Times New Roman" w:eastAsia="Times New Roman" w:hAnsi="Times New Roman"/>
          <w:sz w:val="19"/>
          <w:szCs w:val="19"/>
          <w:color w:val="auto"/>
        </w:rPr>
        <w:t>” has the meaning specified in Section 2.17(d).</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Accession Agreement</w:t>
      </w:r>
      <w:r>
        <w:rPr>
          <w:rFonts w:ascii="Times New Roman" w:cs="Times New Roman" w:eastAsia="Times New Roman" w:hAnsi="Times New Roman"/>
          <w:sz w:val="19"/>
          <w:szCs w:val="19"/>
          <w:color w:val="auto"/>
        </w:rPr>
        <w:t>” has the meaning specified in Section 2.17(d)(i).</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Additional Guarantor</w:t>
      </w:r>
      <w:r>
        <w:rPr>
          <w:rFonts w:ascii="Times New Roman" w:cs="Times New Roman" w:eastAsia="Times New Roman" w:hAnsi="Times New Roman"/>
          <w:sz w:val="19"/>
          <w:szCs w:val="19"/>
          <w:color w:val="auto"/>
        </w:rPr>
        <w:t>” has the meaning specified in Section 7.05.</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Adjusted EBITDA</w:t>
      </w:r>
      <w:r>
        <w:rPr>
          <w:rFonts w:ascii="Times New Roman" w:cs="Times New Roman" w:eastAsia="Times New Roman" w:hAnsi="Times New Roman"/>
          <w:sz w:val="19"/>
          <w:szCs w:val="19"/>
          <w:color w:val="auto"/>
        </w:rPr>
        <w:t xml:space="preserve">” means an amount equal to (a) EBITDA for the fiscal quarter of the Parent most recently ended for which financial statements are required to be delivered to the Lenders pursuant to Section 5.03(b) or (c), as the case may be, multiplied by four, </w:t>
      </w:r>
      <w:r>
        <w:rPr>
          <w:rFonts w:ascii="Times New Roman" w:cs="Times New Roman" w:eastAsia="Times New Roman" w:hAnsi="Times New Roman"/>
          <w:sz w:val="19"/>
          <w:szCs w:val="19"/>
          <w:i w:val="1"/>
          <w:iCs w:val="1"/>
          <w:color w:val="auto"/>
        </w:rPr>
        <w:t>less</w:t>
      </w:r>
      <w:r>
        <w:rPr>
          <w:rFonts w:ascii="Times New Roman" w:cs="Times New Roman" w:eastAsia="Times New Roman" w:hAnsi="Times New Roman"/>
          <w:sz w:val="19"/>
          <w:szCs w:val="19"/>
          <w:color w:val="auto"/>
        </w:rPr>
        <w:t xml:space="preserve"> (b) the Capital Expenditure Reserve for all Assets for such fiscal quarter, other than any Asset owned by an Unrestricted Subsidiary.</w:t>
      </w:r>
    </w:p>
    <w:p>
      <w:pPr>
        <w:spacing w:after="0" w:line="170"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Adjusted Net Operating Income</w:t>
      </w:r>
      <w:r>
        <w:rPr>
          <w:rFonts w:ascii="Times New Roman" w:cs="Times New Roman" w:eastAsia="Times New Roman" w:hAnsi="Times New Roman"/>
          <w:sz w:val="19"/>
          <w:szCs w:val="19"/>
          <w:color w:val="auto"/>
        </w:rPr>
        <w:t xml:space="preserve">” means, with respect to any Asset, (a) Net Operating Income attributable to such Asset multiplied by four </w:t>
      </w:r>
      <w:r>
        <w:rPr>
          <w:rFonts w:ascii="Times New Roman" w:cs="Times New Roman" w:eastAsia="Times New Roman" w:hAnsi="Times New Roman"/>
          <w:sz w:val="19"/>
          <w:szCs w:val="19"/>
          <w:i w:val="1"/>
          <w:iCs w:val="1"/>
          <w:color w:val="auto"/>
        </w:rPr>
        <w:t>less</w:t>
      </w:r>
      <w:r>
        <w:rPr>
          <w:rFonts w:ascii="Times New Roman" w:cs="Times New Roman" w:eastAsia="Times New Roman" w:hAnsi="Times New Roman"/>
          <w:sz w:val="19"/>
          <w:szCs w:val="19"/>
          <w:color w:val="auto"/>
        </w:rPr>
        <w:t xml:space="preserve"> (b) the Management Fee Adjustment for such Asset </w:t>
      </w:r>
      <w:r>
        <w:rPr>
          <w:rFonts w:ascii="Times New Roman" w:cs="Times New Roman" w:eastAsia="Times New Roman" w:hAnsi="Times New Roman"/>
          <w:sz w:val="19"/>
          <w:szCs w:val="19"/>
          <w:i w:val="1"/>
          <w:iCs w:val="1"/>
          <w:color w:val="auto"/>
        </w:rPr>
        <w:t>less</w:t>
      </w:r>
      <w:r>
        <w:rPr>
          <w:rFonts w:ascii="Times New Roman" w:cs="Times New Roman" w:eastAsia="Times New Roman" w:hAnsi="Times New Roman"/>
          <w:sz w:val="19"/>
          <w:szCs w:val="19"/>
          <w:color w:val="auto"/>
        </w:rPr>
        <w:t xml:space="preserve"> (c) the Capital Expenditure Reserve for such Asset, in each case for the fiscal quarter most recently ended for which financial statements are required to be delivered to the Lenders pursuant to Section 5.03(b) or (c), as the case may be. In no event shall the Adjusted Net Operating Income for any Asset be less than zero.</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Administrative Agent</w:t>
      </w:r>
      <w:r>
        <w:rPr>
          <w:rFonts w:ascii="Times New Roman" w:cs="Times New Roman" w:eastAsia="Times New Roman" w:hAnsi="Times New Roman"/>
          <w:sz w:val="19"/>
          <w:szCs w:val="19"/>
          <w:color w:val="auto"/>
        </w:rPr>
        <w:t>” has the meaning specified in the recital of parties to this Agreement.</w:t>
      </w:r>
    </w:p>
    <w:p>
      <w:pPr>
        <w:spacing w:after="0" w:line="214"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Administrative Agent’s Account</w:t>
      </w:r>
      <w:r>
        <w:rPr>
          <w:rFonts w:ascii="Times New Roman" w:cs="Times New Roman" w:eastAsia="Times New Roman" w:hAnsi="Times New Roman"/>
          <w:sz w:val="19"/>
          <w:szCs w:val="19"/>
          <w:color w:val="auto"/>
        </w:rPr>
        <w:t>” means the account of the Administrative Agent maintained by the Administrative Agent with PNC Bank, N.A., Pittsburgh, at its office at PNC Firstside Center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Floor, 500 First Avenue, Pittsburgh, PA 15219, ABA No. 034-000-096, Account No. 130760016803, Account Name: Commercial Loan Operations, Reference: Easterly Government Properties LP, Attention: Nicole Novak, or such other account as the Administrative Agent shall specify in writing to the Borrower and the Lenders.</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Advance</w:t>
      </w:r>
      <w:r>
        <w:rPr>
          <w:rFonts w:ascii="Times New Roman" w:cs="Times New Roman" w:eastAsia="Times New Roman" w:hAnsi="Times New Roman"/>
          <w:sz w:val="19"/>
          <w:szCs w:val="19"/>
          <w:color w:val="auto"/>
        </w:rPr>
        <w:t>” has the meaning specified in Section 2.01.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0" w:name="page11"/>
    <w:bookmarkEnd w:id="10"/>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Affected Financial Institution</w:t>
      </w:r>
      <w:r>
        <w:rPr>
          <w:rFonts w:ascii="Times New Roman" w:cs="Times New Roman" w:eastAsia="Times New Roman" w:hAnsi="Times New Roman"/>
          <w:sz w:val="19"/>
          <w:szCs w:val="19"/>
          <w:color w:val="auto"/>
        </w:rPr>
        <w:t>” means (a) any EEA Financial Institution or (b) any UK Financial Institution.</w:t>
      </w:r>
    </w:p>
    <w:p>
      <w:pPr>
        <w:spacing w:after="0" w:line="214"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Affiliate</w:t>
      </w:r>
      <w:r>
        <w:rPr>
          <w:rFonts w:ascii="Times New Roman" w:cs="Times New Roman" w:eastAsia="Times New Roman" w:hAnsi="Times New Roman"/>
          <w:sz w:val="19"/>
          <w:szCs w:val="19"/>
          <w:color w:val="auto"/>
        </w:rPr>
        <w:t>” means, as to any Person, any other Person that, directly or indirectly, controls, is controlled by or is under common control with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Interests, by contract or otherwise.</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has the meaning specified in the recital of parties to this Agreement.</w:t>
      </w:r>
    </w:p>
    <w:p>
      <w:pPr>
        <w:spacing w:after="0" w:line="214" w:lineRule="exact"/>
        <w:rPr>
          <w:sz w:val="20"/>
          <w:szCs w:val="20"/>
          <w:color w:val="auto"/>
        </w:rPr>
      </w:pPr>
    </w:p>
    <w:p>
      <w:pPr>
        <w:jc w:val="both"/>
        <w:ind w:firstLine="1497"/>
        <w:spacing w:after="0" w:line="221"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Agreement Value</w:t>
      </w:r>
      <w:r>
        <w:rPr>
          <w:rFonts w:ascii="Times New Roman" w:cs="Times New Roman" w:eastAsia="Times New Roman" w:hAnsi="Times New Roman"/>
          <w:sz w:val="19"/>
          <w:szCs w:val="19"/>
          <w:color w:val="auto"/>
        </w:rPr>
        <w:t>” means, the net amount in respect of all Hedge Agreements, determined, with respect to each Hedge Agreement, on any date of determination, reasonably and in good faith by the Administrative Agent equal to: (a) in the case of a Hedge Agreement documented pursuant to the Master Agreement (Multicurrency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Cross Border) published by the International Swap and Derivatives Association, Inc. (the “</w:t>
      </w:r>
      <w:r>
        <w:rPr>
          <w:rFonts w:ascii="Times New Roman" w:cs="Times New Roman" w:eastAsia="Times New Roman" w:hAnsi="Times New Roman"/>
          <w:sz w:val="19"/>
          <w:szCs w:val="19"/>
          <w:b w:val="1"/>
          <w:bCs w:val="1"/>
          <w:i w:val="1"/>
          <w:iCs w:val="1"/>
          <w:color w:val="auto"/>
        </w:rPr>
        <w:t>Master Agreement</w:t>
      </w:r>
      <w:r>
        <w:rPr>
          <w:rFonts w:ascii="Times New Roman" w:cs="Times New Roman" w:eastAsia="Times New Roman" w:hAnsi="Times New Roman"/>
          <w:sz w:val="19"/>
          <w:szCs w:val="19"/>
          <w:color w:val="auto"/>
        </w:rPr>
        <w:t>”), the amount, if any, that would be payable by or to any Loan Party or any of its Subsidiaries to or by its counterparty to such Hedge Agreement, as if (i) such Hedge Agreement was being terminated early on such date of determination, (ii) such Loan Party or Subsidiary was the sole “Affected Party”, and (iii) the Administrative Agent was the sole party determining such payment amount (with the Administrative Agent making such determination reasonably and in good faith pursuant to the provisions of the form of Master Agreement); or (b) in the case of a Hedge Agreement traded on an exchange, the mark</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to</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market value of such Hedge Agreement, which will be the unrealized loss or unrealized profit on such Hedge Agreement to the Loan Party or Subsidiary of a Loan Party to such Hedge Agreement determined reasonably and in good faith by the Administrative Agent based on the settlement price of such Hedge Agreement on such date of determination; or (c) in all other cases, the mark</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to</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market value of such Hedge Agreement, which will be the unrealized loss or unrealized profit on such Hedge Agreement to the Loan Party or Subsidiary of a Loan Party to such Hedge Agreement determined reasonably and in good faith by the Administrative Agent as the amount, if any, by which (i) the present value of the future cash flows to be paid by such Loan Party or Subsidiary exceeds (or is less than, as applicable) (ii) the present value of the future cash flows to be received by such Loan Party or Subsidiary pursuant to such Hedge Agreement; capitalized terms used and not otherwise defined in this definition shall have the respective meanings set forth in the above described Master Agreement.</w:t>
      </w:r>
    </w:p>
    <w:p>
      <w:pPr>
        <w:spacing w:after="0" w:line="164" w:lineRule="exact"/>
        <w:rPr>
          <w:sz w:val="20"/>
          <w:szCs w:val="20"/>
          <w:color w:val="auto"/>
        </w:rPr>
      </w:pPr>
    </w:p>
    <w:p>
      <w:pPr>
        <w:jc w:val="both"/>
        <w:ind w:right="20" w:firstLine="1497"/>
        <w:spacing w:after="0" w:line="240"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Anti</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b w:val="1"/>
          <w:bCs w:val="1"/>
          <w:i w:val="1"/>
          <w:iCs w:val="1"/>
          <w:color w:val="auto"/>
        </w:rPr>
        <w:t>Corruption Laws</w:t>
      </w:r>
      <w:r>
        <w:rPr>
          <w:rFonts w:ascii="Times New Roman" w:cs="Times New Roman" w:eastAsia="Times New Roman" w:hAnsi="Times New Roman"/>
          <w:sz w:val="19"/>
          <w:szCs w:val="19"/>
          <w:color w:val="auto"/>
        </w:rPr>
        <w:t>” shall mean all laws, rules, and regulations of any jurisdiction applicable to the Borrower, the Parent or their Subsidiaries from time to time concerning or relating to bribery, corruption or money laundering including, without limitation, the United States Foreign Corrupt Practices Act of 1977,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-363855</wp:posOffset>
            </wp:positionV>
            <wp:extent cx="6604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040" cy="40005"/>
                    </a:xfrm>
                    <a:prstGeom prst="rect">
                      <a:avLst/>
                    </a:prstGeom>
                    <a:noFill/>
                  </pic:spPr>
                </pic:pic>
              </a:graphicData>
            </a:graphic>
          </wp:anchor>
        </w:drawing>
      </w:r>
    </w:p>
    <w:p>
      <w:pPr>
        <w:spacing w:after="0" w:line="16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Alternate Source</w:t>
      </w:r>
      <w:r>
        <w:rPr>
          <w:rFonts w:ascii="Times New Roman" w:cs="Times New Roman" w:eastAsia="Times New Roman" w:hAnsi="Times New Roman"/>
          <w:sz w:val="19"/>
          <w:szCs w:val="19"/>
          <w:color w:val="auto"/>
        </w:rPr>
        <w:t>” has the meaning set forth in the definition of “Federal Funds Open Rate”.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1" w:name="page12"/>
    <w:bookmarkEnd w:id="11"/>
    <w:p>
      <w:pPr>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Applicable Lending Office</w:t>
      </w:r>
      <w:r>
        <w:rPr>
          <w:rFonts w:ascii="Times New Roman" w:cs="Times New Roman" w:eastAsia="Times New Roman" w:hAnsi="Times New Roman"/>
          <w:sz w:val="19"/>
          <w:szCs w:val="19"/>
          <w:color w:val="auto"/>
        </w:rPr>
        <w:t>” means, with respect to each Lender, such Lender’s Domestic Lending Office in the case of a Base Rate Advance and such Lender’s SOFR Lending Office in the case of a Term SOFR Advance or DSS Advance.</w:t>
      </w:r>
    </w:p>
    <w:p>
      <w:pPr>
        <w:spacing w:after="0" w:line="166" w:lineRule="exact"/>
        <w:rPr>
          <w:sz w:val="20"/>
          <w:szCs w:val="20"/>
          <w:color w:val="auto"/>
        </w:rPr>
      </w:pPr>
    </w:p>
    <w:p>
      <w:pPr>
        <w:ind w:firstLine="1505"/>
        <w:spacing w:after="0" w:line="259" w:lineRule="auto"/>
        <w:tabs>
          <w:tab w:leader="none" w:pos="1907"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Applicable Margin</w:t>
      </w:r>
      <w:r>
        <w:rPr>
          <w:rFonts w:ascii="Times New Roman" w:cs="Times New Roman" w:eastAsia="Times New Roman" w:hAnsi="Times New Roman"/>
          <w:sz w:val="19"/>
          <w:szCs w:val="19"/>
          <w:color w:val="auto"/>
        </w:rPr>
        <w:t>” means, at any date of determination, (a) a percentage per annum determined by reference to the Leverage Ratio as set forth below, but subject to clause (b) below:</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2100" w:type="dxa"/>
            <w:vAlign w:val="bottom"/>
            <w:tcBorders>
              <w:top w:val="single" w:sz="8" w:color="auto"/>
              <w:left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8"/>
              </w:rPr>
              <w:t>Pricing Level</w:t>
            </w:r>
          </w:p>
        </w:tc>
        <w:tc>
          <w:tcPr>
            <w:tcW w:w="2860" w:type="dxa"/>
            <w:vAlign w:val="bottom"/>
            <w:tcBorders>
              <w:top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Leverage Ratio</w:t>
            </w:r>
          </w:p>
        </w:tc>
        <w:tc>
          <w:tcPr>
            <w:tcW w:w="3420" w:type="dxa"/>
            <w:vAlign w:val="bottom"/>
            <w:tcBorders>
              <w:top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8"/>
              </w:rPr>
              <w:t>Applicable Margin for</w:t>
            </w:r>
          </w:p>
        </w:tc>
        <w:tc>
          <w:tcPr>
            <w:tcW w:w="2860" w:type="dxa"/>
            <w:vAlign w:val="bottom"/>
            <w:tcBorders>
              <w:top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8"/>
              </w:rPr>
              <w:t>Applicable Margin for</w:t>
            </w:r>
          </w:p>
        </w:tc>
      </w:tr>
      <w:tr>
        <w:trPr>
          <w:trHeight w:val="229"/>
        </w:trPr>
        <w:tc>
          <w:tcPr>
            <w:tcW w:w="2100" w:type="dxa"/>
            <w:vAlign w:val="bottom"/>
            <w:tcBorders>
              <w:left w:val="single" w:sz="8" w:color="auto"/>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3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Term SOFR and DSS</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Base Rate Advances</w:t>
            </w:r>
          </w:p>
        </w:tc>
      </w:tr>
      <w:tr>
        <w:trPr>
          <w:trHeight w:val="273"/>
        </w:trPr>
        <w:tc>
          <w:tcPr>
            <w:tcW w:w="2100" w:type="dxa"/>
            <w:vAlign w:val="bottom"/>
            <w:tcBorders>
              <w:left w:val="single" w:sz="8" w:color="auto"/>
              <w:bottom w:val="single" w:sz="8" w:color="auto"/>
              <w:right w:val="single" w:sz="8" w:color="auto"/>
            </w:tcBorders>
          </w:tcPr>
          <w:p>
            <w:pPr>
              <w:spacing w:after="0"/>
              <w:rPr>
                <w:sz w:val="23"/>
                <w:szCs w:val="23"/>
                <w:color w:val="auto"/>
              </w:rPr>
            </w:pPr>
          </w:p>
        </w:tc>
        <w:tc>
          <w:tcPr>
            <w:tcW w:w="2860" w:type="dxa"/>
            <w:vAlign w:val="bottom"/>
            <w:tcBorders>
              <w:bottom w:val="single" w:sz="8" w:color="auto"/>
              <w:right w:val="single" w:sz="8" w:color="auto"/>
            </w:tcBorders>
          </w:tcPr>
          <w:p>
            <w:pPr>
              <w:spacing w:after="0"/>
              <w:rPr>
                <w:sz w:val="23"/>
                <w:szCs w:val="23"/>
                <w:color w:val="auto"/>
              </w:rPr>
            </w:pP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Advances</w:t>
            </w:r>
          </w:p>
        </w:tc>
        <w:tc>
          <w:tcPr>
            <w:tcW w:w="2860" w:type="dxa"/>
            <w:vAlign w:val="bottom"/>
            <w:tcBorders>
              <w:bottom w:val="single" w:sz="8" w:color="auto"/>
              <w:right w:val="single" w:sz="8" w:color="auto"/>
            </w:tcBorders>
          </w:tcPr>
          <w:p>
            <w:pPr>
              <w:spacing w:after="0"/>
              <w:rPr>
                <w:sz w:val="23"/>
                <w:szCs w:val="23"/>
                <w:color w:val="auto"/>
              </w:rPr>
            </w:pPr>
          </w:p>
        </w:tc>
      </w:tr>
      <w:tr>
        <w:trPr>
          <w:trHeight w:val="206"/>
        </w:trPr>
        <w:tc>
          <w:tcPr>
            <w:tcW w:w="2100" w:type="dxa"/>
            <w:vAlign w:val="bottom"/>
            <w:tcBorders>
              <w:left w:val="single" w:sz="8" w:color="auto"/>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rPr>
              <w:t>I</w:t>
            </w:r>
          </w:p>
        </w:tc>
        <w:tc>
          <w:tcPr>
            <w:tcW w:w="2860" w:type="dxa"/>
            <w:vAlign w:val="bottom"/>
            <w:tcBorders>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&lt; 35%</w:t>
            </w:r>
          </w:p>
        </w:tc>
        <w:tc>
          <w:tcPr>
            <w:tcW w:w="3420" w:type="dxa"/>
            <w:vAlign w:val="bottom"/>
            <w:tcBorders>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rPr>
              <w:t>1.20%</w:t>
            </w:r>
          </w:p>
        </w:tc>
        <w:tc>
          <w:tcPr>
            <w:tcW w:w="2860" w:type="dxa"/>
            <w:vAlign w:val="bottom"/>
            <w:tcBorders>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rPr>
              <w:t>0.20%</w:t>
            </w:r>
          </w:p>
        </w:tc>
      </w:tr>
      <w:tr>
        <w:trPr>
          <w:trHeight w:val="223"/>
        </w:trPr>
        <w:tc>
          <w:tcPr>
            <w:tcW w:w="21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89"/>
              </w:rPr>
              <w:t>II</w:t>
            </w:r>
          </w:p>
        </w:tc>
        <w:tc>
          <w:tcPr>
            <w:tcW w:w="28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 35% but &lt; 40%</w:t>
            </w:r>
          </w:p>
        </w:tc>
        <w:tc>
          <w:tcPr>
            <w:tcW w:w="34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1.20%</w:t>
            </w:r>
          </w:p>
        </w:tc>
        <w:tc>
          <w:tcPr>
            <w:tcW w:w="28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0.20%</w:t>
            </w:r>
          </w:p>
        </w:tc>
      </w:tr>
      <w:tr>
        <w:trPr>
          <w:trHeight w:val="223"/>
        </w:trPr>
        <w:tc>
          <w:tcPr>
            <w:tcW w:w="21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III</w:t>
            </w:r>
          </w:p>
        </w:tc>
        <w:tc>
          <w:tcPr>
            <w:tcW w:w="28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 40% but &lt; 45%</w:t>
            </w:r>
          </w:p>
        </w:tc>
        <w:tc>
          <w:tcPr>
            <w:tcW w:w="34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1.30%</w:t>
            </w:r>
          </w:p>
        </w:tc>
        <w:tc>
          <w:tcPr>
            <w:tcW w:w="28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0.30%</w:t>
            </w:r>
          </w:p>
        </w:tc>
      </w:tr>
      <w:tr>
        <w:trPr>
          <w:trHeight w:val="223"/>
        </w:trPr>
        <w:tc>
          <w:tcPr>
            <w:tcW w:w="21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4"/>
              </w:rPr>
              <w:t>IV</w:t>
            </w:r>
          </w:p>
        </w:tc>
        <w:tc>
          <w:tcPr>
            <w:tcW w:w="28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 45% but &lt; 50%</w:t>
            </w:r>
          </w:p>
        </w:tc>
        <w:tc>
          <w:tcPr>
            <w:tcW w:w="34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1.40%</w:t>
            </w:r>
          </w:p>
        </w:tc>
        <w:tc>
          <w:tcPr>
            <w:tcW w:w="28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0.40%</w:t>
            </w:r>
          </w:p>
        </w:tc>
      </w:tr>
      <w:tr>
        <w:trPr>
          <w:trHeight w:val="223"/>
        </w:trPr>
        <w:tc>
          <w:tcPr>
            <w:tcW w:w="21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V</w:t>
            </w:r>
          </w:p>
        </w:tc>
        <w:tc>
          <w:tcPr>
            <w:tcW w:w="28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 50% but &lt; 55%</w:t>
            </w:r>
          </w:p>
        </w:tc>
        <w:tc>
          <w:tcPr>
            <w:tcW w:w="34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1.50%</w:t>
            </w:r>
          </w:p>
        </w:tc>
        <w:tc>
          <w:tcPr>
            <w:tcW w:w="28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0.50%</w:t>
            </w:r>
          </w:p>
        </w:tc>
      </w:tr>
      <w:tr>
        <w:trPr>
          <w:trHeight w:val="223"/>
        </w:trPr>
        <w:tc>
          <w:tcPr>
            <w:tcW w:w="210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4"/>
              </w:rPr>
              <w:t>VI</w:t>
            </w:r>
          </w:p>
        </w:tc>
        <w:tc>
          <w:tcPr>
            <w:tcW w:w="28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 55%</w:t>
            </w:r>
          </w:p>
        </w:tc>
        <w:tc>
          <w:tcPr>
            <w:tcW w:w="34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1.70%</w:t>
            </w:r>
          </w:p>
        </w:tc>
        <w:tc>
          <w:tcPr>
            <w:tcW w:w="28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0.70%</w:t>
            </w:r>
          </w:p>
        </w:tc>
      </w:tr>
    </w:tbl>
    <w:p>
      <w:pPr>
        <w:spacing w:after="0" w:line="21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19"/>
          <w:szCs w:val="19"/>
          <w:color w:val="auto"/>
        </w:rPr>
        <w:t xml:space="preserve">The Applicable Margin for each Base Rate Advance shall be determined by reference to the Leverage Ratio in effect from time to time and the Applicable Margin for any Interest Period for all Term SOFR Advances comprising part of the same Borrowing shall be determined by reference to the Leverage Ratio in effect on the first day of such Interest Period and the Applicable Margin for all DSS Advances comprising part of the same Borrowing shall be determined by reference to the Leverage Ratio in effect on the applicable SOFR Rate Day;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 the Applicable Margin shall initially be at Pricing Level I on the Closing Date, (ii) no change in the Applicable Margin resulting from the Leverage Ratio shall be effective until the first Business Day after the date on which the Administrative Agent receives (x) the financial statements required to be delivered pursuant to Section 5.03(b) or (c), as the case may be, and (y) a certificate of the Chief Financial Officer (or other Responsible Officer performing similar functions) of the Borrower demonstrating the Leverage Ratio, and (iii) the Applicable Margin shall be at Pricing Level V for so long as the Borrower has not submitted to the Administrative Agent as and when required under Section 5.03(b) or (c), as applicable, the information described in clause (ii) of this proviso and shall continue to apply until the first Business Day after the date on which the information described in clause (ii) of this proviso is delivered. If as a result of a restatement of the Borrower’s financial statements or other re-computation of the Leverage Ratio on which the Applicable Margin is based, the interest paid or accrued hereunder was paid or accrued at a rate lower than the interest that would have been payable had such Leverage Ratio been correctly computed, the Borrower shall pay to the Administrative Agent for the account of the Lenders promptly following demand therefor the difference between the amount that should have been paid or accrued and the amount actually paid or accrued.</w:t>
      </w:r>
    </w:p>
    <w:p>
      <w:pPr>
        <w:spacing w:after="0" w:line="206" w:lineRule="exact"/>
        <w:rPr>
          <w:sz w:val="20"/>
          <w:szCs w:val="20"/>
          <w:color w:val="auto"/>
        </w:rPr>
      </w:pPr>
    </w:p>
    <w:p>
      <w:pPr>
        <w:jc w:val="both"/>
        <w:ind w:firstLine="1505"/>
        <w:spacing w:after="0" w:line="230" w:lineRule="exact"/>
        <w:tabs>
          <w:tab w:leader="none" w:pos="189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In the event that the Borrower or the Parent achieves an Investment Grade Rating, the Borrower may, upon written notice to the Administrative Agent, make an irrevocable one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time written election (setting forth the date for such election to be effective) to exclusively use the ratings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based pricing grid set forth below (a “</w:t>
      </w:r>
      <w:r>
        <w:rPr>
          <w:rFonts w:ascii="Times New Roman" w:cs="Times New Roman" w:eastAsia="Times New Roman" w:hAnsi="Times New Roman"/>
          <w:sz w:val="19"/>
          <w:szCs w:val="19"/>
          <w:b w:val="1"/>
          <w:bCs w:val="1"/>
          <w:i w:val="1"/>
          <w:iCs w:val="1"/>
          <w:color w:val="auto"/>
        </w:rPr>
        <w:t>Ratings Grid Election</w:t>
      </w:r>
      <w:r>
        <w:rPr>
          <w:rFonts w:ascii="Times New Roman" w:cs="Times New Roman" w:eastAsia="Times New Roman" w:hAnsi="Times New Roman"/>
          <w:sz w:val="19"/>
          <w:szCs w:val="19"/>
          <w:color w:val="auto"/>
        </w:rPr>
        <w:t>”), in which case the Applicable Margin for Term SOFR Advances, DSS Advances and Base Rate Advances will be determined, as per the pricing grid below, on the basis of the Debt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2" w:name="page13"/>
    <w:bookmarkEnd w:id="12"/>
    <w:p>
      <w:pPr>
        <w:jc w:val="both"/>
        <w:spacing w:after="0" w:line="265" w:lineRule="auto"/>
        <w:rPr>
          <w:sz w:val="20"/>
          <w:szCs w:val="20"/>
          <w:color w:val="auto"/>
        </w:rPr>
      </w:pPr>
      <w:r>
        <w:rPr>
          <w:rFonts w:ascii="Times New Roman" w:cs="Times New Roman" w:eastAsia="Times New Roman" w:hAnsi="Times New Roman"/>
          <w:sz w:val="19"/>
          <w:szCs w:val="19"/>
          <w:color w:val="auto"/>
        </w:rPr>
        <w:t>Rating of the Borrower or the Parent (as applicable), as set forth below, notwithstanding any failure of the Borrower or the Parent (as applicable) to maintain an Investment Grade Rating:</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3780" w:type="dxa"/>
            <w:vAlign w:val="bottom"/>
            <w:tcBorders>
              <w:top w:val="single" w:sz="8" w:color="auto"/>
              <w:left w:val="single" w:sz="8" w:color="auto"/>
              <w:right w:val="single" w:sz="8" w:color="auto"/>
            </w:tcBorders>
            <w:gridSpan w:val="3"/>
          </w:tcPr>
          <w:p>
            <w:pPr>
              <w:jc w:val="center"/>
              <w:ind w:right="20"/>
              <w:spacing w:after="0" w:line="219" w:lineRule="exact"/>
              <w:rPr>
                <w:sz w:val="20"/>
                <w:szCs w:val="20"/>
                <w:color w:val="auto"/>
              </w:rPr>
            </w:pPr>
            <w:r>
              <w:rPr>
                <w:rFonts w:ascii="Times New Roman" w:cs="Times New Roman" w:eastAsia="Times New Roman" w:hAnsi="Times New Roman"/>
                <w:sz w:val="20"/>
                <w:szCs w:val="20"/>
                <w:b w:val="1"/>
                <w:bCs w:val="1"/>
                <w:color w:val="auto"/>
                <w:w w:val="99"/>
              </w:rPr>
              <w:t>Debt Rating of Borrower or</w:t>
            </w:r>
          </w:p>
        </w:tc>
        <w:tc>
          <w:tcPr>
            <w:tcW w:w="3720" w:type="dxa"/>
            <w:vAlign w:val="bottom"/>
            <w:tcBorders>
              <w:top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8"/>
              </w:rPr>
              <w:t>Applicable Margin for Term</w:t>
            </w:r>
          </w:p>
        </w:tc>
        <w:tc>
          <w:tcPr>
            <w:tcW w:w="3740" w:type="dxa"/>
            <w:vAlign w:val="bottom"/>
            <w:tcBorders>
              <w:top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Applicable Margin for Base</w:t>
            </w:r>
          </w:p>
        </w:tc>
      </w:tr>
      <w:tr>
        <w:trPr>
          <w:trHeight w:val="273"/>
        </w:trPr>
        <w:tc>
          <w:tcPr>
            <w:tcW w:w="1540" w:type="dxa"/>
            <w:vAlign w:val="bottom"/>
            <w:tcBorders>
              <w:left w:val="single" w:sz="8" w:color="auto"/>
              <w:bottom w:val="single" w:sz="8" w:color="auto"/>
            </w:tcBorders>
          </w:tcPr>
          <w:p>
            <w:pPr>
              <w:spacing w:after="0"/>
              <w:rPr>
                <w:sz w:val="23"/>
                <w:szCs w:val="23"/>
                <w:color w:val="auto"/>
              </w:rPr>
            </w:pPr>
          </w:p>
        </w:tc>
        <w:tc>
          <w:tcPr>
            <w:tcW w:w="2240" w:type="dxa"/>
            <w:vAlign w:val="bottom"/>
            <w:tcBorders>
              <w:bottom w:val="single" w:sz="8" w:color="auto"/>
              <w:right w:val="single" w:sz="8" w:color="auto"/>
            </w:tcBorders>
            <w:gridSpan w:val="2"/>
          </w:tcPr>
          <w:p>
            <w:pPr>
              <w:jc w:val="center"/>
              <w:ind w:right="1560"/>
              <w:spacing w:after="0"/>
              <w:rPr>
                <w:sz w:val="20"/>
                <w:szCs w:val="20"/>
                <w:color w:val="auto"/>
              </w:rPr>
            </w:pPr>
            <w:r>
              <w:rPr>
                <w:rFonts w:ascii="Times New Roman" w:cs="Times New Roman" w:eastAsia="Times New Roman" w:hAnsi="Times New Roman"/>
                <w:sz w:val="20"/>
                <w:szCs w:val="20"/>
                <w:b w:val="1"/>
                <w:bCs w:val="1"/>
                <w:color w:val="auto"/>
                <w:w w:val="96"/>
              </w:rPr>
              <w:t>Parent</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SOFR and DSS Advances</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Rate Advances</w:t>
            </w:r>
          </w:p>
        </w:tc>
      </w:tr>
      <w:tr>
        <w:trPr>
          <w:trHeight w:val="166"/>
        </w:trPr>
        <w:tc>
          <w:tcPr>
            <w:tcW w:w="3780" w:type="dxa"/>
            <w:vAlign w:val="bottom"/>
            <w:tcBorders>
              <w:left w:val="single" w:sz="8" w:color="auto"/>
              <w:right w:val="single" w:sz="8" w:color="auto"/>
            </w:tcBorders>
            <w:gridSpan w:val="3"/>
          </w:tcPr>
          <w:p>
            <w:pPr>
              <w:jc w:val="center"/>
              <w:ind w:right="20"/>
              <w:spacing w:after="0" w:line="166" w:lineRule="exact"/>
              <w:rPr>
                <w:sz w:val="20"/>
                <w:szCs w:val="20"/>
                <w:color w:val="auto"/>
              </w:rPr>
            </w:pPr>
            <w:r>
              <w:rPr>
                <w:rFonts w:ascii="Times New Roman" w:cs="Times New Roman" w:eastAsia="Times New Roman" w:hAnsi="Times New Roman"/>
                <w:sz w:val="19"/>
                <w:szCs w:val="19"/>
                <w:color w:val="auto"/>
              </w:rPr>
              <w:t>&gt; A-/A3</w:t>
            </w:r>
          </w:p>
        </w:tc>
        <w:tc>
          <w:tcPr>
            <w:tcW w:w="3720" w:type="dxa"/>
            <w:vAlign w:val="bottom"/>
            <w:tcBorders>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9"/>
                <w:szCs w:val="19"/>
                <w:color w:val="auto"/>
              </w:rPr>
              <w:t>0.75%</w:t>
            </w:r>
          </w:p>
        </w:tc>
        <w:tc>
          <w:tcPr>
            <w:tcW w:w="3740" w:type="dxa"/>
            <w:vAlign w:val="bottom"/>
            <w:tcBorders>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9"/>
                <w:szCs w:val="19"/>
                <w:color w:val="auto"/>
              </w:rPr>
              <w:t>0.00%</w:t>
            </w:r>
          </w:p>
        </w:tc>
      </w:tr>
      <w:tr>
        <w:trPr>
          <w:trHeight w:val="21"/>
        </w:trPr>
        <w:tc>
          <w:tcPr>
            <w:tcW w:w="154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3780" w:type="dxa"/>
            <w:vAlign w:val="bottom"/>
            <w:tcBorders>
              <w:left w:val="single" w:sz="8" w:color="auto"/>
              <w:bottom w:val="single" w:sz="8" w:color="auto"/>
              <w:right w:val="single" w:sz="8" w:color="auto"/>
            </w:tcBorders>
            <w:gridSpan w:val="3"/>
          </w:tcPr>
          <w:p>
            <w:pPr>
              <w:jc w:val="center"/>
              <w:ind w:right="20"/>
              <w:spacing w:after="0" w:line="223" w:lineRule="exact"/>
              <w:rPr>
                <w:sz w:val="20"/>
                <w:szCs w:val="20"/>
                <w:color w:val="auto"/>
              </w:rPr>
            </w:pPr>
            <w:r>
              <w:rPr>
                <w:rFonts w:ascii="Times New Roman" w:cs="Times New Roman" w:eastAsia="Times New Roman" w:hAnsi="Times New Roman"/>
                <w:sz w:val="20"/>
                <w:szCs w:val="20"/>
                <w:color w:val="auto"/>
                <w:w w:val="97"/>
              </w:rPr>
              <w:t>BBB+/Baa1</w:t>
            </w:r>
          </w:p>
        </w:tc>
        <w:tc>
          <w:tcPr>
            <w:tcW w:w="37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0.80%</w:t>
            </w:r>
          </w:p>
        </w:tc>
        <w:tc>
          <w:tcPr>
            <w:tcW w:w="37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0.00%</w:t>
            </w:r>
          </w:p>
        </w:tc>
      </w:tr>
      <w:tr>
        <w:trPr>
          <w:trHeight w:val="223"/>
        </w:trPr>
        <w:tc>
          <w:tcPr>
            <w:tcW w:w="3780" w:type="dxa"/>
            <w:vAlign w:val="bottom"/>
            <w:tcBorders>
              <w:left w:val="single" w:sz="8" w:color="auto"/>
              <w:bottom w:val="single" w:sz="8" w:color="auto"/>
              <w:right w:val="single" w:sz="8" w:color="auto"/>
            </w:tcBorders>
            <w:gridSpan w:val="3"/>
          </w:tcPr>
          <w:p>
            <w:pPr>
              <w:jc w:val="center"/>
              <w:ind w:right="40"/>
              <w:spacing w:after="0" w:line="223" w:lineRule="exact"/>
              <w:rPr>
                <w:sz w:val="20"/>
                <w:szCs w:val="20"/>
                <w:color w:val="auto"/>
              </w:rPr>
            </w:pPr>
            <w:r>
              <w:rPr>
                <w:rFonts w:ascii="Times New Roman" w:cs="Times New Roman" w:eastAsia="Times New Roman" w:hAnsi="Times New Roman"/>
                <w:sz w:val="20"/>
                <w:szCs w:val="20"/>
                <w:color w:val="auto"/>
                <w:w w:val="99"/>
              </w:rPr>
              <w:t>BBB/Baa2</w:t>
            </w:r>
          </w:p>
        </w:tc>
        <w:tc>
          <w:tcPr>
            <w:tcW w:w="37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0.90%</w:t>
            </w:r>
          </w:p>
        </w:tc>
        <w:tc>
          <w:tcPr>
            <w:tcW w:w="37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0.00%</w:t>
            </w:r>
          </w:p>
        </w:tc>
      </w:tr>
      <w:tr>
        <w:trPr>
          <w:trHeight w:val="223"/>
        </w:trPr>
        <w:tc>
          <w:tcPr>
            <w:tcW w:w="3780" w:type="dxa"/>
            <w:vAlign w:val="bottom"/>
            <w:tcBorders>
              <w:left w:val="single" w:sz="8" w:color="auto"/>
              <w:bottom w:val="single" w:sz="8" w:color="auto"/>
              <w:right w:val="single" w:sz="8" w:color="auto"/>
            </w:tcBorders>
            <w:gridSpan w:val="3"/>
          </w:tcPr>
          <w:p>
            <w:pPr>
              <w:jc w:val="center"/>
              <w:ind w:right="20"/>
              <w:spacing w:after="0" w:line="223" w:lineRule="exact"/>
              <w:rPr>
                <w:sz w:val="20"/>
                <w:szCs w:val="20"/>
                <w:color w:val="auto"/>
              </w:rPr>
            </w:pPr>
            <w:r>
              <w:rPr>
                <w:rFonts w:ascii="Times New Roman" w:cs="Times New Roman" w:eastAsia="Times New Roman" w:hAnsi="Times New Roman"/>
                <w:sz w:val="20"/>
                <w:szCs w:val="20"/>
                <w:color w:val="auto"/>
                <w:w w:val="98"/>
              </w:rPr>
              <w:t>BBB-/Baa3</w:t>
            </w:r>
          </w:p>
        </w:tc>
        <w:tc>
          <w:tcPr>
            <w:tcW w:w="37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1.15%</w:t>
            </w:r>
          </w:p>
        </w:tc>
        <w:tc>
          <w:tcPr>
            <w:tcW w:w="37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0.15%</w:t>
            </w:r>
          </w:p>
        </w:tc>
      </w:tr>
      <w:tr>
        <w:trPr>
          <w:trHeight w:val="200"/>
        </w:trPr>
        <w:tc>
          <w:tcPr>
            <w:tcW w:w="3780" w:type="dxa"/>
            <w:vAlign w:val="bottom"/>
            <w:tcBorders>
              <w:left w:val="single" w:sz="8" w:color="auto"/>
              <w:right w:val="single" w:sz="8" w:color="auto"/>
            </w:tcBorders>
            <w:gridSpan w:val="3"/>
          </w:tcPr>
          <w:p>
            <w:pPr>
              <w:jc w:val="center"/>
              <w:ind w:right="20"/>
              <w:spacing w:after="0" w:line="200" w:lineRule="exact"/>
              <w:rPr>
                <w:sz w:val="20"/>
                <w:szCs w:val="20"/>
                <w:color w:val="auto"/>
              </w:rPr>
            </w:pPr>
            <w:r>
              <w:rPr>
                <w:rFonts w:ascii="Times New Roman" w:cs="Times New Roman" w:eastAsia="Times New Roman" w:hAnsi="Times New Roman"/>
                <w:sz w:val="20"/>
                <w:szCs w:val="20"/>
                <w:color w:val="auto"/>
                <w:w w:val="98"/>
              </w:rPr>
              <w:t>&lt; BBB-/Baa3</w:t>
            </w:r>
          </w:p>
        </w:tc>
        <w:tc>
          <w:tcPr>
            <w:tcW w:w="3720" w:type="dxa"/>
            <w:vAlign w:val="bottom"/>
            <w:tcBorders>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r>
      <w:tr>
        <w:trPr>
          <w:trHeight w:val="252"/>
        </w:trPr>
        <w:tc>
          <w:tcPr>
            <w:tcW w:w="3780" w:type="dxa"/>
            <w:vAlign w:val="bottom"/>
            <w:tcBorders>
              <w:left w:val="single" w:sz="8" w:color="auto"/>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8"/>
              </w:rPr>
              <w:t>(or unrated)</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1.55%</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0.55%</w:t>
            </w:r>
          </w:p>
        </w:tc>
      </w:tr>
    </w:tbl>
    <w:p>
      <w:pPr>
        <w:spacing w:after="0" w:line="184"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Approved Electronic Communications</w:t>
      </w:r>
      <w:r>
        <w:rPr>
          <w:rFonts w:ascii="Times New Roman" w:cs="Times New Roman" w:eastAsia="Times New Roman" w:hAnsi="Times New Roman"/>
          <w:sz w:val="19"/>
          <w:szCs w:val="19"/>
          <w:color w:val="auto"/>
        </w:rPr>
        <w:t xml:space="preserve">” means each Communication that any Loan Party is obligated to, or otherwise chooses to, provide to the Administrative Agent pursuant to any Loan Document or the transactions contemplated therein, including any financial statement, financial and other report, notice, request, certificate and other information materials required to be delivered pursuant to Sections 5.03(b), (c), (e), (g), and (k);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solely with respect to delivery of any such Communication by any Loan Party to the Administrative Agent and without limiting or otherwise affecting either the Administrative Agent’s right to effect delivery of such Communication by posting such Communication to the Approved Electronic Platform or the protections afforded hereby to the Administrative Agent in connection with any such posting, “Approved Electronic Communication” shall exclude (i) any notice of borrowing, notice of Conversion or continuation, and any other notice, demand, communication, information, document and other material relating to a request for a new, or a Conversion of an existing, Borrowing, (ii) any notice pursuant to Section 2.06(a) and any other notice relating to the payment of any principal or other amount due under any Loan Document prior to the scheduled date therefor, (iii) all notices of any Default or Event of Default and (iv) any notice, demand, communication, information, document and other material required to be delivered to satisfy any of the conditions set forth in Article III or any other condition to any Borrowing or other extension of credit hereunder or any condition precedent to the effectiveness of this Agreement.</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Approved Electronic Platform</w:t>
      </w:r>
      <w:r>
        <w:rPr>
          <w:rFonts w:ascii="Times New Roman" w:cs="Times New Roman" w:eastAsia="Times New Roman" w:hAnsi="Times New Roman"/>
          <w:sz w:val="19"/>
          <w:szCs w:val="19"/>
          <w:color w:val="auto"/>
        </w:rPr>
        <w:t>” has the meaning specified in Section 9.02(c).</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Arrangers</w:t>
      </w:r>
      <w:r>
        <w:rPr>
          <w:rFonts w:ascii="Times New Roman" w:cs="Times New Roman" w:eastAsia="Times New Roman" w:hAnsi="Times New Roman"/>
          <w:sz w:val="19"/>
          <w:szCs w:val="19"/>
          <w:color w:val="auto"/>
        </w:rPr>
        <w:t>” has the meaning specified in the recital of parties to this Agreement.</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Assets</w:t>
      </w:r>
      <w:r>
        <w:rPr>
          <w:rFonts w:ascii="Times New Roman" w:cs="Times New Roman" w:eastAsia="Times New Roman" w:hAnsi="Times New Roman"/>
          <w:sz w:val="19"/>
          <w:szCs w:val="19"/>
          <w:color w:val="auto"/>
        </w:rPr>
        <w:t>” means Office Assets, Development Assets, Redevelopment Assets, Joint Venture Assets and Mixed Use Assets.</w:t>
      </w:r>
    </w:p>
    <w:p>
      <w:pPr>
        <w:spacing w:after="0" w:line="214"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Asset Value</w:t>
      </w:r>
      <w:r>
        <w:rPr>
          <w:rFonts w:ascii="Times New Roman" w:cs="Times New Roman" w:eastAsia="Times New Roman" w:hAnsi="Times New Roman"/>
          <w:sz w:val="19"/>
          <w:szCs w:val="19"/>
          <w:color w:val="auto"/>
        </w:rPr>
        <w:t xml:space="preserve">” means, at any date of determination, (a) in the case of any Office Asset or any Mixed Use Asset, the Capitalized Value of such Office Asset or Mixed Use Asset;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the Asset Value of each Office Asset or Mixed Use Asset, as the case may be (other than a Development Asset or Redevelopment Asset) shall be equal, during the first 24 months following acquisition thereof, to the greater of (i) the acquisition price of such Office Asset or Mixed Use Asset, as applicable and (ii) the Capitalized Value of such Office Asset or Mixed Use Asset, as applicable, (b) in the case of any Development Asset or Redevelopment Asset, the gross book value of such Asset as determined in accordance with GAAP, (c) in the case of any Joint Venture Asset that, but for such Asset being owned by a Joint Venture, would qualify as an Office Asset or a Mixed Use Asset under the applicable definition thereof, the JV Pro Rata Share of the Capitalized Value of such Joint Venture Asset;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Asset Value of each Joint Venture Asset shall be equal, during the first 24 months following acquisition thereof, to the JV Pro Rata Share of the greater of (x) the acquisition price of such Joint Venture Asset or (y) the Capitalized Value of such Joint Venture Asset, (d) in the case of any Joint Venture Asset that, but for such Asset being owned by a Joint Venture, would qualify as a Development Asset or Redevelopment Asset under the definition thereof, the JV Pro Rata Share of the gross book value of such Joint Venture Asset as determined in accordance with GAAP, and (e) in the case of any other asset of the Parent or any of its Subsidiaries that is not already referenced in clauses (a) through (d) above, the gross book value of such asset as determined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 w:name="page14"/>
    <w:bookmarkEnd w:id="13"/>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Assignment and Acceptance</w:t>
      </w:r>
      <w:r>
        <w:rPr>
          <w:rFonts w:ascii="Times New Roman" w:cs="Times New Roman" w:eastAsia="Times New Roman" w:hAnsi="Times New Roman"/>
          <w:sz w:val="19"/>
          <w:szCs w:val="19"/>
          <w:color w:val="auto"/>
        </w:rPr>
        <w:t>” means an assignment and acceptance entered into by a Lender and an Eligible Assignee, and accepted by the Administrative Agent, in accordance with Section 9.07 and in substantially the form of Exhibit D hereto.</w:t>
      </w:r>
    </w:p>
    <w:p>
      <w:pPr>
        <w:spacing w:after="0" w:line="153"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Available Tenor</w:t>
      </w:r>
      <w:r>
        <w:rPr>
          <w:rFonts w:ascii="Times New Roman" w:cs="Times New Roman" w:eastAsia="Times New Roman" w:hAnsi="Times New Roman"/>
          <w:sz w:val="19"/>
          <w:szCs w:val="19"/>
          <w:color w:val="auto"/>
        </w:rPr>
        <w:t>” means, as of any date of determination and with respect to any then-current Benchmark that is a term rate, as applicable, any tenor for such Benchmark (or component thereof) that is or may be used for determining the length of an Interest Period pursuant to this Agreement as of such date.</w:t>
      </w:r>
    </w:p>
    <w:p>
      <w:pPr>
        <w:spacing w:after="0" w:line="130"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Bail-In Action</w:t>
      </w:r>
      <w:r>
        <w:rPr>
          <w:rFonts w:ascii="Times New Roman" w:cs="Times New Roman" w:eastAsia="Times New Roman" w:hAnsi="Times New Roman"/>
          <w:sz w:val="19"/>
          <w:szCs w:val="19"/>
          <w:color w:val="auto"/>
        </w:rPr>
        <w:t>” means the exercise of any Write-Down and Conversion Powers by the applicable Resolution Authority in respect of any liability of an Affected Financial Institution.</w:t>
      </w:r>
    </w:p>
    <w:p>
      <w:pPr>
        <w:spacing w:after="0" w:line="153"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Bail-In Legislation</w:t>
      </w:r>
      <w:r>
        <w:rPr>
          <w:rFonts w:ascii="Times New Roman" w:cs="Times New Roman" w:eastAsia="Times New Roman" w:hAnsi="Times New Roman"/>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UK Bail-In Legislation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Bankruptcy Law</w:t>
      </w:r>
      <w:r>
        <w:rPr>
          <w:rFonts w:ascii="Times New Roman" w:cs="Times New Roman" w:eastAsia="Times New Roman" w:hAnsi="Times New Roman"/>
          <w:sz w:val="19"/>
          <w:szCs w:val="19"/>
          <w:color w:val="auto"/>
        </w:rPr>
        <w:t>” means any applicable law governing a proceeding of the type referred to in Section 6.01(f) or Title 11, U.S.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Code, or any similar foreign, federal or state law for the relief of debtors.</w:t>
      </w:r>
    </w:p>
    <w:p>
      <w:pPr>
        <w:spacing w:after="0" w:line="188"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Base Rate</w:t>
      </w:r>
      <w:r>
        <w:rPr>
          <w:rFonts w:ascii="Times New Roman" w:cs="Times New Roman" w:eastAsia="Times New Roman" w:hAnsi="Times New Roman"/>
          <w:sz w:val="19"/>
          <w:szCs w:val="19"/>
          <w:color w:val="auto"/>
        </w:rPr>
        <w:t xml:space="preserve">” means, the greatest of (a) the interest rate per annum announced from time to time by the Administrative Agent at its Principal Office as its then prime rate, which rate may not be the lowest rate then being charged commercial borrowers by the Administrative Agent, (b) the Federal Funds Open Rate plus 0.5% per annum or (c) Term SOFR for a one-month Interest Period in effect on such day plus 1% per annum (taking into account any floor set forth in the definition of Term SOFR);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in no circumstance shall the Base Rate be less than the Floor. Any change in the Base Rate (or any component thereof) will take effect as of the opening of business on the day such change occurs. If the Base Rate is being used as an alternate rate of interest pursuant to Section 2.07(d) or 2.07(e), then the Base Rate shall be equal to the higher of (a) and (b) above and shall be determined without reference to clause (c) above.</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Base Rate Advance</w:t>
      </w:r>
      <w:r>
        <w:rPr>
          <w:rFonts w:ascii="Times New Roman" w:cs="Times New Roman" w:eastAsia="Times New Roman" w:hAnsi="Times New Roman"/>
          <w:sz w:val="19"/>
          <w:szCs w:val="19"/>
          <w:color w:val="auto"/>
        </w:rPr>
        <w:t>” means an Advance that bears interest as provided in Section 2.07(a)(i).</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Base Rate Term SOFR Determination Day</w:t>
      </w:r>
      <w:r>
        <w:rPr>
          <w:rFonts w:ascii="Times New Roman" w:cs="Times New Roman" w:eastAsia="Times New Roman" w:hAnsi="Times New Roman"/>
          <w:sz w:val="19"/>
          <w:szCs w:val="19"/>
          <w:color w:val="auto"/>
        </w:rPr>
        <w:t>” has the meaning set forth in the definition of Term SOFR.</w:t>
      </w:r>
    </w:p>
    <w:p>
      <w:pPr>
        <w:spacing w:after="0" w:line="187"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Benchmark</w:t>
      </w:r>
      <w:r>
        <w:rPr>
          <w:rFonts w:ascii="Times New Roman" w:cs="Times New Roman" w:eastAsia="Times New Roman" w:hAnsi="Times New Roman"/>
          <w:sz w:val="19"/>
          <w:szCs w:val="19"/>
          <w:color w:val="auto"/>
        </w:rPr>
        <w:t xml:space="preserve">” means, initially, the Term SOFR Reference Rate;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a replacement of the Benchmark has occurred pursuant to Section 2.07(e),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Benchmark Replacement</w:t>
      </w:r>
      <w:r>
        <w:rPr>
          <w:rFonts w:ascii="Times New Roman" w:cs="Times New Roman" w:eastAsia="Times New Roman" w:hAnsi="Times New Roman"/>
          <w:sz w:val="19"/>
          <w:szCs w:val="19"/>
          <w:color w:val="auto"/>
        </w:rPr>
        <w:t>” means, with respect to:</w:t>
      </w:r>
    </w:p>
    <w:p>
      <w:pPr>
        <w:spacing w:after="0" w:line="220" w:lineRule="exact"/>
        <w:rPr>
          <w:sz w:val="20"/>
          <w:szCs w:val="20"/>
          <w:color w:val="auto"/>
        </w:rPr>
      </w:pPr>
    </w:p>
    <w:p>
      <w:pPr>
        <w:ind w:left="1220" w:right="20" w:hanging="463"/>
        <w:spacing w:after="0" w:line="265" w:lineRule="auto"/>
        <w:tabs>
          <w:tab w:leader="none" w:pos="12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Benchmark Transition Event occurring while the Benchmark is Term SOFR, the first alternative set forth in the order below that can be determined by the Administrative Agent for the applicable Benchmark Replacement Date:</w:t>
      </w:r>
    </w:p>
    <w:p>
      <w:pPr>
        <w:spacing w:after="0" w:line="165" w:lineRule="exact"/>
        <w:rPr>
          <w:rFonts w:ascii="Times New Roman" w:cs="Times New Roman" w:eastAsia="Times New Roman" w:hAnsi="Times New Roman"/>
          <w:sz w:val="19"/>
          <w:szCs w:val="19"/>
          <w:color w:val="auto"/>
        </w:rPr>
      </w:pPr>
    </w:p>
    <w:p>
      <w:pPr>
        <w:ind w:left="2160" w:hanging="655"/>
        <w:spacing w:after="0"/>
        <w:tabs>
          <w:tab w:leader="none" w:pos="2160"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Daily Simple SOFR; or</w:t>
      </w:r>
    </w:p>
    <w:p>
      <w:pPr>
        <w:spacing w:after="0" w:line="105" w:lineRule="exact"/>
        <w:rPr>
          <w:rFonts w:ascii="Times New Roman" w:cs="Times New Roman" w:eastAsia="Times New Roman" w:hAnsi="Times New Roman"/>
          <w:sz w:val="19"/>
          <w:szCs w:val="19"/>
          <w:color w:val="auto"/>
        </w:rPr>
      </w:pPr>
    </w:p>
    <w:p>
      <w:pPr>
        <w:jc w:val="both"/>
        <w:ind w:left="2160" w:hanging="655"/>
        <w:spacing w:after="0" w:line="251" w:lineRule="auto"/>
        <w:tabs>
          <w:tab w:leader="none" w:pos="2160"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(X)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4" w:name="page15"/>
    <w:bookmarkEnd w:id="14"/>
    <w:p>
      <w:pPr>
        <w:jc w:val="both"/>
        <w:ind w:left="2160"/>
        <w:spacing w:after="0" w:line="246" w:lineRule="auto"/>
        <w:rPr>
          <w:sz w:val="20"/>
          <w:szCs w:val="20"/>
          <w:color w:val="auto"/>
        </w:rPr>
      </w:pPr>
      <w:r>
        <w:rPr>
          <w:rFonts w:ascii="Times New Roman" w:cs="Times New Roman" w:eastAsia="Times New Roman" w:hAnsi="Times New Roman"/>
          <w:sz w:val="19"/>
          <w:szCs w:val="19"/>
          <w:color w:val="auto"/>
        </w:rPr>
        <w:t xml:space="preserve">market convention for determining a benchmark rate as a replacement to the then-current Benchmark for Dollar-denominated syndicated credit facilities for the applicable loan market at such time and (Y) the related Benchmark Replacement Adjustment;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 Benchmark Replacement would be less than the Floor, the Benchmark Replacement will be deemed to be the Floor for the purposes of this Agreement and the other Loan Documents; or</w:t>
      </w:r>
    </w:p>
    <w:p>
      <w:pPr>
        <w:spacing w:after="0" w:line="76" w:lineRule="exact"/>
        <w:rPr>
          <w:sz w:val="20"/>
          <w:szCs w:val="20"/>
          <w:color w:val="auto"/>
        </w:rPr>
      </w:pPr>
    </w:p>
    <w:p>
      <w:pPr>
        <w:ind w:left="1220" w:hanging="463"/>
        <w:spacing w:after="0" w:line="265" w:lineRule="auto"/>
        <w:tabs>
          <w:tab w:leader="none" w:pos="12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Benchmark Transition Event occurring while the Benchmark is Daily Simple SOFR, the alternative set forth in clause (a)(2) above for the applicable Benchmark Replacement Date.</w:t>
      </w:r>
    </w:p>
    <w:p>
      <w:pPr>
        <w:spacing w:after="0" w:line="160"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Benchmark Replacement Adjustment</w:t>
      </w:r>
      <w:r>
        <w:rPr>
          <w:rFonts w:ascii="Times New Roman" w:cs="Times New Roman" w:eastAsia="Times New Roman" w:hAnsi="Times New Roman"/>
          <w:sz w:val="19"/>
          <w:szCs w:val="19"/>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for the applicable loan market.</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“Benchmark Replacement Date” </w:t>
      </w:r>
      <w:r>
        <w:rPr>
          <w:rFonts w:ascii="Times New Roman" w:cs="Times New Roman" w:eastAsia="Times New Roman" w:hAnsi="Times New Roman"/>
          <w:sz w:val="19"/>
          <w:szCs w:val="19"/>
          <w:color w:val="auto"/>
        </w:rPr>
        <w:t>means the earliest to occur of the following events with respect to the then-current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Benchmark:</w:t>
      </w:r>
    </w:p>
    <w:p>
      <w:pPr>
        <w:spacing w:after="0" w:line="194" w:lineRule="exact"/>
        <w:rPr>
          <w:sz w:val="20"/>
          <w:szCs w:val="20"/>
          <w:color w:val="auto"/>
        </w:rPr>
      </w:pPr>
    </w:p>
    <w:p>
      <w:pPr>
        <w:jc w:val="both"/>
        <w:ind w:left="1220" w:hanging="463"/>
        <w:spacing w:after="0" w:line="246" w:lineRule="auto"/>
        <w:tabs>
          <w:tab w:leader="none" w:pos="12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component thereof) or, if such Benchmark is a term rate, all Available Tenors of such Benchmark (or such component thereof); or</w:t>
      </w:r>
    </w:p>
    <w:p>
      <w:pPr>
        <w:spacing w:after="0" w:line="76" w:lineRule="exact"/>
        <w:rPr>
          <w:rFonts w:ascii="Times New Roman" w:cs="Times New Roman" w:eastAsia="Times New Roman" w:hAnsi="Times New Roman"/>
          <w:sz w:val="19"/>
          <w:szCs w:val="19"/>
          <w:color w:val="auto"/>
        </w:rPr>
      </w:pPr>
    </w:p>
    <w:p>
      <w:pPr>
        <w:jc w:val="both"/>
        <w:ind w:left="1220" w:hanging="463"/>
        <w:spacing w:after="0" w:line="242" w:lineRule="auto"/>
        <w:tabs>
          <w:tab w:leader="none" w:pos="12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clause (c) of the definition of Benchmark Transition Event, the first date on which all Available Tenors of such Benchmark (or the published component used in the calculation thereof) or, if such Benchmark is a term rate, all Available Tenors of such Benchmark (or such component thereof), have been determined and announced by the regulatory supervisor for the administrator of such Benchmark (or such component thereof) to be non-representative;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such non-representativeness will be determined by reference to the most recent statement or publication referenced in such clause (c) and even if such Benchmark (or such component thereof) or, if such Benchmark is a term rate, any Available Tenor of such Benchmark (or such component thereof) continues to be provided on such date.</w:t>
      </w:r>
    </w:p>
    <w:p>
      <w:pPr>
        <w:spacing w:after="0" w:line="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For the avoidance of doubt, if such Benchmark is a term rate, a Benchmark Replacement Date will be deemed to have occurred in the case of clause (a) or (b) above with respect to any Benchmark upon the occurrence of the applicable event or events set forth therein with respect to all then-current Available Tenors of such Benchmark (or the published component used in the calculation thereof).</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Benchmark Transition Event</w:t>
      </w:r>
      <w:r>
        <w:rPr>
          <w:rFonts w:ascii="Times New Roman" w:cs="Times New Roman" w:eastAsia="Times New Roman" w:hAnsi="Times New Roman"/>
          <w:sz w:val="19"/>
          <w:szCs w:val="19"/>
          <w:color w:val="auto"/>
        </w:rPr>
        <w:t>” means the occurrence of one or more of the following events with respect to the then-current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Benchmark:</w:t>
      </w:r>
    </w:p>
    <w:p>
      <w:pPr>
        <w:spacing w:after="0" w:line="194" w:lineRule="exact"/>
        <w:rPr>
          <w:sz w:val="20"/>
          <w:szCs w:val="20"/>
          <w:color w:val="auto"/>
        </w:rPr>
      </w:pPr>
    </w:p>
    <w:p>
      <w:pPr>
        <w:jc w:val="both"/>
        <w:ind w:left="1220" w:hanging="463"/>
        <w:spacing w:after="0" w:line="244" w:lineRule="auto"/>
        <w:tabs>
          <w:tab w:leader="none" w:pos="122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 w:name="page16"/>
    <w:bookmarkEnd w:id="15"/>
    <w:p>
      <w:pPr>
        <w:ind w:left="1220"/>
        <w:spacing w:after="0"/>
        <w:rPr>
          <w:sz w:val="20"/>
          <w:szCs w:val="20"/>
          <w:color w:val="auto"/>
        </w:rPr>
      </w:pPr>
      <w:r>
        <w:rPr>
          <w:rFonts w:ascii="Times New Roman" w:cs="Times New Roman" w:eastAsia="Times New Roman" w:hAnsi="Times New Roman"/>
          <w:sz w:val="19"/>
          <w:szCs w:val="19"/>
          <w:color w:val="auto"/>
        </w:rPr>
        <w:t>component thereof) or, if such Benchmark is a term rate, any Available Tenor of such Benchmark (or such component thereof);</w:t>
      </w:r>
    </w:p>
    <w:p>
      <w:pPr>
        <w:spacing w:after="0" w:line="106" w:lineRule="exact"/>
        <w:rPr>
          <w:sz w:val="20"/>
          <w:szCs w:val="20"/>
          <w:color w:val="auto"/>
        </w:rPr>
      </w:pPr>
    </w:p>
    <w:p>
      <w:pPr>
        <w:jc w:val="both"/>
        <w:ind w:left="1220" w:hanging="463"/>
        <w:spacing w:after="0"/>
        <w:tabs>
          <w:tab w:leader="none" w:pos="122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any Available Tenor of such Benchmark (or such component thereof); or</w:t>
      </w:r>
    </w:p>
    <w:p>
      <w:pPr>
        <w:spacing w:after="0" w:line="85" w:lineRule="exact"/>
        <w:rPr>
          <w:rFonts w:ascii="Times New Roman" w:cs="Times New Roman" w:eastAsia="Times New Roman" w:hAnsi="Times New Roman"/>
          <w:sz w:val="19"/>
          <w:szCs w:val="19"/>
          <w:color w:val="auto"/>
        </w:rPr>
      </w:pPr>
    </w:p>
    <w:p>
      <w:pPr>
        <w:jc w:val="both"/>
        <w:ind w:left="1220" w:hanging="463"/>
        <w:spacing w:after="0" w:line="246" w:lineRule="auto"/>
        <w:tabs>
          <w:tab w:leader="none" w:pos="122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-165735</wp:posOffset>
            </wp:positionV>
            <wp:extent cx="298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845"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-148590</wp:posOffset>
            </wp:positionV>
            <wp:extent cx="298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845" cy="8255"/>
                    </a:xfrm>
                    <a:prstGeom prst="rect">
                      <a:avLst/>
                    </a:prstGeom>
                    <a:noFill/>
                  </pic:spPr>
                </pic:pic>
              </a:graphicData>
            </a:graphic>
          </wp:anchor>
        </w:drawing>
      </w:r>
    </w:p>
    <w:p>
      <w:pPr>
        <w:spacing w:after="0" w:line="56"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9"/>
          <w:szCs w:val="19"/>
          <w:color w:val="auto"/>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3"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Beneficial Ownership Certification</w:t>
      </w:r>
      <w:r>
        <w:rPr>
          <w:rFonts w:ascii="Times New Roman" w:cs="Times New Roman" w:eastAsia="Times New Roman" w:hAnsi="Times New Roman"/>
          <w:sz w:val="19"/>
          <w:szCs w:val="19"/>
          <w:color w:val="auto"/>
        </w:rPr>
        <w:t>” means, if the Borrower qualifies as a “legal entity customer” within the meaning of the Beneficial Ownership Regulation, a certification of beneficial ownership as required by the Beneficial Ownership Regulation.</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Beneficial Ownership Regulation</w:t>
      </w:r>
      <w:r>
        <w:rPr>
          <w:rFonts w:ascii="Times New Roman" w:cs="Times New Roman" w:eastAsia="Times New Roman" w:hAnsi="Times New Roman"/>
          <w:sz w:val="19"/>
          <w:szCs w:val="19"/>
          <w:color w:val="auto"/>
        </w:rPr>
        <w:t>” means 31 C.F.R. § 1010.230, as amended.</w:t>
      </w:r>
    </w:p>
    <w:p>
      <w:pPr>
        <w:spacing w:after="0" w:line="214" w:lineRule="exact"/>
        <w:rPr>
          <w:sz w:val="20"/>
          <w:szCs w:val="20"/>
          <w:color w:val="auto"/>
        </w:rPr>
      </w:pPr>
    </w:p>
    <w:p>
      <w:pPr>
        <w:jc w:val="both"/>
        <w:ind w:firstLine="1497"/>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Section 4975 of the Internal Revenue Code or (c) any Person whose assets include (for purposes of ERISA Section 3(42) or otherwise for purposes of Title I of ERISA or Section 4975 of the Internal Revenue Code) the assets of any such “employee benefit plan” or “plan”.</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BHC Act Affiliate</w:t>
      </w:r>
      <w:r>
        <w:rPr>
          <w:rFonts w:ascii="Times New Roman" w:cs="Times New Roman" w:eastAsia="Times New Roman" w:hAnsi="Times New Roman"/>
          <w:sz w:val="19"/>
          <w:szCs w:val="19"/>
          <w:color w:val="auto"/>
        </w:rPr>
        <w:t>” has the meaning specified in Section 9.21(b).</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Bookrunners</w:t>
      </w:r>
      <w:r>
        <w:rPr>
          <w:rFonts w:ascii="Times New Roman" w:cs="Times New Roman" w:eastAsia="Times New Roman" w:hAnsi="Times New Roman"/>
          <w:sz w:val="19"/>
          <w:szCs w:val="19"/>
          <w:color w:val="auto"/>
        </w:rPr>
        <w:t>” has the meaning specified in the recital of parties to this Agreement.</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Borrower</w:t>
      </w:r>
      <w:r>
        <w:rPr>
          <w:rFonts w:ascii="Times New Roman" w:cs="Times New Roman" w:eastAsia="Times New Roman" w:hAnsi="Times New Roman"/>
          <w:sz w:val="19"/>
          <w:szCs w:val="19"/>
          <w:color w:val="auto"/>
        </w:rPr>
        <w:t>” has the meaning specified in the recital of parties to this Agreement.</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Borrower Party or Borrower Parties</w:t>
      </w:r>
      <w:r>
        <w:rPr>
          <w:rFonts w:ascii="Times New Roman" w:cs="Times New Roman" w:eastAsia="Times New Roman" w:hAnsi="Times New Roman"/>
          <w:sz w:val="19"/>
          <w:szCs w:val="19"/>
          <w:color w:val="auto"/>
        </w:rPr>
        <w:t>” means the Loan Parties and the owners of the Unencumbered Assets, without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duplication.</w:t>
      </w:r>
    </w:p>
    <w:p>
      <w:pPr>
        <w:spacing w:after="0" w:line="188" w:lineRule="exact"/>
        <w:rPr>
          <w:sz w:val="20"/>
          <w:szCs w:val="20"/>
          <w:color w:val="auto"/>
        </w:rPr>
      </w:pPr>
    </w:p>
    <w:p>
      <w:pPr>
        <w:jc w:val="both"/>
        <w:ind w:firstLine="1497"/>
        <w:spacing w:after="0" w:line="23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Borrower’s Account</w:t>
      </w:r>
      <w:r>
        <w:rPr>
          <w:rFonts w:ascii="Times New Roman" w:cs="Times New Roman" w:eastAsia="Times New Roman" w:hAnsi="Times New Roman"/>
          <w:sz w:val="19"/>
          <w:szCs w:val="19"/>
          <w:color w:val="auto"/>
        </w:rPr>
        <w:t>” means the account of the Borrower maintained by the Borrower with Citibank N.A. at its office at 153 East 53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9"/>
          <w:szCs w:val="19"/>
          <w:color w:val="auto"/>
        </w:rPr>
        <w:t xml:space="preserve"> Street, 21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9"/>
          <w:szCs w:val="19"/>
          <w:color w:val="auto"/>
        </w:rPr>
        <w:t xml:space="preserve"> Floor, New York, New York 10022, ABA No. 021000089, Account No. 4991074200 or such other account as the Borrower shall specify in writing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 w:name="page17"/>
    <w:bookmarkEnd w:id="16"/>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Borrowing</w:t>
      </w:r>
      <w:r>
        <w:rPr>
          <w:rFonts w:ascii="Times New Roman" w:cs="Times New Roman" w:eastAsia="Times New Roman" w:hAnsi="Times New Roman"/>
          <w:sz w:val="19"/>
          <w:szCs w:val="19"/>
          <w:color w:val="auto"/>
        </w:rPr>
        <w:t>” means a borrowing consisting of simultaneous Advances of the same Type made by the Lenders.</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Business Day</w:t>
      </w:r>
      <w:r>
        <w:rPr>
          <w:rFonts w:ascii="Times New Roman" w:cs="Times New Roman" w:eastAsia="Times New Roman" w:hAnsi="Times New Roman"/>
          <w:sz w:val="19"/>
          <w:szCs w:val="19"/>
          <w:color w:val="auto"/>
        </w:rPr>
        <w:t>” means a day of the year on which banks are not required or authorized by law to close in New York City.</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Capital Expenditure Reserve</w:t>
      </w:r>
      <w:r>
        <w:rPr>
          <w:rFonts w:ascii="Times New Roman" w:cs="Times New Roman" w:eastAsia="Times New Roman" w:hAnsi="Times New Roman"/>
          <w:sz w:val="19"/>
          <w:szCs w:val="19"/>
          <w:color w:val="auto"/>
        </w:rPr>
        <w:t xml:space="preserve">” means, with respect to any Asset at any date of determination, $0.25 </w:t>
      </w:r>
      <w:r>
        <w:rPr>
          <w:rFonts w:ascii="Times New Roman" w:cs="Times New Roman" w:eastAsia="Times New Roman" w:hAnsi="Times New Roman"/>
          <w:sz w:val="19"/>
          <w:szCs w:val="19"/>
          <w:i w:val="1"/>
          <w:iCs w:val="1"/>
          <w:color w:val="auto"/>
        </w:rPr>
        <w:t>times</w:t>
      </w:r>
      <w:r>
        <w:rPr>
          <w:rFonts w:ascii="Times New Roman" w:cs="Times New Roman" w:eastAsia="Times New Roman" w:hAnsi="Times New Roman"/>
          <w:sz w:val="19"/>
          <w:szCs w:val="19"/>
          <w:color w:val="auto"/>
        </w:rPr>
        <w:t xml:space="preserve"> the total number of rentable square feet of such Asset,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with respect to any Asset that is a Joint Venture Asset, the Capital Expenditure Reserve shall be equal to the JV Pro Rata Share of such amount.</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Capitalized Leases</w:t>
      </w:r>
      <w:r>
        <w:rPr>
          <w:rFonts w:ascii="Times New Roman" w:cs="Times New Roman" w:eastAsia="Times New Roman" w:hAnsi="Times New Roman"/>
          <w:sz w:val="19"/>
          <w:szCs w:val="19"/>
          <w:color w:val="auto"/>
        </w:rPr>
        <w:t>” means all leases that have been or should be, in accordance with GAAP, recorded as capitalized leases.</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Capitalized Value</w:t>
      </w:r>
      <w:r>
        <w:rPr>
          <w:rFonts w:ascii="Times New Roman" w:cs="Times New Roman" w:eastAsia="Times New Roman" w:hAnsi="Times New Roman"/>
          <w:sz w:val="19"/>
          <w:szCs w:val="19"/>
          <w:color w:val="auto"/>
        </w:rPr>
        <w:t>” means, in the case of any Asset, the Adjusted Net Operating Income of such Asset divided by 6.75%.</w:t>
      </w:r>
    </w:p>
    <w:p>
      <w:pPr>
        <w:spacing w:after="0" w:line="214" w:lineRule="exact"/>
        <w:rPr>
          <w:sz w:val="20"/>
          <w:szCs w:val="20"/>
          <w:color w:val="auto"/>
        </w:rPr>
      </w:pPr>
    </w:p>
    <w:p>
      <w:pPr>
        <w:jc w:val="both"/>
        <w:ind w:firstLine="1497"/>
        <w:spacing w:after="0" w:line="220"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Cash Equivalents</w:t>
      </w:r>
      <w:r>
        <w:rPr>
          <w:rFonts w:ascii="Times New Roman" w:cs="Times New Roman" w:eastAsia="Times New Roman" w:hAnsi="Times New Roman"/>
          <w:sz w:val="19"/>
          <w:szCs w:val="19"/>
          <w:color w:val="auto"/>
        </w:rPr>
        <w:t xml:space="preserve">” means any of the following: (a) readily marketable obligations issued or directly and fully guaranteed or insured by the Government of the United States or any agency or instrumentality thereof with maturities of not greater than 360 days from the date of acquisition thereof,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full faith and credit of the Government of the United States is pledged in support thereof, (b) certificates of deposit of or time deposits with any commercial bank that is a Lender or a member of the Federal Reserve System, issues (or the parent of which issues) commercial paper rated as described in clause (c) below, is organized under the laws of the United States or any State thereof (or the District of Columbia) and has combined capital and surplus of at least $1,000,000,000, in each case with maturities of not greater than 90 days from the date of acquisition thereof, (c) commercial paper issued by any corporation organized under the laws of any State of the United States and rated at least “Prime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(or the then equivalent grade) by Moody’s or “A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(or the then equivalent grade) by S&amp;P, in each case with maturities of not greater than 180 days from the date of acquisition thereof, or (d) investments classified in accordance with GAAP as current assets of the Borrower or any of its Subsidiaries, in money market investment programs registered under the Investment Company Act of 1940, which are administered by financial institutions that have the highest rating obtainable from either Moody’s or S&amp;P, in and the portfolios of which are limited solely to Investments of the character, quality and maturity described in clauses (a), (b) and (c) hereof.</w:t>
      </w:r>
    </w:p>
    <w:p>
      <w:pPr>
        <w:spacing w:after="0" w:line="1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CERCLA</w:t>
      </w:r>
      <w:r>
        <w:rPr>
          <w:rFonts w:ascii="Times New Roman" w:cs="Times New Roman" w:eastAsia="Times New Roman" w:hAnsi="Times New Roman"/>
          <w:sz w:val="19"/>
          <w:szCs w:val="19"/>
          <w:color w:val="auto"/>
        </w:rPr>
        <w:t>” means the Comprehensive Environmental Response, Compensation and Liability Act of 1980, as amended from</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time to time.</w:t>
      </w:r>
    </w:p>
    <w:p>
      <w:pPr>
        <w:spacing w:after="0" w:line="188"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CERCLIS</w:t>
      </w:r>
      <w:r>
        <w:rPr>
          <w:rFonts w:ascii="Times New Roman" w:cs="Times New Roman" w:eastAsia="Times New Roman" w:hAnsi="Times New Roman"/>
          <w:sz w:val="19"/>
          <w:szCs w:val="19"/>
          <w:color w:val="auto"/>
        </w:rPr>
        <w:t>” means the Comprehensive Environmental Response, Compensation and Liability Information System maintained by the U.S. Environmental Protection Agency.</w:t>
      </w:r>
    </w:p>
    <w:p>
      <w:pPr>
        <w:spacing w:after="0" w:line="153" w:lineRule="exact"/>
        <w:rPr>
          <w:sz w:val="20"/>
          <w:szCs w:val="20"/>
          <w:color w:val="auto"/>
        </w:rPr>
      </w:pPr>
    </w:p>
    <w:p>
      <w:pPr>
        <w:jc w:val="both"/>
        <w:ind w:firstLine="1497"/>
        <w:spacing w:after="0" w:line="221"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Change of Control</w:t>
      </w:r>
      <w:r>
        <w:rPr>
          <w:rFonts w:ascii="Times New Roman" w:cs="Times New Roman" w:eastAsia="Times New Roman" w:hAnsi="Times New Roman"/>
          <w:sz w:val="19"/>
          <w:szCs w:val="19"/>
          <w:color w:val="auto"/>
        </w:rPr>
        <w:t>” means the occurrence of any of the following: (a) any Person or two or more Persons acting in concert shall have acquired and shall continue to have following the date hereof beneficial ownership (within the meaning of Rule 13d</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3 of the Securities and Exchange Commission under the Securities Exchange Act of 1934), directly or indirectly, of Voting Interests of the Parent (or other securities convertible into such Voting Interests) representing 50% or more of the combined voting power of all Voting Interests of the Parent; or (b) there is a change in the composition of the Parent’s Board of Directors over a period of 12 consecutive months (or less) such that a majority of Board members (rounded up to the nearest whole number) ceases to be comprised of individuals who either (i) have been Board members continuously since the beginning of such period or (ii) have been elected or nominated for election as Board members during such period by at least a majority of the Board members described in clause (i) who were still in office at the time such election or nomination was approved by the Board; or (c) the execution of one or more management agreements by the Parent with a third party such that the Parent becomes a so-called “externally managed REIT”; or (d) the Parent ceases to be the direct legal and beneficial owner of all of the general partnership interests in the Borrower; or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7" w:name="page18"/>
    <w:bookmarkEnd w:id="17"/>
    <w:p>
      <w:pPr>
        <w:ind w:left="1500" w:right="2180" w:hanging="1492"/>
        <w:spacing w:after="0" w:line="471" w:lineRule="auto"/>
        <w:tabs>
          <w:tab w:leader="none" w:pos="26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Parent shall create, incur, assume or suffer to exist any Lien on the Equity Interests in the Borrower owned by it. “</w:t>
      </w:r>
      <w:r>
        <w:rPr>
          <w:rFonts w:ascii="Times New Roman" w:cs="Times New Roman" w:eastAsia="Times New Roman" w:hAnsi="Times New Roman"/>
          <w:sz w:val="19"/>
          <w:szCs w:val="19"/>
          <w:b w:val="1"/>
          <w:bCs w:val="1"/>
          <w:i w:val="1"/>
          <w:iCs w:val="1"/>
          <w:color w:val="auto"/>
        </w:rPr>
        <w:t>Closing Date</w:t>
      </w:r>
      <w:r>
        <w:rPr>
          <w:rFonts w:ascii="Times New Roman" w:cs="Times New Roman" w:eastAsia="Times New Roman" w:hAnsi="Times New Roman"/>
          <w:sz w:val="19"/>
          <w:szCs w:val="19"/>
          <w:color w:val="auto"/>
        </w:rPr>
        <w:t>” means June 25, 2026.</w:t>
      </w: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Commitment</w:t>
      </w:r>
      <w:r>
        <w:rPr>
          <w:rFonts w:ascii="Times New Roman" w:cs="Times New Roman" w:eastAsia="Times New Roman" w:hAnsi="Times New Roman"/>
          <w:sz w:val="19"/>
          <w:szCs w:val="19"/>
          <w:color w:val="auto"/>
        </w:rPr>
        <w:t>” means, with respect to any Lender at any time, the amount (whether funded or unfunded) (a) set forth opposite such Lender’s name on Schedule I hereto under the caption “Commitment” or (b) if such Lender has entered into one or more Assignment and Acceptances, set forth for such Lender in the Register maintained by the Administrative Agent pursuant to Section 9.07(d) as such Lender’s “Commitment”, as such amount may be reduced at or prior to such time pursuant to Section 2.05.</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Commitment Date</w:t>
      </w:r>
      <w:r>
        <w:rPr>
          <w:rFonts w:ascii="Times New Roman" w:cs="Times New Roman" w:eastAsia="Times New Roman" w:hAnsi="Times New Roman"/>
          <w:sz w:val="19"/>
          <w:szCs w:val="19"/>
          <w:color w:val="auto"/>
        </w:rPr>
        <w:t>” has the meaning specified in Section 2.17(b).</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Commitment Increase</w:t>
      </w:r>
      <w:r>
        <w:rPr>
          <w:rFonts w:ascii="Times New Roman" w:cs="Times New Roman" w:eastAsia="Times New Roman" w:hAnsi="Times New Roman"/>
          <w:sz w:val="19"/>
          <w:szCs w:val="19"/>
          <w:color w:val="auto"/>
        </w:rPr>
        <w:t>” has the meaning specified in Section 2.17(a).</w:t>
      </w:r>
    </w:p>
    <w:p>
      <w:pPr>
        <w:spacing w:after="0" w:line="214"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Commodity Exchange Act</w:t>
      </w:r>
      <w:r>
        <w:rPr>
          <w:rFonts w:ascii="Times New Roman" w:cs="Times New Roman" w:eastAsia="Times New Roman" w:hAnsi="Times New Roman"/>
          <w:sz w:val="19"/>
          <w:szCs w:val="19"/>
          <w:color w:val="auto"/>
        </w:rPr>
        <w:t>” means the Commodity Exchange Act (7 U.S.C. § 1 et seq.), as amended from time to time, and any successor statute.</w:t>
      </w:r>
    </w:p>
    <w:p>
      <w:pPr>
        <w:spacing w:after="0" w:line="153"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Communications</w:t>
      </w:r>
      <w:r>
        <w:rPr>
          <w:rFonts w:ascii="Times New Roman" w:cs="Times New Roman" w:eastAsia="Times New Roman" w:hAnsi="Times New Roman"/>
          <w:sz w:val="19"/>
          <w:szCs w:val="19"/>
          <w:color w:val="auto"/>
        </w:rPr>
        <w:t>” means each notice, demand, communication, information, document and other material provided for hereunder or under any other Loan Document or otherwise transmitted between the parties hereto relating to this Agreement, the other Loan Documents, any Loan Party or its Affiliates, or the transactions contemplated by this Agreement or the other Loan Documents including, without limitation, all Approved Electronic Communications.</w:t>
      </w:r>
    </w:p>
    <w:p>
      <w:pPr>
        <w:spacing w:after="0" w:line="177"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Conforming Changes</w:t>
      </w:r>
      <w:r>
        <w:rPr>
          <w:rFonts w:ascii="Times New Roman" w:cs="Times New Roman" w:eastAsia="Times New Roman" w:hAnsi="Times New Roman"/>
          <w:sz w:val="19"/>
          <w:szCs w:val="19"/>
          <w:color w:val="auto"/>
        </w:rPr>
        <w:t>” means, with respect to either the use or administration of Term SOFR or Daily Simple SOFR or the use, administration, adoption or implementation of any Benchmark Replacement, any technical, administrative or operational changes (including changes to the definition of “Base Rate”,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but, for the avoidance of doubt, excluding any changes to material economic terms) that the Administrative Agent, in consultation with the Borrower,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in consultation with the Borrower, determines that no market practice for the administration of any such rate exists, in such other manner of administration as the Administrative Agent, in consultation with the Borrower, decides is reasonably necessary in connection with the administration of this Agreement and the other Loan Documents).</w:t>
      </w:r>
    </w:p>
    <w:p>
      <w:pPr>
        <w:spacing w:after="0" w:line="146" w:lineRule="exact"/>
        <w:rPr>
          <w:sz w:val="20"/>
          <w:szCs w:val="20"/>
          <w:color w:val="auto"/>
        </w:rPr>
      </w:pPr>
    </w:p>
    <w:p>
      <w:pPr>
        <w:jc w:val="both"/>
        <w:ind w:right="20"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Connection Income Taxes</w:t>
      </w:r>
      <w:r>
        <w:rPr>
          <w:rFonts w:ascii="Times New Roman" w:cs="Times New Roman" w:eastAsia="Times New Roman" w:hAnsi="Times New Roman"/>
          <w:sz w:val="19"/>
          <w:szCs w:val="19"/>
          <w:color w:val="auto"/>
        </w:rPr>
        <w:t>” means Other Connection Taxes imposed on or measured by net income (however denominated) or franchise Taxes or branch profits Taxes.</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Consent Request Date</w:t>
      </w:r>
      <w:r>
        <w:rPr>
          <w:rFonts w:ascii="Times New Roman" w:cs="Times New Roman" w:eastAsia="Times New Roman" w:hAnsi="Times New Roman"/>
          <w:sz w:val="19"/>
          <w:szCs w:val="19"/>
          <w:color w:val="auto"/>
        </w:rPr>
        <w:t>” has the meaning specified in Section 9.01(b).</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Consolidated</w:t>
      </w:r>
      <w:r>
        <w:rPr>
          <w:rFonts w:ascii="Times New Roman" w:cs="Times New Roman" w:eastAsia="Times New Roman" w:hAnsi="Times New Roman"/>
          <w:sz w:val="19"/>
          <w:szCs w:val="19"/>
          <w:color w:val="auto"/>
        </w:rPr>
        <w:t>” refers to the consolidation of accounts in accordance with GAAP.</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Consolidated Group</w:t>
      </w:r>
      <w:r>
        <w:rPr>
          <w:rFonts w:ascii="Times New Roman" w:cs="Times New Roman" w:eastAsia="Times New Roman" w:hAnsi="Times New Roman"/>
          <w:sz w:val="19"/>
          <w:szCs w:val="19"/>
          <w:color w:val="auto"/>
        </w:rPr>
        <w:t>” means the Borrower and the Parent, together with their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 w:name="page19"/>
    <w:bookmarkEnd w:id="18"/>
    <w:p>
      <w:pPr>
        <w:jc w:val="both"/>
        <w:ind w:firstLine="1497"/>
        <w:spacing w:after="0" w:line="220"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Contingent Obligation</w:t>
      </w:r>
      <w:r>
        <w:rPr>
          <w:rFonts w:ascii="Times New Roman" w:cs="Times New Roman" w:eastAsia="Times New Roman" w:hAnsi="Times New Roman"/>
          <w:sz w:val="19"/>
          <w:szCs w:val="19"/>
          <w:color w:val="auto"/>
        </w:rPr>
        <w:t>” means, with respect to any Person, any Obligation or arrangement of such Person to guarantee or intended to guarantee any Debt, leases, dividends or other payment Obligations (“</w:t>
      </w:r>
      <w:r>
        <w:rPr>
          <w:rFonts w:ascii="Times New Roman" w:cs="Times New Roman" w:eastAsia="Times New Roman" w:hAnsi="Times New Roman"/>
          <w:sz w:val="19"/>
          <w:szCs w:val="19"/>
          <w:b w:val="1"/>
          <w:bCs w:val="1"/>
          <w:i w:val="1"/>
          <w:iCs w:val="1"/>
          <w:color w:val="auto"/>
        </w:rPr>
        <w:t>primary obligations</w:t>
      </w:r>
      <w:r>
        <w:rPr>
          <w:rFonts w:ascii="Times New Roman" w:cs="Times New Roman" w:eastAsia="Times New Roman" w:hAnsi="Times New Roman"/>
          <w:sz w:val="19"/>
          <w:szCs w:val="19"/>
          <w:color w:val="auto"/>
        </w:rPr>
        <w:t>”) of any other Person (the “</w:t>
      </w:r>
      <w:r>
        <w:rPr>
          <w:rFonts w:ascii="Times New Roman" w:cs="Times New Roman" w:eastAsia="Times New Roman" w:hAnsi="Times New Roman"/>
          <w:sz w:val="19"/>
          <w:szCs w:val="19"/>
          <w:b w:val="1"/>
          <w:bCs w:val="1"/>
          <w:i w:val="1"/>
          <w:iCs w:val="1"/>
          <w:color w:val="auto"/>
        </w:rPr>
        <w:t>primary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obligor</w:t>
      </w:r>
      <w:r>
        <w:rPr>
          <w:rFonts w:ascii="Times New Roman" w:cs="Times New Roman" w:eastAsia="Times New Roman" w:hAnsi="Times New Roman"/>
          <w:sz w:val="19"/>
          <w:szCs w:val="19"/>
          <w:color w:val="auto"/>
        </w:rPr>
        <w:t>”) in any manner, whether directly or indirectly, including, without limitation (and without duplication) (a) the direct or indirect guarantee,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endorsement (other than for collection or deposit in the ordinary course of business), co</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making, discounting with recourse or sale with recourse by such Person of the Obligation of a primary obligor, (b) the Obligation to make take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pay or similar payments, if required, regardless of nonperformance by any other party or parties to an agreement or (c)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(iii) to purchase property, assets, securities or services primarily for the purpose of assuring the owner of any such primary obligation of the ability of the primary obligor to make payment of such primary obligation or (iv) otherwise to assure or hold harmless the holder of such primary obligation against loss in respect thereof. The amount of any Contingent Obligation shall be deemed to be an amount equal to the stated or determinable amount of the primary obligation in respect of which such Contingent Obligation is made (or, if less, the maximum amount of such primary obligation for which such Person may be liable pursuant to the terms of the instrument evidencing such Contingent Obligation) or, if not stated or determinable, the maximum reasonably anticipated liability in respect thereof (assuming such Person is required to perform thereunder), as determined by such Person in good faith, all as recorded on the balance sheet or on the footnotes to the most recent financial statements of such Person in accordance with GAAP.</w:t>
      </w:r>
    </w:p>
    <w:p>
      <w:pPr>
        <w:spacing w:after="0" w:line="189"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Conversion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Convert</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i w:val="1"/>
          <w:iCs w:val="1"/>
          <w:color w:val="auto"/>
        </w:rPr>
        <w:t>Converted</w:t>
      </w:r>
      <w:r>
        <w:rPr>
          <w:rFonts w:ascii="Times New Roman" w:cs="Times New Roman" w:eastAsia="Times New Roman" w:hAnsi="Times New Roman"/>
          <w:sz w:val="19"/>
          <w:szCs w:val="19"/>
          <w:color w:val="auto"/>
        </w:rPr>
        <w:t>” each refer to a conversion of Advances of one Type into Advances of the other Type pursuant to Section 2.07(d), 2.07(e), 2.09 or 2.10.</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Covered Entity</w:t>
      </w:r>
      <w:r>
        <w:rPr>
          <w:rFonts w:ascii="Times New Roman" w:cs="Times New Roman" w:eastAsia="Times New Roman" w:hAnsi="Times New Roman"/>
          <w:sz w:val="19"/>
          <w:szCs w:val="19"/>
          <w:color w:val="auto"/>
        </w:rPr>
        <w:t>” has the meaning specified in Section 9.21(b).</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Covered Party</w:t>
      </w:r>
      <w:r>
        <w:rPr>
          <w:rFonts w:ascii="Times New Roman" w:cs="Times New Roman" w:eastAsia="Times New Roman" w:hAnsi="Times New Roman"/>
          <w:sz w:val="19"/>
          <w:szCs w:val="19"/>
          <w:color w:val="auto"/>
        </w:rPr>
        <w:t>” has the meaning specified in Section 9.21(a).</w:t>
      </w:r>
    </w:p>
    <w:p>
      <w:pPr>
        <w:spacing w:after="0" w:line="190" w:lineRule="exact"/>
        <w:rPr>
          <w:sz w:val="20"/>
          <w:szCs w:val="20"/>
          <w:color w:val="auto"/>
        </w:rPr>
      </w:pPr>
    </w:p>
    <w:p>
      <w:pPr>
        <w:ind w:left="1500"/>
        <w:spacing w:after="0" w:line="219"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Customary Carve</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b w:val="1"/>
          <w:bCs w:val="1"/>
          <w:i w:val="1"/>
          <w:iCs w:val="1"/>
          <w:color w:val="auto"/>
        </w:rPr>
        <w:t>Out Agreement</w:t>
      </w:r>
      <w:r>
        <w:rPr>
          <w:rFonts w:ascii="Times New Roman" w:cs="Times New Roman" w:eastAsia="Times New Roman" w:hAnsi="Times New Roman"/>
          <w:sz w:val="19"/>
          <w:szCs w:val="19"/>
          <w:color w:val="auto"/>
        </w:rPr>
        <w:t>” has the meaning specified in the definition of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Recourse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1871980</wp:posOffset>
            </wp:positionH>
            <wp:positionV relativeFrom="paragraph">
              <wp:posOffset>-46355</wp:posOffset>
            </wp:positionV>
            <wp:extent cx="6604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040" cy="40005"/>
                    </a:xfrm>
                    <a:prstGeom prst="rect">
                      <a:avLst/>
                    </a:prstGeom>
                    <a:noFill/>
                  </pic:spPr>
                </pic:pic>
              </a:graphicData>
            </a:graphic>
          </wp:anchor>
        </w:drawing>
      </w:r>
    </w:p>
    <w:p>
      <w:pPr>
        <w:spacing w:after="0" w:line="231"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Daily RFR Business Day</w:t>
      </w:r>
      <w:r>
        <w:rPr>
          <w:rFonts w:ascii="Times New Roman" w:cs="Times New Roman" w:eastAsia="Times New Roman" w:hAnsi="Times New Roman"/>
          <w:sz w:val="19"/>
          <w:szCs w:val="19"/>
          <w:color w:val="auto"/>
        </w:rPr>
        <w:t>” means, for any Obligations, interest, fees, commissions or other amounts denominated in, or calculated with respect to, Dollars, any U.S. Government Securities Business Day.</w:t>
      </w:r>
    </w:p>
    <w:p>
      <w:pPr>
        <w:spacing w:after="0" w:line="153"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Daily RFR Interest Payment Date</w:t>
      </w:r>
      <w:r>
        <w:rPr>
          <w:rFonts w:ascii="Times New Roman" w:cs="Times New Roman" w:eastAsia="Times New Roman" w:hAnsi="Times New Roman"/>
          <w:sz w:val="19"/>
          <w:szCs w:val="19"/>
          <w:color w:val="auto"/>
        </w:rPr>
        <w:t>” means, with respect to each DSS Advance, the earlier of (a) the first Business Day of each month commencing with the month immediately after the month in which the applicable DSS Advance occurred and (b) the Maturity Date.</w:t>
      </w:r>
    </w:p>
    <w:p>
      <w:pPr>
        <w:spacing w:after="0" w:line="11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Daily Simple SOFR</w:t>
      </w:r>
      <w:r>
        <w:rPr>
          <w:rFonts w:ascii="Times New Roman" w:cs="Times New Roman" w:eastAsia="Times New Roman" w:hAnsi="Times New Roman"/>
          <w:sz w:val="19"/>
          <w:szCs w:val="19"/>
          <w:color w:val="auto"/>
        </w:rPr>
        <w:t>” means, for any day (a “</w:t>
      </w:r>
      <w:r>
        <w:rPr>
          <w:rFonts w:ascii="Times New Roman" w:cs="Times New Roman" w:eastAsia="Times New Roman" w:hAnsi="Times New Roman"/>
          <w:sz w:val="19"/>
          <w:szCs w:val="19"/>
          <w:b w:val="1"/>
          <w:bCs w:val="1"/>
          <w:i w:val="1"/>
          <w:iCs w:val="1"/>
          <w:color w:val="auto"/>
        </w:rPr>
        <w:t>SOFR Rate Day</w:t>
      </w:r>
      <w:r>
        <w:rPr>
          <w:rFonts w:ascii="Times New Roman" w:cs="Times New Roman" w:eastAsia="Times New Roman" w:hAnsi="Times New Roman"/>
          <w:sz w:val="19"/>
          <w:szCs w:val="19"/>
          <w:color w:val="auto"/>
        </w:rPr>
        <w:t>”), a rate per annum equal to SOFR for the day (such day, a “</w:t>
      </w:r>
      <w:r>
        <w:rPr>
          <w:rFonts w:ascii="Times New Roman" w:cs="Times New Roman" w:eastAsia="Times New Roman" w:hAnsi="Times New Roman"/>
          <w:sz w:val="19"/>
          <w:szCs w:val="19"/>
          <w:b w:val="1"/>
          <w:bCs w:val="1"/>
          <w:i w:val="1"/>
          <w:iCs w:val="1"/>
          <w:color w:val="auto"/>
        </w:rPr>
        <w:t>SOFR Determination Day</w:t>
      </w:r>
      <w:r>
        <w:rPr>
          <w:rFonts w:ascii="Times New Roman" w:cs="Times New Roman" w:eastAsia="Times New Roman" w:hAnsi="Times New Roman"/>
          <w:sz w:val="19"/>
          <w:szCs w:val="19"/>
          <w:color w:val="auto"/>
        </w:rPr>
        <w:t>”) that is five (5) Daily RFR Business Days prior to (A) if such SOFR Rate Day is a Daily RFR Business Day, such SOFR Rate Day or (B) if such SOFR Rate Day is not a Daily RFR Business Day, the Daily RFR Business Day immediately preceding such SOFR Rate Day, in each case as published by the SOFR Administrator on the SOFR Administrator’s Website. If Daily Simple SOFR as determined above would be less than the Floor, then Daily Simple SOFR shall be deemed to be the Floor.</w:t>
      </w:r>
    </w:p>
    <w:p>
      <w:pPr>
        <w:spacing w:after="0" w:line="19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9"/>
          <w:szCs w:val="19"/>
          <w:color w:val="auto"/>
        </w:rPr>
        <w:t>If by 5:00 P.M. (Pittsburgh, Pennsylvania time) on the second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9"/>
          <w:szCs w:val="19"/>
          <w:color w:val="auto"/>
        </w:rPr>
        <w:t xml:space="preserve">) Daily RFR Business Day immediately following any SOFR Determination Day, Daily Simple SOFR in respect of such SOFR Determination Day has not been published on the SOFR Administrator’s Website and a Benchmark Replacement Date with respect to Daily Simple SOFR has not occurred, then Daily Simple SOFR for such SOFR Determination Day will be Daily Simple SOFR for the first Daily RFR Business Day preceding such SOFR Determination Day for which SOFR was published in accordance with the definition of “SOFR”;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SOFR determined pursuant to this sentence shall be utilized for purposes of calculation of Daily Simple SOFR for no more than three (3)</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9" w:name="page20"/>
    <w:bookmarkEnd w:id="19"/>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consecutive SOFR Rate Days. If and when Daily Simple SOFR as determined above changes, any applicable rate of interest based on Daily Simple SOFR will change automatically without notice to the Borrower, effective on the date of any such change.</w:t>
      </w:r>
    </w:p>
    <w:p>
      <w:pPr>
        <w:spacing w:after="0" w:line="160" w:lineRule="exact"/>
        <w:rPr>
          <w:sz w:val="20"/>
          <w:szCs w:val="20"/>
          <w:color w:val="auto"/>
        </w:rPr>
      </w:pPr>
    </w:p>
    <w:p>
      <w:pPr>
        <w:jc w:val="both"/>
        <w:ind w:firstLine="1497"/>
        <w:spacing w:after="0" w:line="218"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Debt</w:t>
      </w:r>
      <w:r>
        <w:rPr>
          <w:rFonts w:ascii="Times New Roman" w:cs="Times New Roman" w:eastAsia="Times New Roman" w:hAnsi="Times New Roman"/>
          <w:sz w:val="19"/>
          <w:szCs w:val="19"/>
          <w:color w:val="auto"/>
        </w:rPr>
        <w:t>” of any Person means, without duplication for purposes of calculating financial ratios, (a) all Debt for borrowed money of such Person, (b) all Obligations of such Person for the deferred purchase price of property or services other than trade payables incurred in the ordinary course of business and not, unless subject to a Good Faith Contest, overdue by more than 60 days,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Capitalized Leases, (f) all Obligations of such Person under acceptance, letter of credit or similar facilities, (g) all Obligations of such Person to purchase, redeem, retire, defease or otherwise make any payment (but excluding for the avoidance of doubt (i) regular quarterly dividends and (ii) special year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end dividends made in connection with maintaining the Parent’s status as a REIT) in respect of any Equity Interests in such Person or any other Person (other than Preferred Interests that are issued by any Loan Party or Subsidiary thereof and classified as either equity or minority interests pursuant to GAAP) or any warrants, rights or options to acquire such Equity Interests, (h) all Obligations of such Person in respect of Hedge Agreements, valued at the Agreement Value thereof, (i) all Contingent Obligations of such Person with respect to Debt for borrowed money and (j) all indebtedness and other payment Obligations referred to in clauses (a) through (i) above of another Person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indebtedness or other payment Obligations (valued, in the case of any such Debt as to which recourse for the payment thereof is expressly limited to the property or assets on which such Lien is granted, at the lesser of (1) the stated or determinable amount of the Debt that is so secured or, if not stated or determinable, the maximum reasonably anticipated liability in respect thereof (assuming such Person is required to perform thereunder) and (2) the fair market value of such property or assets);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in the case of the Parent and its Subsidiaries, “Debt” shall also include, without duplication, the JV Pro Rata Share of Debt for each Joint Venture;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(i) for purposes of computing the Leverage Ratio, the Secured Debt Leverage Ratio and the Unsecured Leverage Ratio, “Debt” shall be deemed to exclude redeemable Preferred Interests issued as trust preferred securities by the Parent and the Borrower to the extent the same are by their terms subordinated to the Facility and not redeemable until after the Maturity Date, as extended from time to time and (ii) “Debt” shall be deemed to exclude Debt of any Unrestricted Subsidiary for all purposes hereunder.</w:t>
      </w:r>
    </w:p>
    <w:p>
      <w:pPr>
        <w:spacing w:after="0" w:line="192" w:lineRule="exact"/>
        <w:rPr>
          <w:sz w:val="20"/>
          <w:szCs w:val="20"/>
          <w:color w:val="auto"/>
        </w:rPr>
      </w:pPr>
    </w:p>
    <w:p>
      <w:pPr>
        <w:jc w:val="both"/>
        <w:ind w:firstLine="1497"/>
        <w:spacing w:after="0" w:line="221"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Debt Rating</w:t>
      </w:r>
      <w:r>
        <w:rPr>
          <w:rFonts w:ascii="Times New Roman" w:cs="Times New Roman" w:eastAsia="Times New Roman" w:hAnsi="Times New Roman"/>
          <w:sz w:val="19"/>
          <w:szCs w:val="19"/>
          <w:color w:val="auto"/>
        </w:rPr>
        <w:t>” means, as of any date, with respect to either Moody’s or S&amp;P, the most recent credit rating assigned to the senior, unsecured,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credit enhanced, long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term debt of the Parent issued by such rating agency prior to such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(a) if the Debt Ratings issued by Moody’s and S&amp;P differ and such difference is less than two levels, the higher of such Debt Ratings shall apply and (b) if the Debt Ratings issued by Moody’s and S&amp;P differ and such difference is two or more levels, the Debt Rating one level below the higher of such Debt Ratings shall apply. At any time, if either of Moody’s or S&amp;P shall no longer perform the functions of a securities rating agency, then (x) the Borrower and the Administrative Agent shall promptly negotiate in good faith to agree upon a substitute rating agency or agencies (and to correlate the system of ratings of each substitute rating agency with that of the rating agency being replaced), and (y) pending such amendment, (i) the Debt Rating of the other rating agency described herein, if one has been provided, shall continue to apply and (ii) if such Debt Rating is one of the ratings identified in the definition of “Investment Grade Rating”, then the Borrower or the Parent (as applicable) will be deemed to have achieved an Investment Grade Rating during such time.</w:t>
      </w:r>
    </w:p>
    <w:p>
      <w:pPr>
        <w:spacing w:after="0" w:line="187"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Default</w:t>
      </w:r>
      <w:r>
        <w:rPr>
          <w:rFonts w:ascii="Times New Roman" w:cs="Times New Roman" w:eastAsia="Times New Roman" w:hAnsi="Times New Roman"/>
          <w:sz w:val="19"/>
          <w:szCs w:val="19"/>
          <w:color w:val="auto"/>
        </w:rPr>
        <w:t>” means any Event of Default or any event that would constitute an Event of Default but for the requirement that notice be given or time elapse or both.</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0" w:name="page21"/>
    <w:bookmarkEnd w:id="20"/>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Default Right</w:t>
      </w:r>
      <w:r>
        <w:rPr>
          <w:rFonts w:ascii="Times New Roman" w:cs="Times New Roman" w:eastAsia="Times New Roman" w:hAnsi="Times New Roman"/>
          <w:sz w:val="19"/>
          <w:szCs w:val="19"/>
          <w:color w:val="auto"/>
        </w:rPr>
        <w:t>” has the meaning specified in Section 9.21(b).</w:t>
      </w:r>
    </w:p>
    <w:p>
      <w:pPr>
        <w:spacing w:after="0" w:line="214" w:lineRule="exact"/>
        <w:rPr>
          <w:sz w:val="20"/>
          <w:szCs w:val="20"/>
          <w:color w:val="auto"/>
        </w:rPr>
      </w:pPr>
    </w:p>
    <w:p>
      <w:pPr>
        <w:jc w:val="both"/>
        <w:ind w:firstLine="1497"/>
        <w:spacing w:after="0" w:line="220"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Defaulting Lender</w:t>
      </w:r>
      <w:r>
        <w:rPr>
          <w:rFonts w:ascii="Times New Roman" w:cs="Times New Roman" w:eastAsia="Times New Roman" w:hAnsi="Times New Roman"/>
          <w:sz w:val="19"/>
          <w:szCs w:val="19"/>
          <w:color w:val="auto"/>
        </w:rPr>
        <w:t>” means, subject to Section 2.18(d), (i) any Lender that has failed for two or more Business Days to comply with its obligations under this Agreement to make an Advance or any other payment, in each case when due hereunder (each, a “</w:t>
      </w:r>
      <w:r>
        <w:rPr>
          <w:rFonts w:ascii="Times New Roman" w:cs="Times New Roman" w:eastAsia="Times New Roman" w:hAnsi="Times New Roman"/>
          <w:sz w:val="19"/>
          <w:szCs w:val="19"/>
          <w:b w:val="1"/>
          <w:bCs w:val="1"/>
          <w:i w:val="1"/>
          <w:iCs w:val="1"/>
          <w:color w:val="auto"/>
        </w:rPr>
        <w:t>funding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obligation</w:t>
      </w:r>
      <w:r>
        <w:rPr>
          <w:rFonts w:ascii="Times New Roman" w:cs="Times New Roman" w:eastAsia="Times New Roman" w:hAnsi="Times New Roman"/>
          <w:sz w:val="19"/>
          <w:szCs w:val="19"/>
          <w:color w:val="auto"/>
        </w:rPr>
        <w:t>”), unless such Lender has notified the Administrative Agent and the Borrower in writing that such failure is the result of such Lender’s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determination that one or more conditions precedent to funding has not been satisfied (which conditions precedent, together with the applicable default, if any, shall be specifically identified in such notice), (ii) any Lender that has notified the Administrative Agent or the Borrower in writing, or has stated publicly, that it does not intend to comply with its funding obligations hereunder, unless such writing or statement states that such position is based on such Lender’s determination that one or more conditions precedent to funding cannot be satisfied (which conditions precedent, together with the applicable default, if any, shall be specifically identified in such notice or public statement), (iii) any Lender that has, for three or more Business Days after written request of the Administrative Agent or the Borrower, failed to confirm in writing to the Administrative Agent and the Borrower that it will comply with its prospective funding obligations hereunder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Lender will cease to be a Defaulting Lender pursuant to this clause (iii) upon the Administrative Agent’s and the Borrower’s receipt of such written confirmation), (iv) any Lender with respect to which a Lender Insolvency Event has occurred and is continuing with respect to such Lender or its Parent Company or (v) any Lender with respect to which such Lender or its Parent Company has become the subject of a Bail-In Action,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each case, neither the reallocation of funding obligations provided for in Section 2.18(b) as a result of a Lender’s being a Defaulting Lender nor the performance by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Defaulting Lenders of such reallocated funding obligations will by themselves cause the relevant Defaulting Lender to become a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Defaulting Lender. Any determination by the Administrative Agent that a Lender is a Defaulting Lender under any of clauses (i) through (v) above will be conclusive and binding absent manifest error, and such Lender will be deemed to be a Defaulting Lender (subject to Section 2.18(d)) upon notification of such determination by the Administrative Agent to the Borrower and the Lenders.</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Departing Lender</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has the meaning specified in Section 2.19.</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Designation Notice</w:t>
      </w:r>
      <w:r>
        <w:rPr>
          <w:rFonts w:ascii="Times New Roman" w:cs="Times New Roman" w:eastAsia="Times New Roman" w:hAnsi="Times New Roman"/>
          <w:sz w:val="19"/>
          <w:szCs w:val="19"/>
          <w:color w:val="auto"/>
        </w:rPr>
        <w:t>” has the meaning specified in Section 5.01(n).</w:t>
      </w:r>
    </w:p>
    <w:p>
      <w:pPr>
        <w:spacing w:after="0" w:line="214"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Development Asset</w:t>
      </w:r>
      <w:r>
        <w:rPr>
          <w:rFonts w:ascii="Times New Roman" w:cs="Times New Roman" w:eastAsia="Times New Roman" w:hAnsi="Times New Roman"/>
          <w:sz w:val="19"/>
          <w:szCs w:val="19"/>
          <w:color w:val="auto"/>
        </w:rPr>
        <w:t>” means Real Property acquired for development into an Office Asset or a Mixed Use Asset, as applicable, that, in accordance with GAAP, would be classified as a development property on a Consolidated balance sheet of the Parent and its Subsidiaries. Upon the Borrower’s written election delivered to the Administrative Agent, any Development Asset set forth in such written election shall continue to be classified as a Development Asset hereunder until the end of the four complete consecutive fiscal quarters of the Parent following the achievement of Substantial Completion with respect to such Asset, following which such Asset shall be classified as an Office Asset or a Mixed Use Asset, as applicable, hereunder.</w:t>
      </w:r>
    </w:p>
    <w:p>
      <w:pPr>
        <w:spacing w:after="0" w:line="179"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Dividend</w:t>
      </w:r>
      <w:r>
        <w:rPr>
          <w:rFonts w:ascii="Times New Roman" w:cs="Times New Roman" w:eastAsia="Times New Roman" w:hAnsi="Times New Roman"/>
          <w:sz w:val="19"/>
          <w:szCs w:val="19"/>
          <w:color w:val="auto"/>
        </w:rPr>
        <w:t xml:space="preserve">” means, with respect to any Person for any measurement period, that such Person has during such measurement period declared or paid a dividend or distribution or returned any equity capital to its stockholders, partners, members or other holders of its Equity Interests or authorized or made any other distribution, payment or delivery of property or cash to holders of its Equity Interests as such, or redeemed, retired, purchased or otherwise acquired, directly or indirectly, for consideration any shares of any class of its Equity Interests (or any options or warrants issued by such Person with respect to its Equity Interests), or set aside any funds for any of the foregoing purposes, or has during such measurement period permitted any of its Subsidiaries to purchase or otherwise acquire for consideration any shares of any class of the Equity Interests in such Person (or any options or warrants issued by such Person with respect to its Equity Interests);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a dividend or distribution by such Person to the holders of one or more classes or series of its Equity Interests, shall not be deemed to be a dividend, if such dividend or distribution is payable solely in Equity Interests that are not Preferred Interests, or in rights, warrants or options to purchase such Equity Interests.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1" w:name="page22"/>
    <w:bookmarkEnd w:id="21"/>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Dividend Payout Ratio</w:t>
      </w:r>
      <w:r>
        <w:rPr>
          <w:rFonts w:ascii="Times New Roman" w:cs="Times New Roman" w:eastAsia="Times New Roman" w:hAnsi="Times New Roman"/>
          <w:sz w:val="19"/>
          <w:szCs w:val="19"/>
          <w:color w:val="auto"/>
        </w:rPr>
        <w:t>” means, at any date of determination, the ratio, expressed as a percentage, of (a) the sum of, without duplication, all Dividends paid by the Parent on account of any Equity Interests in the Parent, to (b) Funds From Operations, in each case for the fiscal quarter of the Parent most recently ended for which financial statements are required to be delivered to the Lenders pursuant to Section 5.03(b) or (c), as the case may be, multiplied by four.</w:t>
      </w:r>
    </w:p>
    <w:p>
      <w:pPr>
        <w:spacing w:after="0" w:line="177" w:lineRule="exact"/>
        <w:rPr>
          <w:sz w:val="20"/>
          <w:szCs w:val="20"/>
          <w:color w:val="auto"/>
        </w:rPr>
      </w:pPr>
    </w:p>
    <w:p>
      <w:pPr>
        <w:jc w:val="both"/>
        <w:ind w:right="20"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Division</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i w:val="1"/>
          <w:iCs w:val="1"/>
          <w:color w:val="auto"/>
        </w:rPr>
        <w:t>Divide</w:t>
      </w:r>
      <w:r>
        <w:rPr>
          <w:rFonts w:ascii="Times New Roman" w:cs="Times New Roman" w:eastAsia="Times New Roman" w:hAnsi="Times New Roman"/>
          <w:sz w:val="19"/>
          <w:szCs w:val="19"/>
          <w:color w:val="auto"/>
        </w:rPr>
        <w:t>” each refer to a division of a limited liability company into two or more newly formed or existing limited liability companies pursuant to a plan of division or otherwise.</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Documentation Agent</w:t>
      </w:r>
      <w:r>
        <w:rPr>
          <w:rFonts w:ascii="Times New Roman" w:cs="Times New Roman" w:eastAsia="Times New Roman" w:hAnsi="Times New Roman"/>
          <w:sz w:val="19"/>
          <w:szCs w:val="19"/>
          <w:color w:val="auto"/>
        </w:rPr>
        <w:t>” has the meaning specified in the recital of parties to this Agreement.</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Dollars</w:t>
      </w:r>
      <w:r>
        <w:rPr>
          <w:rFonts w:ascii="Times New Roman" w:cs="Times New Roman" w:eastAsia="Times New Roman" w:hAnsi="Times New Roman"/>
          <w:sz w:val="19"/>
          <w:szCs w:val="19"/>
          <w:color w:val="auto"/>
        </w:rPr>
        <w:t>” and the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each means lawful currency of the United States of America.</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Domestic Lending Office</w:t>
      </w:r>
      <w:r>
        <w:rPr>
          <w:rFonts w:ascii="Times New Roman" w:cs="Times New Roman" w:eastAsia="Times New Roman" w:hAnsi="Times New Roman"/>
          <w:sz w:val="19"/>
          <w:szCs w:val="19"/>
          <w:color w:val="auto"/>
        </w:rPr>
        <w:t>” means, with respect to any Lender, the office of such Lender specified as its “Domestic Lending Office” opposite its name on Schedule I hereto or in the Assignment and Acceptance pursuant to which it became a Lender, as the case may be, or such other office of such Lender as such Lender may from time to time specify to the Borrower and the Administrative Agent.</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DSS Advance</w:t>
      </w:r>
      <w:r>
        <w:rPr>
          <w:rFonts w:ascii="Times New Roman" w:cs="Times New Roman" w:eastAsia="Times New Roman" w:hAnsi="Times New Roman"/>
          <w:sz w:val="19"/>
          <w:szCs w:val="19"/>
          <w:color w:val="auto"/>
        </w:rPr>
        <w:t>” means an Advance that bears interest at a rate based on Daily Simple SOFR.</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Early Release Request</w:t>
      </w:r>
      <w:r>
        <w:rPr>
          <w:rFonts w:ascii="Times New Roman" w:cs="Times New Roman" w:eastAsia="Times New Roman" w:hAnsi="Times New Roman"/>
          <w:sz w:val="19"/>
          <w:szCs w:val="19"/>
          <w:color w:val="auto"/>
        </w:rPr>
        <w:t>” has the meaning specified in Section 9.14(b).</w:t>
      </w:r>
    </w:p>
    <w:p>
      <w:pPr>
        <w:spacing w:after="0" w:line="214" w:lineRule="exact"/>
        <w:rPr>
          <w:sz w:val="20"/>
          <w:szCs w:val="20"/>
          <w:color w:val="auto"/>
        </w:rPr>
      </w:pPr>
    </w:p>
    <w:p>
      <w:pPr>
        <w:jc w:val="both"/>
        <w:ind w:firstLine="1497"/>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EBITDA</w:t>
      </w:r>
      <w:r>
        <w:rPr>
          <w:rFonts w:ascii="Times New Roman" w:cs="Times New Roman" w:eastAsia="Times New Roman" w:hAnsi="Times New Roman"/>
          <w:sz w:val="18"/>
          <w:szCs w:val="18"/>
          <w:color w:val="auto"/>
        </w:rPr>
        <w:t>” means, at any date of determination, the sum of the following items, in each case for the fiscal quarter of the Parent most recently ended for which financial statements are required to be delivered to the Lenders pursuant to Section 5.03(b) or (c), as the case may be:</w:t>
      </w:r>
    </w:p>
    <w:p>
      <w:pPr>
        <w:spacing w:after="0" w:line="1" w:lineRule="exact"/>
        <w:rPr>
          <w:sz w:val="20"/>
          <w:szCs w:val="20"/>
          <w:color w:val="auto"/>
        </w:rPr>
      </w:pPr>
    </w:p>
    <w:p>
      <w:pPr>
        <w:jc w:val="both"/>
        <w:ind w:firstLine="8"/>
        <w:spacing w:after="0" w:line="219" w:lineRule="exact"/>
        <w:tabs>
          <w:tab w:leader="none" w:pos="265"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(i) net income (or net loss) (excluding gains (or losses) from extraordinary and unusual items), (ii) interest expense, (iii) income tax expense, (iv) depreciation expense, (v) amortization expense, (vi) non-cash compensation expense as reported in the publicly filed financial statements of the Parent and (vii) to the extent subtracted in computing net income, expenses incurred in connection with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recurring items of the Parent and its Subsidiaries determined on a Consolidated basis and in accordance with GAAP for such recently ended fiscal quarter,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with respect to each Joint Venture, the JV Pro Rata Share of the sum of (i) net income (or net loss) (excluding gains (or losses) from extraordinary and unusual items), (ii) interest expense, (iii) income tax expense, (iv) depreciation expense, (v) amortization expense, and (vi) to the extent subtracted in computing net income of such Joint Venture,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recurring items, in each case of such Joint Venture determined on a Consolidated basis and in accordance with GAAP for such recently ended fiscal quarter,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(c) the portions of the amounts calculated pursuant to clauses (a) and (b) that are attributable to any Unrestricted Subsidiary;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for purposes of this definition, in the case of any acquisition or disposition of any direct or indirect interest in any asset (including through the acquisition or disposition of Equity Interests) by the Parent or any of its Subsidiaries (other than an Unrestricted Subsidiary) during such recently ended fiscal quarter, EBITDA will be adjusted (1) in the case of an acquisition, by adding thereto an amount equal to the acquired asset’s actual EBITDA (computed as if such asset was owned by the Parent or one of its Subsidiaries for the entirety of such recently ended fiscal quarter) generated during the portion of such recently ended fiscal quarter that such asset was not owned by the Parent or such Subsidiary, and (2) in the case of a disposition, by subtracting therefrom an amount equal to the actual EBITDA generated by the asset so disposed of during such recently ended fiscal quarter. Straight-line rent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leveling adjustments (excluding adjustments of rental credits (i.e., free rent)) required under GAAP, and amortization of lease inducements into rental income shall be disregarded when computing EBITDA.</w:t>
      </w:r>
    </w:p>
    <w:p>
      <w:pPr>
        <w:spacing w:after="0" w:line="1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ECP</w:t>
      </w:r>
      <w:r>
        <w:rPr>
          <w:rFonts w:ascii="Times New Roman" w:cs="Times New Roman" w:eastAsia="Times New Roman" w:hAnsi="Times New Roman"/>
          <w:sz w:val="19"/>
          <w:szCs w:val="19"/>
          <w:color w:val="auto"/>
        </w:rPr>
        <w:t>” means an eligible contract participant as defined in the Commodity Exchange Act.</w:t>
      </w:r>
    </w:p>
    <w:p>
      <w:pPr>
        <w:spacing w:after="0" w:line="214"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EEA Financial Institution</w:t>
      </w:r>
      <w:r>
        <w:rPr>
          <w:rFonts w:ascii="Times New Roman" w:cs="Times New Roman" w:eastAsia="Times New Roman" w:hAnsi="Times New Roman"/>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9"/>
          <w:szCs w:val="19"/>
          <w:color w:val="auto"/>
        </w:rPr>
        <w:t>institution described in clauses (a) or (b) of this definition and is subject to consolidated supervision with its parent.</w:t>
      </w:r>
    </w:p>
    <w:p>
      <w:pPr>
        <w:spacing w:after="0" w:line="2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EEA Member Country</w:t>
      </w:r>
      <w:r>
        <w:rPr>
          <w:rFonts w:ascii="Times New Roman" w:cs="Times New Roman" w:eastAsia="Times New Roman" w:hAnsi="Times New Roman"/>
          <w:sz w:val="19"/>
          <w:szCs w:val="19"/>
          <w:color w:val="auto"/>
        </w:rPr>
        <w:t>” means any of the member states of the European Union, Iceland, Liechtenstein, and Norway.</w:t>
      </w:r>
    </w:p>
    <w:p>
      <w:pPr>
        <w:spacing w:after="0" w:line="214"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EEA Resolution Authority</w:t>
      </w:r>
      <w:r>
        <w:rPr>
          <w:rFonts w:ascii="Times New Roman" w:cs="Times New Roman" w:eastAsia="Times New Roman" w:hAnsi="Times New Roman"/>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3"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means the date on which the conditions set forth in Article III shall be satisfied or waived in accordance with Section 9.01, which is the date of this Agreement.</w:t>
      </w:r>
    </w:p>
    <w:p>
      <w:pPr>
        <w:spacing w:after="0" w:line="15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Eligible Assignee</w:t>
      </w:r>
      <w:r>
        <w:rPr>
          <w:rFonts w:ascii="Times New Roman" w:cs="Times New Roman" w:eastAsia="Times New Roman" w:hAnsi="Times New Roman"/>
          <w:sz w:val="19"/>
          <w:szCs w:val="19"/>
          <w:color w:val="auto"/>
        </w:rPr>
        <w:t xml:space="preserve">” means (i) a Lender; (ii) an Affiliate or Fund Affiliate of a Lender; (iii) a commercial bank organized under the laws of the United States, or any State thereof, respectively, and having, when considered together with any corporation controlling such commercial bank or the bank holding company (as defined in Federal Reserve Board Regulation Y) of such commercial bank, total combined capital and surplus of $2,500,000,000 or more; (iv) a savings and loan association or savings bank organized under the laws of the United States or any State thereof (A) that is in the business of lending money and extending credit under credit facilities similar to those extended under this Agreement, (B) that is operationally and procedurally able to meet the obligations of a Lender hereunder, and (C) that has a net worth of $500,000,000 or more; (v) a commercial bank organized under the laws of any other country that is a member of the OECD or has concluded special lending arrangements with the International Monetary Fund associated with its General Arrangements to Borrow, or a political subdivision of any such country, and having, when considered together with any corporation controlling such commercial bank or the bank holding company (as defined in Federal Reserve Board Regulation Y) of such commercial bank, total assets of $2,500,000,000 or more, so long as such bank is acting through a branch or agency located in the United States; (vi) the central bank of any country that is a member of the OECD; (vii) a finance company, insurance company or other financial institution or fund (whether a corporation, partnership, trust or other entity) having total assets of $500,000,000 or more and which meets the requirements set forth in subclauses (A) and (B) of clause (iv) above; and (viii) any other Person approved by the Administrative Agent and, unless a Default has occurred and is continuing at the time any assignment is effected pursuant to Section 9.07, approved by the Borrower, each such approval not to be unreasonably withheld, conditioned or delayed (and in the case of the Borrower, such approval shall be deemed given if not denied in writing within ten (10) Business Days following a request therefor);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in no circumstances shall any Loan Party, any Affiliate of a Loan Party, any natural person (or holding company, investment vehicle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trust for, or owned and operated for the primary benefit of, a natural person) or any Defaulting Lender qualify as an Eligible Assignee under this definition.</w:t>
      </w:r>
    </w:p>
    <w:p>
      <w:pPr>
        <w:spacing w:after="0" w:line="186" w:lineRule="exact"/>
        <w:rPr>
          <w:sz w:val="20"/>
          <w:szCs w:val="20"/>
          <w:color w:val="auto"/>
        </w:rPr>
      </w:pPr>
    </w:p>
    <w:p>
      <w:pPr>
        <w:jc w:val="both"/>
        <w:ind w:firstLine="1497"/>
        <w:spacing w:after="0" w:line="226"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Environmental Action</w:t>
      </w:r>
      <w:r>
        <w:rPr>
          <w:rFonts w:ascii="Times New Roman" w:cs="Times New Roman" w:eastAsia="Times New Roman" w:hAnsi="Times New Roman"/>
          <w:sz w:val="19"/>
          <w:szCs w:val="19"/>
          <w:color w:val="auto"/>
        </w:rPr>
        <w:t>” means any enforcement action, litigation, demand, demand letter, claim of liability, notice of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compliance or violation, notice of liability or potential liability, investigation, enforcement proceeding, consent order or consent agreement in each case of any Governmental Authority and relating in any way to any Environmental Law, any Environmental Permit or Hazardous Material or arising from alleged injury or threat to health or safety from exposure to Hazardous Materials or to the environment, including, without limitation,</w:t>
      </w:r>
    </w:p>
    <w:p>
      <w:pPr>
        <w:ind w:right="20" w:firstLine="8"/>
        <w:spacing w:after="0" w:line="243" w:lineRule="auto"/>
        <w:tabs>
          <w:tab w:leader="none" w:pos="265"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any governmental or regulatory authority for enforcement, cleanup, removal, response, remedial or other actions or damages and (b) by any governmental or regulatory authority or third party for damages, contribution, indemnification, cost recovery, compensation or injunctive relief.</w:t>
      </w:r>
    </w:p>
    <w:p>
      <w:pPr>
        <w:spacing w:after="0" w:line="180"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Environmental Law</w:t>
      </w:r>
      <w:r>
        <w:rPr>
          <w:rFonts w:ascii="Times New Roman" w:cs="Times New Roman" w:eastAsia="Times New Roman" w:hAnsi="Times New Roman"/>
          <w:sz w:val="19"/>
          <w:szCs w:val="19"/>
          <w:color w:val="auto"/>
        </w:rPr>
        <w:t>” means any Federal, state, local or foreign statute, law, ordinance, rule, regulation, code, order, writ, judgment, injunction, decree or judicial or agency interpretation, policy or guidance relating to pollution or protection of the environment, health, safety or natural resources, including, without limitation, those relating to the use, handling, transportation, treatment, storage, disposal, release or discharge of</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3" w:name="page24"/>
    <w:bookmarkEnd w:id="23"/>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Hazardous Materials in each case to the extent the foregoing are applicable to any Loan Party or any of their Subsidiaries or any assets of such Person.</w:t>
      </w:r>
    </w:p>
    <w:p>
      <w:pPr>
        <w:spacing w:after="0" w:line="160"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Environmental Permit</w:t>
      </w:r>
      <w:r>
        <w:rPr>
          <w:rFonts w:ascii="Times New Roman" w:cs="Times New Roman" w:eastAsia="Times New Roman" w:hAnsi="Times New Roman"/>
          <w:sz w:val="19"/>
          <w:szCs w:val="19"/>
          <w:color w:val="auto"/>
        </w:rPr>
        <w:t>” means any permit, approval, identification number, license or other authorization required under any Environmental Law.</w:t>
      </w:r>
    </w:p>
    <w:p>
      <w:pPr>
        <w:spacing w:after="0" w:line="153"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Equity Interests</w:t>
      </w:r>
      <w:r>
        <w:rPr>
          <w:rFonts w:ascii="Times New Roman" w:cs="Times New Roman" w:eastAsia="Times New Roman" w:hAnsi="Times New Roman"/>
          <w:sz w:val="19"/>
          <w:szCs w:val="19"/>
          <w:color w:val="auto"/>
        </w:rPr>
        <w:t>” means, with respect to any Person, shares of capital stock of (or other ownership or profit interests in) such Person, warrants, options or other rights for the purchase or other acquisition from such Person of shares of capital stock of (or other ownership or profit interests in) such Person, securities convertible into or exchangeable for shares of capital stock of (or other ownership or profit interests in) such Person or warrants, rights or options for the purchase or other acquisition from such Person of such shares (or such other interests), and other ownership or profit interests in such Person (including, without limitation, partnership, member or trust interests therein), whether voting or nonvoting, and whether or not such shares, warrants, options, rights or other interests are authorized or otherwise existing on any date of determination.</w:t>
      </w:r>
    </w:p>
    <w:p>
      <w:pPr>
        <w:spacing w:after="0" w:line="180"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ERISA</w:t>
      </w:r>
      <w:r>
        <w:rPr>
          <w:rFonts w:ascii="Times New Roman" w:cs="Times New Roman" w:eastAsia="Times New Roman" w:hAnsi="Times New Roman"/>
          <w:sz w:val="19"/>
          <w:szCs w:val="19"/>
          <w:color w:val="auto"/>
        </w:rPr>
        <w:t>” means the Employee Retirement Income Security Act of 1974, as amended from time to time, and the regulations promulgated and rulings issued thereunder.</w:t>
      </w:r>
    </w:p>
    <w:p>
      <w:pPr>
        <w:spacing w:after="0" w:line="153"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ERISA Affiliate</w:t>
      </w:r>
      <w:r>
        <w:rPr>
          <w:rFonts w:ascii="Times New Roman" w:cs="Times New Roman" w:eastAsia="Times New Roman" w:hAnsi="Times New Roman"/>
          <w:sz w:val="19"/>
          <w:szCs w:val="19"/>
          <w:color w:val="auto"/>
        </w:rPr>
        <w:t>” means any Person that for purposes of Title IV of ERISA is a member of the controlled group of any Loan Party, or under common control with any Loan Party, within the meaning of Section 414 of the Internal Revenue Code.</w:t>
      </w:r>
    </w:p>
    <w:p>
      <w:pPr>
        <w:spacing w:after="0" w:line="153" w:lineRule="exact"/>
        <w:rPr>
          <w:sz w:val="20"/>
          <w:szCs w:val="20"/>
          <w:color w:val="auto"/>
        </w:rPr>
      </w:pPr>
    </w:p>
    <w:p>
      <w:pPr>
        <w:jc w:val="both"/>
        <w:ind w:firstLine="1497"/>
        <w:spacing w:after="0" w:line="220"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ERISA Event</w:t>
      </w:r>
      <w:r>
        <w:rPr>
          <w:rFonts w:ascii="Times New Roman" w:cs="Times New Roman" w:eastAsia="Times New Roman" w:hAnsi="Times New Roman"/>
          <w:sz w:val="19"/>
          <w:szCs w:val="19"/>
          <w:color w:val="auto"/>
        </w:rPr>
        <w:t>” means (a)(i) the occurrence of a reportable event, within the meaning of Section 4043 of ERISA, with respect to any Plan unless the 30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day notice requirement with respect to such event has been waived by the PBGC or (ii) the requirements of Section 4043(b) of ERISA apply with respect to a contributing sponsor, as defined in Section 4001(a)(13) of ERISA, of a Plan, and an event described in paragraph (9), (10), (11), (12) or (13) 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any Loan Party or any ERISA Affiliate in the circumstances described in Section 4062(e) of ERISA; (e) the withdrawal by any Loan Party or any ERISA Affiliate from a Multiple Employer Plan during a plan year for which it was a substantial employer, as defined in Section 4001(a)(2) of ERISA; (f) the conditions for imposition of a lien under Section 303(k) of ERISA shall have been met with respect to any Plan; or (g) the institution by the PBGC of proceedings to terminate a Plan pursuant to Section 4042 of ERISA, or the occurrence of any event or condition described in Section 4042 of ERISA that constitutes grounds for the termination of, or the appointment of a trustee to administer, such Plan.</w:t>
      </w:r>
    </w:p>
    <w:p>
      <w:pPr>
        <w:spacing w:after="0" w:line="1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Erroneous Payment</w:t>
      </w:r>
      <w:r>
        <w:rPr>
          <w:rFonts w:ascii="Times New Roman" w:cs="Times New Roman" w:eastAsia="Times New Roman" w:hAnsi="Times New Roman"/>
          <w:sz w:val="19"/>
          <w:szCs w:val="19"/>
          <w:color w:val="auto"/>
        </w:rPr>
        <w:t>” has the meaning specified in Section 8.09(a).</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Erroneous Payment Deficiency Assignment</w:t>
      </w:r>
      <w:r>
        <w:rPr>
          <w:rFonts w:ascii="Times New Roman" w:cs="Times New Roman" w:eastAsia="Times New Roman" w:hAnsi="Times New Roman"/>
          <w:sz w:val="19"/>
          <w:szCs w:val="19"/>
          <w:color w:val="auto"/>
        </w:rPr>
        <w:t>” has the meaning specified in Section 8.09(d).</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Erroneous Payment Return Deficiency</w:t>
      </w:r>
      <w:r>
        <w:rPr>
          <w:rFonts w:ascii="Times New Roman" w:cs="Times New Roman" w:eastAsia="Times New Roman" w:hAnsi="Times New Roman"/>
          <w:sz w:val="19"/>
          <w:szCs w:val="19"/>
          <w:color w:val="auto"/>
        </w:rPr>
        <w:t>” has the meaning specified in Section 8.09(d).</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Erroneous Payment Subrogation Rights</w:t>
      </w:r>
      <w:r>
        <w:rPr>
          <w:rFonts w:ascii="Times New Roman" w:cs="Times New Roman" w:eastAsia="Times New Roman" w:hAnsi="Times New Roman"/>
          <w:sz w:val="19"/>
          <w:szCs w:val="19"/>
          <w:color w:val="auto"/>
        </w:rPr>
        <w:t>” has the meaning specified in Section 8.09(d).</w:t>
      </w:r>
    </w:p>
    <w:p>
      <w:pPr>
        <w:spacing w:after="0" w:line="214" w:lineRule="exact"/>
        <w:rPr>
          <w:sz w:val="20"/>
          <w:szCs w:val="20"/>
          <w:color w:val="auto"/>
        </w:rPr>
      </w:pPr>
    </w:p>
    <w:p>
      <w:pPr>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EU Bail-In Legislation Schedule</w:t>
      </w:r>
      <w:r>
        <w:rPr>
          <w:rFonts w:ascii="Times New Roman" w:cs="Times New Roman" w:eastAsia="Times New Roman" w:hAnsi="Times New Roman"/>
          <w:sz w:val="19"/>
          <w:szCs w:val="19"/>
          <w:color w:val="auto"/>
        </w:rPr>
        <w:t>” means the EU Bail-In Legislation Schedule published by the Loan Market Association (or any successor Person), as in effect from time to time.</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Events of Default</w:t>
      </w:r>
      <w:r>
        <w:rPr>
          <w:rFonts w:ascii="Times New Roman" w:cs="Times New Roman" w:eastAsia="Times New Roman" w:hAnsi="Times New Roman"/>
          <w:sz w:val="19"/>
          <w:szCs w:val="19"/>
          <w:color w:val="auto"/>
        </w:rPr>
        <w:t>” has the meaning specified in Section 6.01.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4" w:name="page25"/>
    <w:bookmarkEnd w:id="24"/>
    <w:p>
      <w:pPr>
        <w:jc w:val="both"/>
        <w:ind w:firstLine="1497"/>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Excluded Swap Obligation</w:t>
      </w:r>
      <w:r>
        <w:rPr>
          <w:rFonts w:ascii="Times New Roman" w:cs="Times New Roman" w:eastAsia="Times New Roman" w:hAnsi="Times New Roman"/>
          <w:sz w:val="19"/>
          <w:szCs w:val="19"/>
          <w:color w:val="auto"/>
        </w:rPr>
        <w:t>” means, with respect to any Guarantor,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Guaranty of such Guarantor or the grant of such security interest becomes effective with respect to such related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82"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Excluded Taxes</w:t>
      </w:r>
      <w:r>
        <w:rPr>
          <w:rFonts w:ascii="Times New Roman" w:cs="Times New Roman" w:eastAsia="Times New Roman" w:hAnsi="Times New Roman"/>
          <w:sz w:val="19"/>
          <w:szCs w:val="19"/>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an Advance or Commitment pursuant to a law in effect on the date on which (i) such Lender acquires such interest in the Advance or Commitment (other than pursuant to an assignment request by the Borrower under Section 2.19 or Section 9.01(b)) or (ii) such Lender changes its lending office except in each case to the extent that, pursuant to Section 2.12, amounts with respect to such Taxes were payable either to such Lender’s assignor immediately before such Lender became a party hereto or to such Lender immediately before it changed its lending office, (c) Taxes attributable to such Recipient’s failure to comply with Section 2.12(f) and Section 2.12(g) and (d) any U.S. federal withholding Taxes imposed under FATCA.</w:t>
      </w:r>
    </w:p>
    <w:p>
      <w:pPr>
        <w:spacing w:after="0" w:line="189"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Existing Credit Agreement</w:t>
      </w:r>
      <w:r>
        <w:rPr>
          <w:rFonts w:ascii="Times New Roman" w:cs="Times New Roman" w:eastAsia="Times New Roman" w:hAnsi="Times New Roman"/>
          <w:sz w:val="19"/>
          <w:szCs w:val="19"/>
          <w:color w:val="auto"/>
        </w:rPr>
        <w:t>” means that certain Second Amended and Restated Credit Agreement dated as of July 23, 2021 between Borrower and Citibank, N.A. as administrative agent, and certain other parties thereto, as the same has been or may hereafter be, amended or otherwise modified, together with any replacement or successor credit facility that Borrower may enter into (including, without limitation, any amendment and restatement of the Credit Agreement referred to above).</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Existing Credit Agreement Provisions</w:t>
      </w:r>
      <w:r>
        <w:rPr>
          <w:rFonts w:ascii="Times New Roman" w:cs="Times New Roman" w:eastAsia="Times New Roman" w:hAnsi="Times New Roman"/>
          <w:sz w:val="19"/>
          <w:szCs w:val="19"/>
          <w:color w:val="auto"/>
        </w:rPr>
        <w:t>” has the meaning specified in Section 9.01(e).</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Existing Debt</w:t>
      </w:r>
      <w:r>
        <w:rPr>
          <w:rFonts w:ascii="Times New Roman" w:cs="Times New Roman" w:eastAsia="Times New Roman" w:hAnsi="Times New Roman"/>
          <w:sz w:val="19"/>
          <w:szCs w:val="19"/>
          <w:color w:val="auto"/>
        </w:rPr>
        <w:t>” means Debt for borrowed money of each Loan Party and its Subsidiaries outstanding immediately prior to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Closing Date.</w:t>
      </w:r>
    </w:p>
    <w:p>
      <w:pPr>
        <w:spacing w:after="0" w:line="188"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Existing Revolving Credit Agreement</w:t>
      </w:r>
      <w:r>
        <w:rPr>
          <w:rFonts w:ascii="Times New Roman" w:cs="Times New Roman" w:eastAsia="Times New Roman" w:hAnsi="Times New Roman"/>
          <w:sz w:val="19"/>
          <w:szCs w:val="19"/>
          <w:color w:val="auto"/>
        </w:rPr>
        <w:t>” means that certain Credit Agreement dated as of June 3, 2024 among the Borrower, the Parent, the other guarantors party thereto, the lenders party thereto and Citibank, N.A. as administrative agent, as the same has been or may hereafter be, amended or otherwise modified, together with any replacement or successor facility that Borrower may enter into (including, without limitation, any amendment and restatement of the Credit Agreement referred to above).</w:t>
      </w:r>
    </w:p>
    <w:p>
      <w:pPr>
        <w:spacing w:after="0" w:line="177"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Existing Term Loan Agreement</w:t>
      </w:r>
      <w:r>
        <w:rPr>
          <w:rFonts w:ascii="Times New Roman" w:cs="Times New Roman" w:eastAsia="Times New Roman" w:hAnsi="Times New Roman"/>
          <w:sz w:val="19"/>
          <w:szCs w:val="19"/>
          <w:color w:val="auto"/>
        </w:rPr>
        <w:t>” means that certain Term Loan Agreement dated as of September 29, 2016 among the Borrower, the Parent, the other guarantors party thereto, the lenders party thereto and PNC as administrative agent, as the same has been or may hereafter be, amended or otherwise modified, together with any replacement or successor facility that the Borrower may enter into (including, without limitation, any amendment and restatement of the Term Loan Agreement referred to above).</w:t>
      </w:r>
    </w:p>
    <w:p>
      <w:pPr>
        <w:spacing w:after="0" w:line="177"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Facility</w:t>
      </w:r>
      <w:r>
        <w:rPr>
          <w:rFonts w:ascii="Times New Roman" w:cs="Times New Roman" w:eastAsia="Times New Roman" w:hAnsi="Times New Roman"/>
          <w:sz w:val="19"/>
          <w:szCs w:val="19"/>
          <w:color w:val="auto"/>
        </w:rPr>
        <w:t>” means, at any time, the aggregate amount of the Lenders’ Commitments and, without duplication, Advances outstanding at such time.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5" w:name="page26"/>
    <w:bookmarkEnd w:id="25"/>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Facility Exposure</w:t>
      </w:r>
      <w:r>
        <w:rPr>
          <w:rFonts w:ascii="Times New Roman" w:cs="Times New Roman" w:eastAsia="Times New Roman" w:hAnsi="Times New Roman"/>
          <w:sz w:val="19"/>
          <w:szCs w:val="19"/>
          <w:color w:val="auto"/>
        </w:rPr>
        <w:t>” means, at any time, the aggregate principal amount of all outstanding Advances.</w:t>
      </w:r>
    </w:p>
    <w:p>
      <w:pPr>
        <w:spacing w:after="0" w:line="21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FATCA</w:t>
      </w:r>
      <w:r>
        <w:rPr>
          <w:rFonts w:ascii="Times New Roman" w:cs="Times New Roman" w:eastAsia="Times New Roman" w:hAnsi="Times New Roman"/>
          <w:sz w:val="19"/>
          <w:szCs w:val="19"/>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 or application thereof and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w:t>
      </w:r>
    </w:p>
    <w:p>
      <w:pPr>
        <w:spacing w:after="0" w:line="176"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Federal Funds Open Rate</w:t>
      </w:r>
      <w:r>
        <w:rPr>
          <w:rFonts w:ascii="Times New Roman" w:cs="Times New Roman" w:eastAsia="Times New Roman" w:hAnsi="Times New Roman"/>
          <w:sz w:val="19"/>
          <w:szCs w:val="19"/>
          <w:color w:val="auto"/>
        </w:rPr>
        <w:t>” means, for any day, the rate per annum (based on a year of 360 days and actual days elapsed) which is the daily federal funds open rate as quoted by ICAP North America, Inc. (or any successor) as set forth on the Bloomberg Screen BTMM for that day opposite the caption “OPEN” (or on such other substitute Bloomberg Screen that displays such rate), or as set forth on such other recognized electronic source used for the purpose of displaying such rate as selected by the Administrative Agent (an “</w:t>
      </w:r>
      <w:r>
        <w:rPr>
          <w:rFonts w:ascii="Times New Roman" w:cs="Times New Roman" w:eastAsia="Times New Roman" w:hAnsi="Times New Roman"/>
          <w:sz w:val="19"/>
          <w:szCs w:val="19"/>
          <w:b w:val="1"/>
          <w:bCs w:val="1"/>
          <w:i w:val="1"/>
          <w:iCs w:val="1"/>
          <w:color w:val="auto"/>
        </w:rPr>
        <w:t>Alternate Source</w:t>
      </w:r>
      <w:r>
        <w:rPr>
          <w:rFonts w:ascii="Times New Roman" w:cs="Times New Roman" w:eastAsia="Times New Roman" w:hAnsi="Times New Roman"/>
          <w:sz w:val="19"/>
          <w:szCs w:val="19"/>
          <w:color w:val="auto"/>
        </w:rPr>
        <w:t xml:space="preserve">”) (or if such rate for such day does not appear on the Bloomberg Screen BTMM (or any substitute screen) or on any Alternate Source, or if at any time, for any reason, a Bloomberg Screen BTMM (or any substitute screen) or any Alternate Source does not exist, a comparable replacement rate determined by Agent at such time (which determination is conclusive absent manifest error));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if such day is not a Business Day, the Federal Funds Open Rate for such day will be the “open” rate on the immediately preceding Business Day. The rate of interest charged will be adjusted as of each Business Day based on changes in the Federal Funds Open Rate without notice to the Borrower. Notwithstanding the foregoing, if the Federal Funds Open Rate as determined under any method above would be less than the Floor, such rate shall be deemed to be the Floor for purposes of this Agreement.</w:t>
      </w:r>
    </w:p>
    <w:p>
      <w:pPr>
        <w:spacing w:after="0" w:line="189"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Fee Letter</w:t>
      </w:r>
      <w:r>
        <w:rPr>
          <w:rFonts w:ascii="Times New Roman" w:cs="Times New Roman" w:eastAsia="Times New Roman" w:hAnsi="Times New Roman"/>
          <w:sz w:val="19"/>
          <w:szCs w:val="19"/>
          <w:color w:val="auto"/>
        </w:rPr>
        <w:t>” means any separate letter agreement executed and delivered by the Borrower or an Affiliate of the Borrower and to which the Administrative Agent or an Arranger is a party, as the same may be amended, restated or replaced from time to time.</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Fiscal Year</w:t>
      </w:r>
      <w:r>
        <w:rPr>
          <w:rFonts w:ascii="Times New Roman" w:cs="Times New Roman" w:eastAsia="Times New Roman" w:hAnsi="Times New Roman"/>
          <w:sz w:val="19"/>
          <w:szCs w:val="19"/>
          <w:color w:val="auto"/>
        </w:rPr>
        <w:t>” means a fiscal year of the Parent and its Consolidated Subsidiaries ending on December 31 in any calendar year.</w:t>
      </w:r>
    </w:p>
    <w:p>
      <w:pPr>
        <w:spacing w:after="0" w:line="214"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Fixed Charge Coverage Ratio</w:t>
      </w:r>
      <w:r>
        <w:rPr>
          <w:rFonts w:ascii="Times New Roman" w:cs="Times New Roman" w:eastAsia="Times New Roman" w:hAnsi="Times New Roman"/>
          <w:sz w:val="19"/>
          <w:szCs w:val="19"/>
          <w:color w:val="auto"/>
        </w:rPr>
        <w:t xml:space="preserve">” means, at any date of determination, the ratio of (a) Adjusted EBITDA, to (b) the sum of (i) interest (including capitalized interest) payable in cash on all Debt for borrowed money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(ii) scheduled amortization of principal amounts of all Debt for borrowed money payable (not including balloon maturity amounts), in each case not attributable to an Unrestricted Subsidiary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(iii) all cash dividends payable on any Preferred Interests, (which, for the avoidance of doubt, shall include Preferred Interests structured as trust preferred securities) and not attributable to an Unrestricted Subsidiary but excluding redemption payments or charges in connection with the redemption of Preferred Interests, in the case of each of clauses (a) and (b), of or by the Parent and its Consolidated Subsidiaries and in the case of clause (b), for the fiscal quarter of the Parent most recently ended for which financial statements are required to be delivered to the Lenders pursuant to Section 5.03(b) or (c), as the case may, be multiplied by four.</w:t>
      </w:r>
    </w:p>
    <w:p>
      <w:pPr>
        <w:spacing w:after="0" w:line="182"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Floor</w:t>
      </w:r>
      <w:r>
        <w:rPr>
          <w:rFonts w:ascii="Times New Roman" w:cs="Times New Roman" w:eastAsia="Times New Roman" w:hAnsi="Times New Roman"/>
          <w:sz w:val="19"/>
          <w:szCs w:val="19"/>
          <w:color w:val="auto"/>
        </w:rPr>
        <w:t>” means, with respect to (a) Term SOFR, Daily Simple SOFR and the Federal Funds Rate, zero percent (0.00%) per annum and (b) the Base Rate, one percent (1.00%) per annum.</w:t>
      </w:r>
    </w:p>
    <w:p>
      <w:pPr>
        <w:spacing w:after="0" w:line="1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Foreign Lender</w:t>
      </w:r>
      <w:r>
        <w:rPr>
          <w:rFonts w:ascii="Times New Roman" w:cs="Times New Roman" w:eastAsia="Times New Roman" w:hAnsi="Times New Roman"/>
          <w:sz w:val="19"/>
          <w:szCs w:val="19"/>
          <w:color w:val="auto"/>
        </w:rPr>
        <w:t>” has the meaning specified in Section 2.12(g)(ii).</w:t>
      </w:r>
    </w:p>
    <w:p>
      <w:pPr>
        <w:spacing w:after="0" w:line="214"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Fund Affiliate</w:t>
      </w:r>
      <w:r>
        <w:rPr>
          <w:rFonts w:ascii="Times New Roman" w:cs="Times New Roman" w:eastAsia="Times New Roman" w:hAnsi="Times New Roman"/>
          <w:sz w:val="19"/>
          <w:szCs w:val="19"/>
          <w:color w:val="auto"/>
        </w:rPr>
        <w:t>” means, with respect to any Lender that is a fund that invests in bank loans, any other fund that invests in bank loans and is advised or managed by the same investment advisor as such Lender or by an Affiliate of such investment advisor.</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6" w:name="page27"/>
    <w:bookmarkEnd w:id="26"/>
    <w:p>
      <w:pPr>
        <w:jc w:val="both"/>
        <w:ind w:firstLine="1497"/>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Funds From Operations</w:t>
      </w:r>
      <w:r>
        <w:rPr>
          <w:rFonts w:ascii="Times New Roman" w:cs="Times New Roman" w:eastAsia="Times New Roman" w:hAnsi="Times New Roman"/>
          <w:sz w:val="19"/>
          <w:szCs w:val="19"/>
          <w:color w:val="auto"/>
        </w:rPr>
        <w:t>” means, with respect to the Parent, net income (computed in accordance with GAAP), excluding from such amount (i) gains (or losses) from sales of property and extraordinary and unusual items, (ii) the amortization of lease inducements into rental income, (iii) non-cash compensation expense as reported in the publicly filed financial statements of the Parent, (iv) to the extent subtracted in computing net income, non-recurring items of the Parent and its Subsidiaries determined on a consolidated basis and in accordance with GAAP and (v) depreciation and amortization, and after adjustments for unconsolidated Joint Ventures. Adjustments for unconsolidated Joint Ventures will be calculated to reflect funds from operations on the same basis.</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GAAP</w:t>
      </w:r>
      <w:r>
        <w:rPr>
          <w:rFonts w:ascii="Times New Roman" w:cs="Times New Roman" w:eastAsia="Times New Roman" w:hAnsi="Times New Roman"/>
          <w:sz w:val="19"/>
          <w:szCs w:val="19"/>
          <w:color w:val="auto"/>
        </w:rPr>
        <w:t>” has the meaning specified in Section 1.03.</w:t>
      </w:r>
    </w:p>
    <w:p>
      <w:pPr>
        <w:spacing w:after="0" w:line="214"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Good Faith Contest</w:t>
      </w:r>
      <w:r>
        <w:rPr>
          <w:rFonts w:ascii="Times New Roman" w:cs="Times New Roman" w:eastAsia="Times New Roman" w:hAnsi="Times New Roman"/>
          <w:sz w:val="19"/>
          <w:szCs w:val="19"/>
          <w:color w:val="auto"/>
        </w:rPr>
        <w:t>” means the contest of an item as to which: (a) such item is contested in good faith, by appropriate proceedings, (b) reserves that are adequate are established with respect to such contested item in accordance with GAAP (unless the applicable Borrower Parties have assets that are reasonably sufficient to satisfy such contested item, if applicable) and (c) the failure to pay or comply with such contested item during the period of such contest could not reasonably be expected to result in a Material Adverse Effect.</w:t>
      </w:r>
    </w:p>
    <w:p>
      <w:pPr>
        <w:spacing w:after="0" w:line="177" w:lineRule="exact"/>
        <w:rPr>
          <w:sz w:val="20"/>
          <w:szCs w:val="20"/>
          <w:color w:val="auto"/>
        </w:rPr>
      </w:pPr>
    </w:p>
    <w:p>
      <w:pPr>
        <w:jc w:val="both"/>
        <w:ind w:firstLine="1497"/>
        <w:spacing w:after="0" w:line="225"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Governmental Authority</w:t>
      </w:r>
      <w:r>
        <w:rPr>
          <w:rFonts w:ascii="Times New Roman" w:cs="Times New Roman" w:eastAsia="Times New Roman" w:hAnsi="Times New Roman"/>
          <w:sz w:val="19"/>
          <w:szCs w:val="19"/>
          <w:color w:val="auto"/>
        </w:rPr>
        <w:t>” means the government of the United States of America or any other nation, or of any political subdivision thereof, whether state or local, and any Federal, state, municipal, national, local or other governmental department, agency, authority, commission, instrumentality, board, bureau, regulatory body, court, central bank or other entity or officer exercising executive, legislative, judicial, taxing, regulatory or administrative powers or functions of or pertaining to government (including any supra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national bodies such as the European Union or the European Central Bank).</w:t>
      </w:r>
    </w:p>
    <w:p>
      <w:pPr>
        <w:spacing w:after="0" w:line="185"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Guaranteed Hedge Agreement</w:t>
      </w:r>
      <w:r>
        <w:rPr>
          <w:rFonts w:ascii="Times New Roman" w:cs="Times New Roman" w:eastAsia="Times New Roman" w:hAnsi="Times New Roman"/>
          <w:sz w:val="19"/>
          <w:szCs w:val="19"/>
          <w:color w:val="auto"/>
        </w:rPr>
        <w:t>” means any Hedge Agreement permitted under Article V that is entered into by and between any Loan Party and any Hedge Bank.</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Guaranteed Obligations</w:t>
      </w:r>
      <w:r>
        <w:rPr>
          <w:rFonts w:ascii="Times New Roman" w:cs="Times New Roman" w:eastAsia="Times New Roman" w:hAnsi="Times New Roman"/>
          <w:sz w:val="19"/>
          <w:szCs w:val="19"/>
          <w:color w:val="auto"/>
        </w:rPr>
        <w:t>” has the meaning specified in Section 7.01.</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Guarantors</w:t>
      </w:r>
      <w:r>
        <w:rPr>
          <w:rFonts w:ascii="Times New Roman" w:cs="Times New Roman" w:eastAsia="Times New Roman" w:hAnsi="Times New Roman"/>
          <w:sz w:val="19"/>
          <w:szCs w:val="19"/>
          <w:color w:val="auto"/>
        </w:rPr>
        <w:t>” has the meaning specified in the recital of parties to this Agreement.</w:t>
      </w:r>
    </w:p>
    <w:p>
      <w:pPr>
        <w:spacing w:after="0" w:line="214"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Guaranty</w:t>
      </w:r>
      <w:r>
        <w:rPr>
          <w:rFonts w:ascii="Times New Roman" w:cs="Times New Roman" w:eastAsia="Times New Roman" w:hAnsi="Times New Roman"/>
          <w:sz w:val="19"/>
          <w:szCs w:val="19"/>
          <w:color w:val="auto"/>
        </w:rPr>
        <w:t>” means the Guaranty by the Guarantors pursuant to Article VII, together with any and all Guaranty Supplements, if any, delivered pursuant to Section 5.01(j) or Section 7.05.</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Guaranty Supplement</w:t>
      </w:r>
      <w:r>
        <w:rPr>
          <w:rFonts w:ascii="Times New Roman" w:cs="Times New Roman" w:eastAsia="Times New Roman" w:hAnsi="Times New Roman"/>
          <w:sz w:val="19"/>
          <w:szCs w:val="19"/>
          <w:color w:val="auto"/>
        </w:rPr>
        <w:t>” means a supplement entered into by an Additional Guarantor in substantially the form of Exhibit 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hereto.</w:t>
      </w:r>
    </w:p>
    <w:p>
      <w:pPr>
        <w:spacing w:after="0" w:line="164" w:lineRule="exact"/>
        <w:rPr>
          <w:sz w:val="20"/>
          <w:szCs w:val="20"/>
          <w:color w:val="auto"/>
        </w:rPr>
      </w:pPr>
    </w:p>
    <w:p>
      <w:pPr>
        <w:jc w:val="both"/>
        <w:ind w:right="20" w:firstLine="1497"/>
        <w:spacing w:after="0" w:line="244"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Hazardous Materials</w:t>
      </w:r>
      <w:r>
        <w:rPr>
          <w:rFonts w:ascii="Times New Roman" w:cs="Times New Roman" w:eastAsia="Times New Roman" w:hAnsi="Times New Roman"/>
          <w:sz w:val="19"/>
          <w:szCs w:val="19"/>
          <w:color w:val="auto"/>
        </w:rPr>
        <w:t>” means (a) petroleum or petroleum products, by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products or breakdown products, radioactive materials, asbestos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containing materials, polychlorinated biphenyls, radon gas and mold and (b) any other chemicals, materials or substances designated, classified or regulated as hazardous or toxic or as a pollutant or contaminant under any Environmental Law.</w:t>
      </w:r>
    </w:p>
    <w:p>
      <w:pPr>
        <w:spacing w:after="0" w:line="183"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Hedge Agreements</w:t>
      </w:r>
      <w:r>
        <w:rPr>
          <w:rFonts w:ascii="Times New Roman" w:cs="Times New Roman" w:eastAsia="Times New Roman" w:hAnsi="Times New Roman"/>
          <w:sz w:val="19"/>
          <w:szCs w:val="19"/>
          <w:color w:val="auto"/>
        </w:rPr>
        <w:t>” means interest rate swap, cap or collar agreements, interest rate future or option contracts, currency swap agreements, currency future or option contracts and other hedging agreements.</w:t>
      </w:r>
    </w:p>
    <w:p>
      <w:pPr>
        <w:spacing w:after="0" w:line="153"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Hedge Bank</w:t>
      </w:r>
      <w:r>
        <w:rPr>
          <w:rFonts w:ascii="Times New Roman" w:cs="Times New Roman" w:eastAsia="Times New Roman" w:hAnsi="Times New Roman"/>
          <w:sz w:val="19"/>
          <w:szCs w:val="19"/>
          <w:color w:val="auto"/>
        </w:rPr>
        <w:t xml:space="preserve">” means any Lender or an Affiliate of a Lender in its capacity as a party to a Guaranteed Hedge Agreement, but only for so long as the applicable Lender continues to be a Lender after entering into such Guaranteed Hedge Agreement;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so long as any Lender is a Defaulting Lender, neither such Lender nor any Affiliate of such Lender will be a Hedge Bank with respect to any Hedge Agreement.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7" w:name="page28"/>
    <w:bookmarkEnd w:id="27"/>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Increase Date</w:t>
      </w:r>
      <w:r>
        <w:rPr>
          <w:rFonts w:ascii="Times New Roman" w:cs="Times New Roman" w:eastAsia="Times New Roman" w:hAnsi="Times New Roman"/>
          <w:sz w:val="19"/>
          <w:szCs w:val="19"/>
          <w:color w:val="auto"/>
        </w:rPr>
        <w:t>” has the meaning specified in Section 2.17(a).</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Increasing Lender</w:t>
      </w:r>
      <w:r>
        <w:rPr>
          <w:rFonts w:ascii="Times New Roman" w:cs="Times New Roman" w:eastAsia="Times New Roman" w:hAnsi="Times New Roman"/>
          <w:sz w:val="19"/>
          <w:szCs w:val="19"/>
          <w:color w:val="auto"/>
        </w:rPr>
        <w:t>” has the meaning specified in Section 2.17(d).</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Indemnified Costs</w:t>
      </w:r>
      <w:r>
        <w:rPr>
          <w:rFonts w:ascii="Times New Roman" w:cs="Times New Roman" w:eastAsia="Times New Roman" w:hAnsi="Times New Roman"/>
          <w:sz w:val="19"/>
          <w:szCs w:val="19"/>
          <w:color w:val="auto"/>
        </w:rPr>
        <w:t>” has the meaning specified in Section 8.05(a).</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Indemnified Party</w:t>
      </w:r>
      <w:r>
        <w:rPr>
          <w:rFonts w:ascii="Times New Roman" w:cs="Times New Roman" w:eastAsia="Times New Roman" w:hAnsi="Times New Roman"/>
          <w:sz w:val="19"/>
          <w:szCs w:val="19"/>
          <w:color w:val="auto"/>
        </w:rPr>
        <w:t>” has the meaning specified in Section 7.06(a).</w:t>
      </w:r>
    </w:p>
    <w:p>
      <w:pPr>
        <w:spacing w:after="0" w:line="214" w:lineRule="exact"/>
        <w:rPr>
          <w:sz w:val="20"/>
          <w:szCs w:val="20"/>
          <w:color w:val="auto"/>
        </w:rPr>
      </w:pPr>
    </w:p>
    <w:p>
      <w:pPr>
        <w:jc w:val="both"/>
        <w:ind w:right="20"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Indemnified Taxes</w:t>
      </w:r>
      <w:r>
        <w:rPr>
          <w:rFonts w:ascii="Times New Roman" w:cs="Times New Roman" w:eastAsia="Times New Roman" w:hAnsi="Times New Roman"/>
          <w:sz w:val="19"/>
          <w:szCs w:val="19"/>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Information</w:t>
      </w:r>
      <w:r>
        <w:rPr>
          <w:rFonts w:ascii="Times New Roman" w:cs="Times New Roman" w:eastAsia="Times New Roman" w:hAnsi="Times New Roman"/>
          <w:sz w:val="19"/>
          <w:szCs w:val="19"/>
          <w:color w:val="auto"/>
        </w:rPr>
        <w:t>” has the meaning specified in Section 9.13.</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Initial Borrowing</w:t>
      </w:r>
      <w:r>
        <w:rPr>
          <w:rFonts w:ascii="Times New Roman" w:cs="Times New Roman" w:eastAsia="Times New Roman" w:hAnsi="Times New Roman"/>
          <w:sz w:val="19"/>
          <w:szCs w:val="19"/>
          <w:color w:val="auto"/>
        </w:rPr>
        <w:t>” means the initial Borrowing hereunder pursuant to Section 2.01.</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Initial Lenders</w:t>
      </w:r>
      <w:r>
        <w:rPr>
          <w:rFonts w:ascii="Times New Roman" w:cs="Times New Roman" w:eastAsia="Times New Roman" w:hAnsi="Times New Roman"/>
          <w:sz w:val="19"/>
          <w:szCs w:val="19"/>
          <w:color w:val="auto"/>
        </w:rPr>
        <w:t>” has the meaning specified in the recital of parties to this Agreement.</w:t>
      </w:r>
    </w:p>
    <w:p>
      <w:pPr>
        <w:spacing w:after="0" w:line="214"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Insufficiency</w:t>
      </w:r>
      <w:r>
        <w:rPr>
          <w:rFonts w:ascii="Times New Roman" w:cs="Times New Roman" w:eastAsia="Times New Roman" w:hAnsi="Times New Roman"/>
          <w:sz w:val="19"/>
          <w:szCs w:val="19"/>
          <w:color w:val="auto"/>
        </w:rPr>
        <w:t>” means, with respect to any Plan, the amount, if any, of its unfunded benefit liabilities, as defined in Section 4001(a)(18) of ERISA.</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Intellectual Property</w:t>
      </w:r>
      <w:r>
        <w:rPr>
          <w:rFonts w:ascii="Times New Roman" w:cs="Times New Roman" w:eastAsia="Times New Roman" w:hAnsi="Times New Roman"/>
          <w:sz w:val="19"/>
          <w:szCs w:val="19"/>
          <w:color w:val="auto"/>
        </w:rPr>
        <w:t>” has the meaning specified in Section 4.01(aa).</w:t>
      </w:r>
    </w:p>
    <w:p>
      <w:pPr>
        <w:spacing w:after="0" w:line="214"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Interest Period</w:t>
      </w:r>
      <w:r>
        <w:rPr>
          <w:rFonts w:ascii="Times New Roman" w:cs="Times New Roman" w:eastAsia="Times New Roman" w:hAnsi="Times New Roman"/>
          <w:sz w:val="19"/>
          <w:szCs w:val="19"/>
          <w:color w:val="auto"/>
        </w:rPr>
        <w:t xml:space="preserve">” means, for each Term SOFR Advance comprising part of the same Borrowing, the period commencing on the date of such Term SOFR Advance or the date of the Conversion of any Base Rate Advance into such Term SOFR Advance, and ending on the last day of the period selected by the Borrower pursuant to the provisions below and, thereafter, each subsequent period commencing on the last day of the immediately preceding Interest Period and ending on the last day of the period selected by the Borrower pursuant to the provisions below. The duration of each such Interest Period shall be one, three or six months; in each case subject to availability and as the Borrower may, upon notice received by the Administrative Agent not later than 12:00 Noon (New York City time) on the third Business Day prior to the first day of such Interest Period, select;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w:t>
      </w:r>
    </w:p>
    <w:p>
      <w:pPr>
        <w:spacing w:after="0" w:line="186" w:lineRule="exact"/>
        <w:rPr>
          <w:sz w:val="20"/>
          <w:szCs w:val="20"/>
          <w:color w:val="auto"/>
        </w:rPr>
      </w:pPr>
    </w:p>
    <w:p>
      <w:pPr>
        <w:ind w:left="1880" w:hanging="375"/>
        <w:spacing w:after="0"/>
        <w:tabs>
          <w:tab w:leader="none" w:pos="1880" w:val="left"/>
        </w:tabs>
        <w:numPr>
          <w:ilvl w:val="0"/>
          <w:numId w:val="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Borrower may not select any Interest Period with respect to any Term SOFR Advance that ends after the Maturity Date;</w:t>
      </w:r>
    </w:p>
    <w:p>
      <w:pPr>
        <w:spacing w:after="0" w:line="225" w:lineRule="exact"/>
        <w:rPr>
          <w:rFonts w:ascii="Times New Roman" w:cs="Times New Roman" w:eastAsia="Times New Roman" w:hAnsi="Times New Roman"/>
          <w:sz w:val="18"/>
          <w:szCs w:val="18"/>
          <w:color w:val="010000"/>
        </w:rPr>
      </w:pPr>
    </w:p>
    <w:p>
      <w:pPr>
        <w:jc w:val="both"/>
        <w:ind w:left="760" w:firstLine="745"/>
        <w:spacing w:after="0" w:line="246" w:lineRule="auto"/>
        <w:tabs>
          <w:tab w:leader="none" w:pos="1887" w:val="left"/>
        </w:tabs>
        <w:numPr>
          <w:ilvl w:val="0"/>
          <w:numId w:val="1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whenever the last day of any Interest Period would otherwise occur on a day other than a Business Day, the last day of such Interest Period shall be extended to occur on the next succeeding Business Day;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if such extension would cause the last day of such Interest Period to occur in the next following calendar month, the last day of such Interest Period shall occur on the next preceding Business Day; and</w:t>
      </w:r>
    </w:p>
    <w:p>
      <w:pPr>
        <w:spacing w:after="0" w:line="184" w:lineRule="exact"/>
        <w:rPr>
          <w:rFonts w:ascii="Times New Roman" w:cs="Times New Roman" w:eastAsia="Times New Roman" w:hAnsi="Times New Roman"/>
          <w:sz w:val="19"/>
          <w:szCs w:val="19"/>
          <w:color w:val="010000"/>
        </w:rPr>
      </w:pPr>
    </w:p>
    <w:p>
      <w:pPr>
        <w:jc w:val="both"/>
        <w:ind w:left="760" w:right="20" w:firstLine="745"/>
        <w:spacing w:after="0" w:line="251" w:lineRule="auto"/>
        <w:tabs>
          <w:tab w:leader="none" w:pos="1887" w:val="left"/>
        </w:tabs>
        <w:numPr>
          <w:ilvl w:val="0"/>
          <w:numId w:val="1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173"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Internal Revenue Code</w:t>
      </w:r>
      <w:r>
        <w:rPr>
          <w:rFonts w:ascii="Times New Roman" w:cs="Times New Roman" w:eastAsia="Times New Roman" w:hAnsi="Times New Roman"/>
          <w:sz w:val="19"/>
          <w:szCs w:val="19"/>
          <w:color w:val="auto"/>
        </w:rPr>
        <w:t>” means the Internal Revenue Code of 1986, as amended from time to time, and the regulations promulgated and rulings issued thereunder.</w:t>
      </w:r>
    </w:p>
    <w:p>
      <w:pPr>
        <w:spacing w:after="0" w:line="153"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Investment</w:t>
      </w:r>
      <w:r>
        <w:rPr>
          <w:rFonts w:ascii="Times New Roman" w:cs="Times New Roman" w:eastAsia="Times New Roman" w:hAnsi="Times New Roman"/>
          <w:sz w:val="19"/>
          <w:szCs w:val="19"/>
          <w:color w:val="auto"/>
        </w:rPr>
        <w:t>” means, with respect to any Person, any acquisition or investment (whether or not of a controlling interest) by such Person, by means of any of the following: (a) the purchase or other acquisition of any Equity Interest in another Person, (b) a loan, advance or extension of credit to, capital contribution to,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8" w:name="page29"/>
    <w:bookmarkEnd w:id="28"/>
    <w:p>
      <w:pPr>
        <w:jc w:val="both"/>
        <w:spacing w:after="0" w:line="244" w:lineRule="auto"/>
        <w:rPr>
          <w:sz w:val="20"/>
          <w:szCs w:val="20"/>
          <w:color w:val="auto"/>
        </w:rPr>
      </w:pPr>
      <w:r>
        <w:rPr>
          <w:rFonts w:ascii="Times New Roman" w:cs="Times New Roman" w:eastAsia="Times New Roman" w:hAnsi="Times New Roman"/>
          <w:sz w:val="19"/>
          <w:szCs w:val="19"/>
          <w:color w:val="auto"/>
        </w:rPr>
        <w:t>guaranty of Debt of, or purchase or other acquisition of any Debt of, another Person, including any partnership or joint venture interest in such other Person, (c) the purchase or other acquisition (in one transaction or a series of transactions) of assets of another Person that constitute the business or a division or operating unit of another Person, or (d) the purchase or other acquisition of any Real Property. Except as expressly provided otherwise, for purposes of determining compliance with any covenant contained in a Loan Document, the amount of any Investment shall be the amount actually invested, without adjustment for subsequent increases or decreases in the value of such Investment.</w:t>
      </w:r>
    </w:p>
    <w:p>
      <w:pPr>
        <w:spacing w:after="0" w:line="156" w:lineRule="exact"/>
        <w:rPr>
          <w:sz w:val="20"/>
          <w:szCs w:val="20"/>
          <w:color w:val="auto"/>
        </w:rPr>
      </w:pPr>
    </w:p>
    <w:p>
      <w:pPr>
        <w:ind w:left="1500"/>
        <w:spacing w:after="0" w:line="219"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Investment Grade Rating</w:t>
      </w:r>
      <w:r>
        <w:rPr>
          <w:rFonts w:ascii="Times New Roman" w:cs="Times New Roman" w:eastAsia="Times New Roman" w:hAnsi="Times New Roman"/>
          <w:sz w:val="19"/>
          <w:szCs w:val="19"/>
          <w:color w:val="auto"/>
        </w:rPr>
        <w:t>” shall mean a Debt Rating of BBB</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or better from S&amp;P or a Debt Rating of Baa3 or better from</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Moody’s.</w:t>
      </w:r>
    </w:p>
    <w:p>
      <w:pPr>
        <w:spacing w:after="0" w:line="1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JLAs</w:t>
      </w:r>
      <w:r>
        <w:rPr>
          <w:rFonts w:ascii="Times New Roman" w:cs="Times New Roman" w:eastAsia="Times New Roman" w:hAnsi="Times New Roman"/>
          <w:sz w:val="19"/>
          <w:szCs w:val="19"/>
          <w:color w:val="auto"/>
        </w:rPr>
        <w:t>” has the meaning specified in the recital of parties to this Agreement.</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Joint Venture</w:t>
      </w:r>
      <w:r>
        <w:rPr>
          <w:rFonts w:ascii="Times New Roman" w:cs="Times New Roman" w:eastAsia="Times New Roman" w:hAnsi="Times New Roman"/>
          <w:sz w:val="19"/>
          <w:szCs w:val="19"/>
          <w:color w:val="auto"/>
        </w:rPr>
        <w:t>” means any joint venture or other Person (a) in which the Parent or any of its Subsidiaries holds any Equity Interest, (b) that is not a wholly-owned Subsidiary (directly or indirectly) of the Parent and (c) the accounts of which would not appear on the Consolidated financial statements of the Parent.</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Joint Venture Assets</w:t>
      </w:r>
      <w:r>
        <w:rPr>
          <w:rFonts w:ascii="Times New Roman" w:cs="Times New Roman" w:eastAsia="Times New Roman" w:hAnsi="Times New Roman"/>
          <w:sz w:val="19"/>
          <w:szCs w:val="19"/>
          <w:color w:val="auto"/>
        </w:rPr>
        <w:t>” means, with respect to any Joint Venture at any time, the assets owned by such Joint Venture at such</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time.</w:t>
      </w:r>
    </w:p>
    <w:p>
      <w:pPr>
        <w:spacing w:after="0" w:line="188"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JV Pro Rata Share</w:t>
      </w:r>
      <w:r>
        <w:rPr>
          <w:rFonts w:ascii="Times New Roman" w:cs="Times New Roman" w:eastAsia="Times New Roman" w:hAnsi="Times New Roman"/>
          <w:sz w:val="19"/>
          <w:szCs w:val="19"/>
          <w:color w:val="auto"/>
        </w:rPr>
        <w:t>” means, with respect to any Joint Venture (other than a Joint Venture held by an Unrestricted Subsidiary) at any time, the fraction, expressed as a percentage, obtained by dividing (a) the total book value of all Equity Interests in such Joint Venture directly or indirectly held by the Parent and any of its Wholly-Owned Subsidiaries by (b) the total book value of all outstanding Equity Interests in such Joint Venture at such time.</w:t>
      </w:r>
    </w:p>
    <w:p>
      <w:pPr>
        <w:spacing w:after="0" w:line="177"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Lender Insolvency Event</w:t>
      </w:r>
      <w:r>
        <w:rPr>
          <w:rFonts w:ascii="Times New Roman" w:cs="Times New Roman" w:eastAsia="Times New Roman" w:hAnsi="Times New Roman"/>
          <w:sz w:val="19"/>
          <w:szCs w:val="19"/>
          <w:color w:val="auto"/>
        </w:rPr>
        <w:t>” means that, other than in connection with an Undisclosed Administration, (i) the Lender or its Parent Company is insolvent, or is generally unable to pay its debts as they become due, or admits in writing its inability to pay its debts as they become due, or makes a general assignment for the benefit of its creditors, (ii) such Lender or its Parent Company is the subject of a bankruptcy, insolvency, reorganization, liquidation or similar proceeding, or a receiver, trustee, conservator, intervenor or sequestrator or the like has been appointed for such Lender or its Parent Company, or such Lender or its Parent Company has taken any action in furtherance of or indicating its consent to or acquiescence in any such proceeding or appointment, or (iii) such Lender or its Parent Company has become the subject of a Bail-In Action. Notwithstanding the above, a Lender Insolvency Event shall not occur solely by virtue of the ownership or acquisition of any Equity Interest in the applicable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18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Lenders</w:t>
      </w:r>
      <w:r>
        <w:rPr>
          <w:rFonts w:ascii="Times New Roman" w:cs="Times New Roman" w:eastAsia="Times New Roman" w:hAnsi="Times New Roman"/>
          <w:sz w:val="19"/>
          <w:szCs w:val="19"/>
          <w:color w:val="auto"/>
        </w:rPr>
        <w:t>” means the Initial Lenders, each Acceding Lender that shall become a party hereto pursuant to Section 2.17 and each Person that shall become a Lender hereunder pursuant to Section 9.07 for so long as such Initial Lender, Acceding Lender or Person, as the case may be, shall be a party to this Agreement.</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Leverage Increase Period</w:t>
      </w:r>
      <w:r>
        <w:rPr>
          <w:rFonts w:ascii="Times New Roman" w:cs="Times New Roman" w:eastAsia="Times New Roman" w:hAnsi="Times New Roman"/>
          <w:sz w:val="19"/>
          <w:szCs w:val="19"/>
          <w:color w:val="auto"/>
        </w:rPr>
        <w:t>” has the meaning specified in Section 5.04(a)(i).</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Leverage Ratio</w:t>
      </w:r>
      <w:r>
        <w:rPr>
          <w:rFonts w:ascii="Times New Roman" w:cs="Times New Roman" w:eastAsia="Times New Roman" w:hAnsi="Times New Roman"/>
          <w:sz w:val="19"/>
          <w:szCs w:val="19"/>
          <w:color w:val="auto"/>
        </w:rPr>
        <w:t xml:space="preserve">” means, at any date of determination, the ratio, expressed as a percentage, of (a) Total Debt of the Parent and its Subsidiaries </w:t>
      </w:r>
      <w:r>
        <w:rPr>
          <w:rFonts w:ascii="Times New Roman" w:cs="Times New Roman" w:eastAsia="Times New Roman" w:hAnsi="Times New Roman"/>
          <w:sz w:val="19"/>
          <w:szCs w:val="19"/>
          <w:i w:val="1"/>
          <w:iCs w:val="1"/>
          <w:color w:val="auto"/>
        </w:rPr>
        <w:t>less</w:t>
      </w:r>
      <w:r>
        <w:rPr>
          <w:rFonts w:ascii="Times New Roman" w:cs="Times New Roman" w:eastAsia="Times New Roman" w:hAnsi="Times New Roman"/>
          <w:sz w:val="19"/>
          <w:szCs w:val="19"/>
          <w:color w:val="auto"/>
        </w:rPr>
        <w:t xml:space="preserve"> the amount by which the aggregate Unrestricted Cash and Cash Equivalents of the Parent and its Subsidiaries at such time exceeds $10,000,000 to (b) Total Asset Value.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9" w:name="page30"/>
    <w:bookmarkEnd w:id="29"/>
    <w:p>
      <w:pPr>
        <w:jc w:val="both"/>
        <w:ind w:firstLine="1497"/>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Lien</w:t>
      </w:r>
      <w:r>
        <w:rPr>
          <w:rFonts w:ascii="Times New Roman" w:cs="Times New Roman" w:eastAsia="Times New Roman" w:hAnsi="Times New Roman"/>
          <w:sz w:val="19"/>
          <w:szCs w:val="19"/>
          <w:color w:val="auto"/>
        </w:rPr>
        <w:t>”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 For the avoidance of doubt, limitations on the ability of the Parent or any Subsidiary thereof to transfer property to the Parent, Borrower or any Subsidiary of either of them contained in documentation evidencing or governing Pari Passu Obligations, which limitations are not, taken as a whole, materially more restrictive than those contained in Section 5.02(n), shall not constitute a Lien.</w:t>
      </w:r>
    </w:p>
    <w:p>
      <w:pPr>
        <w:spacing w:after="0" w:line="17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Loan Documents</w:t>
      </w:r>
      <w:r>
        <w:rPr>
          <w:rFonts w:ascii="Times New Roman" w:cs="Times New Roman" w:eastAsia="Times New Roman" w:hAnsi="Times New Roman"/>
          <w:sz w:val="19"/>
          <w:szCs w:val="19"/>
          <w:color w:val="auto"/>
        </w:rPr>
        <w:t>” means (a) this Agreement, (b) the Notes, (c) the Fee Letter, (d) each Guaranty Supplement, (e) each Guaranteed Hedge Agreement and (f) each other document or instrument now or hereafter executed and delivered by a Loan Party in connection with, pursuant to or relating to this Agreement, in each case, as amended.</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Loan Parties</w:t>
      </w:r>
      <w:r>
        <w:rPr>
          <w:rFonts w:ascii="Times New Roman" w:cs="Times New Roman" w:eastAsia="Times New Roman" w:hAnsi="Times New Roman"/>
          <w:sz w:val="19"/>
          <w:szCs w:val="19"/>
          <w:color w:val="auto"/>
        </w:rPr>
        <w:t>” means the Parent, the Borrower and the Guarantors.</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Management Fee Adjustment</w:t>
      </w:r>
      <w:r>
        <w:rPr>
          <w:rFonts w:ascii="Times New Roman" w:cs="Times New Roman" w:eastAsia="Times New Roman" w:hAnsi="Times New Roman"/>
          <w:sz w:val="19"/>
          <w:szCs w:val="19"/>
          <w:color w:val="auto"/>
        </w:rPr>
        <w:t xml:space="preserve">” means, with respect to any Asset for any fiscal period, the amount, if any, by which (i) two percent (2.0%) of all rental and other income from the operation of such Asset multiplied by four </w:t>
      </w:r>
      <w:r>
        <w:rPr>
          <w:rFonts w:ascii="Times New Roman" w:cs="Times New Roman" w:eastAsia="Times New Roman" w:hAnsi="Times New Roman"/>
          <w:sz w:val="19"/>
          <w:szCs w:val="19"/>
          <w:i w:val="1"/>
          <w:iCs w:val="1"/>
          <w:color w:val="auto"/>
        </w:rPr>
        <w:t>exceeds</w:t>
      </w:r>
      <w:r>
        <w:rPr>
          <w:rFonts w:ascii="Times New Roman" w:cs="Times New Roman" w:eastAsia="Times New Roman" w:hAnsi="Times New Roman"/>
          <w:sz w:val="19"/>
          <w:szCs w:val="19"/>
          <w:color w:val="auto"/>
        </w:rPr>
        <w:t xml:space="preserve"> (ii) all actual management fees payable in respect of such Asset multiplied by four.</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Margin Stock</w:t>
      </w:r>
      <w:r>
        <w:rPr>
          <w:rFonts w:ascii="Times New Roman" w:cs="Times New Roman" w:eastAsia="Times New Roman" w:hAnsi="Times New Roman"/>
          <w:sz w:val="19"/>
          <w:szCs w:val="19"/>
          <w:color w:val="auto"/>
        </w:rPr>
        <w:t>” has the meaning specified in Regulation U.</w:t>
      </w:r>
    </w:p>
    <w:p>
      <w:pPr>
        <w:spacing w:after="0" w:line="214"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Material Acquisition</w:t>
      </w:r>
      <w:r>
        <w:rPr>
          <w:rFonts w:ascii="Times New Roman" w:cs="Times New Roman" w:eastAsia="Times New Roman" w:hAnsi="Times New Roman"/>
          <w:sz w:val="19"/>
          <w:szCs w:val="19"/>
          <w:color w:val="auto"/>
        </w:rPr>
        <w:t>” means the acquisition by the Borrower directly or indirectly through any Restricted Subsidiary or by any of its Restricted Subsidiaries, in a single transaction or in a series of related transactions, of any of (a) all or any substantial portion of the property of, or a line of business or division of, or any other property of, another Person, (b) one or more properties from another Person, or (c) at least a majority of the voting Equity Interests of another Person, in any such case whether or not involving a merger or consolidation with such other Person or a Division of such Person, in which the value of the assets acquired in such acquisition is greater than or equal to 5% of Total Asset Value at such time.</w:t>
      </w:r>
    </w:p>
    <w:p>
      <w:pPr>
        <w:spacing w:after="0" w:line="179"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Material Adverse Change</w:t>
      </w:r>
      <w:r>
        <w:rPr>
          <w:rFonts w:ascii="Times New Roman" w:cs="Times New Roman" w:eastAsia="Times New Roman" w:hAnsi="Times New Roman"/>
          <w:sz w:val="19"/>
          <w:szCs w:val="19"/>
          <w:color w:val="auto"/>
        </w:rPr>
        <w:t>” means a material adverse change in the business, condition (financial or otherwise), results of operations or prospects of the Parent and its Restricted Subsidiaries, taken as a whole.</w:t>
      </w:r>
    </w:p>
    <w:p>
      <w:pPr>
        <w:spacing w:after="0" w:line="153" w:lineRule="exact"/>
        <w:rPr>
          <w:sz w:val="20"/>
          <w:szCs w:val="20"/>
          <w:color w:val="auto"/>
        </w:rPr>
      </w:pPr>
    </w:p>
    <w:p>
      <w:pPr>
        <w:jc w:val="both"/>
        <w:ind w:firstLine="1497"/>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means a material adverse effect on (a) the business, condition (financial or otherwise) or operations of the Parent and its Restricted Subsidiaries, taken as a whole, (b) the validity or enforceability of any of the Loan Documents or (c) the ability of the Borrower, the Parent or the Guarantors taken as a whole to perform their Obligations under any Loan Document to which it is or is to be a party.</w:t>
      </w:r>
    </w:p>
    <w:p>
      <w:pPr>
        <w:spacing w:after="0" w:line="152"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Material Contract</w:t>
      </w:r>
      <w:r>
        <w:rPr>
          <w:rFonts w:ascii="Times New Roman" w:cs="Times New Roman" w:eastAsia="Times New Roman" w:hAnsi="Times New Roman"/>
          <w:sz w:val="19"/>
          <w:szCs w:val="19"/>
          <w:color w:val="auto"/>
        </w:rPr>
        <w:t>” means each Qualified Ground Lease and each other contract that is material to the business, condition (financial or otherwise), operations, performance, properties or prospects of the Parent and its Subsidiaries, taken as a whole.</w:t>
      </w:r>
    </w:p>
    <w:p>
      <w:pPr>
        <w:spacing w:after="0" w:line="153"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Material Debt</w:t>
      </w:r>
      <w:r>
        <w:rPr>
          <w:rFonts w:ascii="Times New Roman" w:cs="Times New Roman" w:eastAsia="Times New Roman" w:hAnsi="Times New Roman"/>
          <w:sz w:val="19"/>
          <w:szCs w:val="19"/>
          <w:color w:val="auto"/>
        </w:rPr>
        <w:t>” means (a) Debt for borrowed money that is recourse to the Borrower or the Parent that is outstanding in a principal amount of $50,000,000 or more, (b) Debt under any Hedge Agreement having an Agreement Value of $50,000,000 or more, or (c) only prior to the date that the Borrower or the Parent achieves an Investment Grade Rating and the Borrower has made a Ratings Grid Election, any other Debt for borrowed money of any Loan Party or any Subsidiary of a Loan Party that is outstanding in a principal amount of $100,000,000 or more or Debt under any Hedge Agreement having an Agreement Value of $100,000,000 or more; in each case (i) whether the subject of one or more separate debt instruments or agreements, and (ii) exclusive of Debt outstanding under this Agreement. For the avoidance of doubt, Material Debt may include Refinancing Debt to the extent comprising Material Debt as defined herein.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30" w:name="page31"/>
    <w:bookmarkEnd w:id="30"/>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Material Litigation</w:t>
      </w:r>
      <w:r>
        <w:rPr>
          <w:rFonts w:ascii="Times New Roman" w:cs="Times New Roman" w:eastAsia="Times New Roman" w:hAnsi="Times New Roman"/>
          <w:sz w:val="19"/>
          <w:szCs w:val="19"/>
          <w:color w:val="auto"/>
        </w:rPr>
        <w:t>” has the meaning specified in Section 3.01(e).</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Maturity Date</w:t>
      </w:r>
      <w:r>
        <w:rPr>
          <w:rFonts w:ascii="Times New Roman" w:cs="Times New Roman" w:eastAsia="Times New Roman" w:hAnsi="Times New Roman"/>
          <w:sz w:val="19"/>
          <w:szCs w:val="19"/>
          <w:color w:val="auto"/>
        </w:rPr>
        <w:t>” means the earliest to occur of (a) June 25, 2031, (b) the date of termination of all of the Commitments by the Borrower pursuant to Section 2.05 which will occur concurrently with the payment in full of the Facility and (c) the date of termination of the Commitments pursuant to Section 6.01.</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Maximum Rate</w:t>
      </w:r>
      <w:r>
        <w:rPr>
          <w:rFonts w:ascii="Times New Roman" w:cs="Times New Roman" w:eastAsia="Times New Roman" w:hAnsi="Times New Roman"/>
          <w:sz w:val="19"/>
          <w:szCs w:val="19"/>
          <w:color w:val="auto"/>
        </w:rPr>
        <w:t>” means the maximum non-usurious interest rate under applicable law.</w:t>
      </w:r>
    </w:p>
    <w:p>
      <w:pPr>
        <w:spacing w:after="0" w:line="21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Mixed Use Asset</w:t>
      </w:r>
      <w:r>
        <w:rPr>
          <w:rFonts w:ascii="Times New Roman" w:cs="Times New Roman" w:eastAsia="Times New Roman" w:hAnsi="Times New Roman"/>
          <w:sz w:val="19"/>
          <w:szCs w:val="19"/>
          <w:color w:val="auto"/>
        </w:rPr>
        <w:t>” means Real Property and related personal property that operates or is intended to operate as a mixed-use building that includes, without limitation, an office component. For the avoidance of doubt, (a) Development Assets shall not be classified as Mixed Use Assets hereunder until the date indicated in the last sentence of the definition of Development Asset herein, and (b) Redevelopment Assets shall not be classified as Mixed Use Assets hereunder until the date indicated in the last sentence of the definition of Redevelopment Asset herein.</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Moody’s</w:t>
      </w:r>
      <w:r>
        <w:rPr>
          <w:rFonts w:ascii="Times New Roman" w:cs="Times New Roman" w:eastAsia="Times New Roman" w:hAnsi="Times New Roman"/>
          <w:sz w:val="19"/>
          <w:szCs w:val="19"/>
          <w:color w:val="auto"/>
        </w:rPr>
        <w:t>” means Moody’s Investors Service, Inc. and any successor thereto.</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Multiemployer Plan</w:t>
      </w:r>
      <w:r>
        <w:rPr>
          <w:rFonts w:ascii="Times New Roman" w:cs="Times New Roman" w:eastAsia="Times New Roman" w:hAnsi="Times New Roman"/>
          <w:sz w:val="19"/>
          <w:szCs w:val="19"/>
          <w:color w:val="auto"/>
        </w:rPr>
        <w:t>” means a multiemployer plan, as defined in Section 4001(a)(3) of ERISA, to which any Loan Party or any ERISA Affiliate is making or accruing an obligation to make contributions, or has within any of the preceding five plan years made or accrued an obligation to make contributions.</w:t>
      </w:r>
    </w:p>
    <w:p>
      <w:pPr>
        <w:spacing w:after="0" w:line="170" w:lineRule="exact"/>
        <w:rPr>
          <w:sz w:val="20"/>
          <w:szCs w:val="20"/>
          <w:color w:val="auto"/>
        </w:rPr>
      </w:pPr>
    </w:p>
    <w:p>
      <w:pPr>
        <w:jc w:val="both"/>
        <w:ind w:right="20" w:firstLine="1497"/>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Multiple Employer Plan</w:t>
      </w:r>
      <w:r>
        <w:rPr>
          <w:rFonts w:ascii="Times New Roman" w:cs="Times New Roman" w:eastAsia="Times New Roman" w:hAnsi="Times New Roman"/>
          <w:sz w:val="18"/>
          <w:szCs w:val="18"/>
          <w:color w:val="auto"/>
        </w:rPr>
        <w:t>” means a Single Employer Plan that (a) is maintained for employees of any Loan Party or any ERISA Affiliate and at least one Person other than the Loan Parties and the ERISA Affiliates or (b) was so maintained and in respect of which any Loan Party or any ERISA Affiliate could have liability under Section 4064 or 4069 of ERISA in the event such plan has been or were to be terminated.</w:t>
      </w:r>
    </w:p>
    <w:p>
      <w:pPr>
        <w:spacing w:after="0" w:line="152"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Necessary Borrower Party</w:t>
      </w:r>
      <w:r>
        <w:rPr>
          <w:rFonts w:ascii="Times New Roman" w:cs="Times New Roman" w:eastAsia="Times New Roman" w:hAnsi="Times New Roman"/>
          <w:sz w:val="19"/>
          <w:szCs w:val="19"/>
          <w:color w:val="auto"/>
        </w:rPr>
        <w:t>” means any Borrower Party that, at the time of any applicable determination, both (x) owns an Unencumbered Asset that has not been designated as a non-Unencumbered Asset in accordance with Section 5.01(j) and (y) is not then the subject of an Early Release Request in accordance with Section 9.14. For the avoidance of doubt, the Parent is not a Necessary Borrower Party.</w:t>
      </w:r>
    </w:p>
    <w:p>
      <w:pPr>
        <w:spacing w:after="0" w:line="170"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Negative Pledge</w:t>
      </w:r>
      <w:r>
        <w:rPr>
          <w:rFonts w:ascii="Times New Roman" w:cs="Times New Roman" w:eastAsia="Times New Roman" w:hAnsi="Times New Roman"/>
          <w:sz w:val="19"/>
          <w:szCs w:val="19"/>
          <w:color w:val="auto"/>
        </w:rPr>
        <w:t xml:space="preserve">” means, with respect to a given asset, any provision of any agreement (other than any Loan Document) that prohibits or purports to prohibit the creation or assumption of any Lien on such asset as security for Debt of the Person owning such asset or any other Person;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neither (a) any agreement that conditions a Person’s ability to encumber its assets upon the maintenance of one or more specified ratios that limit such Person’s ability to encumber its assets but that do not generally prohibit the encumbrance of its assets, or the encumbrance of specific assets nor (b) any provision in any agreement governing Unsecured Debt generally prohibiting the encumbrance of assets (exclusive of any outright prohibition on the encumbrance of particular Unencumbered Assets) shall constitute a Negative Pledge so long as such provision is generally consistent with a comparable provision of the Loan Documents.</w:t>
      </w:r>
    </w:p>
    <w:p>
      <w:pPr>
        <w:spacing w:after="0" w:line="180" w:lineRule="exact"/>
        <w:rPr>
          <w:sz w:val="20"/>
          <w:szCs w:val="20"/>
          <w:color w:val="auto"/>
        </w:rPr>
      </w:pPr>
    </w:p>
    <w:p>
      <w:pPr>
        <w:jc w:val="both"/>
        <w:ind w:firstLine="1497"/>
        <w:spacing w:after="0" w:line="222"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Net Operating Income</w:t>
      </w:r>
      <w:r>
        <w:rPr>
          <w:rFonts w:ascii="Times New Roman" w:cs="Times New Roman" w:eastAsia="Times New Roman" w:hAnsi="Times New Roman"/>
          <w:sz w:val="19"/>
          <w:szCs w:val="19"/>
          <w:color w:val="auto"/>
        </w:rPr>
        <w:t xml:space="preserve">” means (a) with respect to any Asset other than a Joint Venture Asset, (i) the total rental revenue and other income from the operation of such Asset for the fiscal quarter of the Parent most recently ended for which financial statements are required to be delivered to the Lenders pursuant to Section 5.03(b) or (c), as the case may be,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(ii) all expenses and other proper charges incurred in connection with the operation and maintenance of such Asset for the fiscal quarter of the Parent most recently ended for which financial statements are required to be delivered to the Lenders pursuant to Section 5.03(b) or (c), as the case may be, including management fees, repairs, real estate and chattel taxes and bad debt expenses, but before payment or provision for debt service charges, income taxes and depreciation, amortization and other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cash expenses, all as determined in accordance with GAAP, and (b) with respect to any Joint Venture Asset, (i) the JV Pro Rata Share of the total rental revenue and other income from the operation of such Asset for the fiscal quarter of the Parent most recently ended for which financial statements are required to be delivered to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31" w:name="page32"/>
    <w:bookmarkEnd w:id="31"/>
    <w:p>
      <w:pPr>
        <w:jc w:val="both"/>
        <w:spacing w:after="0" w:line="220" w:lineRule="exact"/>
        <w:rPr>
          <w:sz w:val="20"/>
          <w:szCs w:val="20"/>
          <w:color w:val="auto"/>
        </w:rPr>
      </w:pPr>
      <w:r>
        <w:rPr>
          <w:rFonts w:ascii="Times New Roman" w:cs="Times New Roman" w:eastAsia="Times New Roman" w:hAnsi="Times New Roman"/>
          <w:sz w:val="19"/>
          <w:szCs w:val="19"/>
          <w:color w:val="auto"/>
        </w:rPr>
        <w:t xml:space="preserve">Lenders pursuant to Section 5.03(b) or (c), as the case may be,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(ii) the JV Pro Rata Share of all expenses and other proper charges incurred by the applicable Joint Venture in connection with the operation and maintenance of such Asset for the fiscal quarter of the Parent most recently ended for which financial statements are required to be delivered to the Lenders pursuant to Section 5.03(b) or (c), as the case may be, including management fees, repairs, real estate and chattel taxes and bad debt expenses, but before payment or provision for debt service charges, income taxes and depreciation, amortization and other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cash expenses, all as determined in accordance with GAAP;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for purposes of this definition, in the case of any acquisition or disposition of any direct or indirect interest in any Asset (including through the acquisition or disposition of Equity Interests) by the Parent or any of its Subsidiaries during such most recently ended fiscal quarter, Net Operating Income will be adjusted (1) in the case of an acquisition, by adding thereto an amount equal to the acquired Asset’s actual Net Operating Income (computed as if such Asset was owned by the Parent or one of its Subsidiaries for the entirety of such most recently ended fiscal quarter) generated during the portion of such fiscal quarter that such Asset was not owned by the Parent or such Subsidiary, and (2) in the case of a disposition, by subtracting therefrom an amount equal to the actual Net Operating Income generated by the Asset so disposed of during such fiscal quarter. Straight line rent leveling adjustments (excluding adjustments for rental credits (i.e., free rent)) required under GAAP, and amortization of lease inducements into rental income, shall be disregarded in determinations of rents and other revenues in clause (a)(i) above.</w:t>
      </w:r>
    </w:p>
    <w:p>
      <w:pPr>
        <w:spacing w:after="0" w:line="160" w:lineRule="exact"/>
        <w:rPr>
          <w:sz w:val="20"/>
          <w:szCs w:val="20"/>
          <w:color w:val="auto"/>
        </w:rPr>
      </w:pPr>
    </w:p>
    <w:p>
      <w:pPr>
        <w:ind w:left="1500"/>
        <w:spacing w:after="0" w:line="219"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Non</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b w:val="1"/>
          <w:bCs w:val="1"/>
          <w:i w:val="1"/>
          <w:iCs w:val="1"/>
          <w:color w:val="auto"/>
        </w:rPr>
        <w:t>Consenting Lender</w:t>
      </w:r>
      <w:r>
        <w:rPr>
          <w:rFonts w:ascii="Times New Roman" w:cs="Times New Roman" w:eastAsia="Times New Roman" w:hAnsi="Times New Roman"/>
          <w:sz w:val="19"/>
          <w:szCs w:val="19"/>
          <w:color w:val="auto"/>
        </w:rPr>
        <w:t>” has the meaning specified in Section 9.01(b).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1221740</wp:posOffset>
            </wp:positionH>
            <wp:positionV relativeFrom="paragraph">
              <wp:posOffset>-46355</wp:posOffset>
            </wp:positionV>
            <wp:extent cx="6604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040" cy="40005"/>
                    </a:xfrm>
                    <a:prstGeom prst="rect">
                      <a:avLst/>
                    </a:prstGeom>
                    <a:noFill/>
                  </pic:spPr>
                </pic:pic>
              </a:graphicData>
            </a:graphic>
          </wp:anchor>
        </w:drawing>
      </w:r>
    </w:p>
    <w:p>
      <w:pPr>
        <w:spacing w:after="0" w:line="207" w:lineRule="exact"/>
        <w:rPr>
          <w:sz w:val="20"/>
          <w:szCs w:val="20"/>
          <w:color w:val="auto"/>
        </w:rPr>
      </w:pPr>
    </w:p>
    <w:p>
      <w:pPr>
        <w:ind w:left="1500"/>
        <w:spacing w:after="0" w:line="219"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Non</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b w:val="1"/>
          <w:bCs w:val="1"/>
          <w:i w:val="1"/>
          <w:iCs w:val="1"/>
          <w:color w:val="auto"/>
        </w:rPr>
        <w:t>Defaulting Lender”</w:t>
      </w:r>
      <w:r>
        <w:rPr>
          <w:rFonts w:ascii="Times New Roman" w:cs="Times New Roman" w:eastAsia="Times New Roman" w:hAnsi="Times New Roman"/>
          <w:sz w:val="19"/>
          <w:szCs w:val="19"/>
          <w:color w:val="auto"/>
        </w:rPr>
        <w:t xml:space="preserve"> means, at any time, a Lender that is not a Defaulting Lender or a Potential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1221740</wp:posOffset>
            </wp:positionH>
            <wp:positionV relativeFrom="paragraph">
              <wp:posOffset>-46355</wp:posOffset>
            </wp:positionV>
            <wp:extent cx="6604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040" cy="40005"/>
                    </a:xfrm>
                    <a:prstGeom prst="rect">
                      <a:avLst/>
                    </a:prstGeom>
                    <a:noFill/>
                  </pic:spPr>
                </pic:pic>
              </a:graphicData>
            </a:graphic>
          </wp:anchor>
        </w:drawing>
      </w:r>
    </w:p>
    <w:p>
      <w:pPr>
        <w:spacing w:after="0" w:line="207" w:lineRule="exact"/>
        <w:rPr>
          <w:sz w:val="20"/>
          <w:szCs w:val="20"/>
          <w:color w:val="auto"/>
        </w:rPr>
      </w:pPr>
    </w:p>
    <w:p>
      <w:pPr>
        <w:jc w:val="both"/>
        <w:ind w:firstLine="1497"/>
        <w:spacing w:after="0" w:line="244"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Non</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b w:val="1"/>
          <w:bCs w:val="1"/>
          <w:i w:val="1"/>
          <w:iCs w:val="1"/>
          <w:color w:val="auto"/>
        </w:rPr>
        <w:t>Recourse Debt</w:t>
      </w:r>
      <w:r>
        <w:rPr>
          <w:rFonts w:ascii="Times New Roman" w:cs="Times New Roman" w:eastAsia="Times New Roman" w:hAnsi="Times New Roman"/>
          <w:sz w:val="19"/>
          <w:szCs w:val="19"/>
          <w:color w:val="auto"/>
        </w:rPr>
        <w:t>” means Debt for borrowed money with respect to which recourse for payment is limited to (a) any building(s) or parcel(s) of real property and any related assets encumbered by a Lien securing such Debt for borrowed money and/or (b) (i) the general credit of the Property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Level Subsidiary that has incurred such Debt for borrowed money, and/or the direct Equity Interests therein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1221740</wp:posOffset>
            </wp:positionH>
            <wp:positionV relativeFrom="paragraph">
              <wp:posOffset>-370840</wp:posOffset>
            </wp:positionV>
            <wp:extent cx="6604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040" cy="40005"/>
                    </a:xfrm>
                    <a:prstGeom prst="rect">
                      <a:avLst/>
                    </a:prstGeom>
                    <a:noFill/>
                  </pic:spPr>
                </pic:pic>
              </a:graphicData>
            </a:graphic>
          </wp:anchor>
        </w:drawing>
      </w:r>
    </w:p>
    <w:p>
      <w:pPr>
        <w:jc w:val="both"/>
        <w:ind w:firstLine="8"/>
        <w:spacing w:after="0" w:line="223" w:lineRule="exact"/>
        <w:tabs>
          <w:tab w:leader="none" w:pos="291"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general credit of the immediate parent entity of such Property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Level Subsidiary,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parent entity’s assets consist solely of Equity Interests in such Property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Level Subsidiary, it being understood that the instruments governing such Debt may include customary carve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outs to such limited recourse (any such customary carve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outs or agreements limited to such customary carve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outs, being a “</w:t>
      </w:r>
      <w:r>
        <w:rPr>
          <w:rFonts w:ascii="Times New Roman" w:cs="Times New Roman" w:eastAsia="Times New Roman" w:hAnsi="Times New Roman"/>
          <w:sz w:val="19"/>
          <w:szCs w:val="19"/>
          <w:b w:val="1"/>
          <w:bCs w:val="1"/>
          <w:i w:val="1"/>
          <w:iCs w:val="1"/>
          <w:color w:val="auto"/>
        </w:rPr>
        <w:t>Customary Carve</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b w:val="1"/>
          <w:bCs w:val="1"/>
          <w:i w:val="1"/>
          <w:iCs w:val="1"/>
          <w:color w:val="auto"/>
        </w:rPr>
        <w:t>Out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such as, for example, personal recourse to the Parent or any Subsidiary of the Parent for fraud, misrepresentation, misapplication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misappropriation of cash, waste, environmental claims, damage to properties,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payment of taxes or other liens despite the existence of sufficient cash flow, interference with the enforcement of loan documents upon maturity or acceleration, voluntary or involuntary bankruptcy filings, violation of loan document prohibitions against transfer of properties or ownership interests therein and liabilities and other circumstances customarily excluded by lenders (or by the applicable lender in respect of such Debt) from exculpation provisions and/or included in separate indemnification and/or guaranty agreements in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recourse financings of real estate (including, without limitation, environmental indemnification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6904990</wp:posOffset>
            </wp:positionH>
            <wp:positionV relativeFrom="paragraph">
              <wp:posOffset>-1062355</wp:posOffset>
            </wp:positionV>
            <wp:extent cx="66040"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040" cy="40005"/>
                    </a:xfrm>
                    <a:prstGeom prst="rect">
                      <a:avLst/>
                    </a:prstGeom>
                    <a:noFill/>
                  </pic:spPr>
                </pic:pic>
              </a:graphicData>
            </a:graphic>
          </wp:anchor>
        </w:drawing>
      </w:r>
    </w:p>
    <w:p>
      <w:pPr>
        <w:spacing w:after="0" w:line="170"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Note</w:t>
      </w:r>
      <w:r>
        <w:rPr>
          <w:rFonts w:ascii="Times New Roman" w:cs="Times New Roman" w:eastAsia="Times New Roman" w:hAnsi="Times New Roman"/>
          <w:sz w:val="19"/>
          <w:szCs w:val="19"/>
          <w:color w:val="auto"/>
        </w:rPr>
        <w:t>” means a promissory note of the Borrower payable to the order of any Lender, in substantially the form of Exhibit A hereto evidencing the aggregate indebtedness of the Borrower to such Lender resulting from the Advances made by such Lender, in each case as such instrument may be amended, modified, renewed, restated, replaced or extended from time to time.</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Notice of Borrowing</w:t>
      </w:r>
      <w:r>
        <w:rPr>
          <w:rFonts w:ascii="Times New Roman" w:cs="Times New Roman" w:eastAsia="Times New Roman" w:hAnsi="Times New Roman"/>
          <w:sz w:val="19"/>
          <w:szCs w:val="19"/>
          <w:color w:val="auto"/>
        </w:rPr>
        <w:t>” has the meaning specified in Section 2.02(a).</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NPL</w:t>
      </w:r>
      <w:r>
        <w:rPr>
          <w:rFonts w:ascii="Times New Roman" w:cs="Times New Roman" w:eastAsia="Times New Roman" w:hAnsi="Times New Roman"/>
          <w:sz w:val="19"/>
          <w:szCs w:val="19"/>
          <w:color w:val="auto"/>
        </w:rPr>
        <w:t>” means the National Priorities List under CERCLA.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32" w:name="page33"/>
    <w:bookmarkEnd w:id="32"/>
    <w:p>
      <w:pPr>
        <w:jc w:val="both"/>
        <w:ind w:firstLine="1497"/>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Obligation</w:t>
      </w:r>
      <w:r>
        <w:rPr>
          <w:rFonts w:ascii="Times New Roman" w:cs="Times New Roman" w:eastAsia="Times New Roman" w:hAnsi="Times New Roman"/>
          <w:sz w:val="19"/>
          <w:szCs w:val="19"/>
          <w:color w:val="auto"/>
        </w:rPr>
        <w:t xml:space="preserve">” means, with respect to any Person, any payment, performance or other obligation of such Person of any kind, including, without limitation, any liability of such Person on any claim, whether or not the right of any creditor to payment in respect of such claim is reduced to judgment, liquidated, unliquidated, fixed, contingent, matured, disputed, undisputed, legal, equitable, secured or unsecured, and whether or not such claim is discharged, stayed or otherwise affected by any proceeding referred to in Section 6.01(f). Without limiting the generality of the foregoing, the Obligations of any Loan Party under the Loan Documents include (a) the obligation to pay principal, interest, charges, expenses, fees, attorneys’ fees and disbursements, indemnities and other amounts payable by such Loan Party under any Loan Document and (b) the obligation of such Loan Party to reimburse any amount in respect of any of the foregoing that any Lender, in its sole discretion, may elect to pay or advance on behalf of such Loan Party in accordance with the Loan Documents;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in no event shall the Obligations of the Loan Parties under the Loan Documents include any Excluded Swap Obligations. For the avoidance of doubt, the Obligation of any Lender or other Person that has received an Erroneous Payment (or any portion thereof) shall include the obligation of such Lender or other Person to pay any corresponding Erroneous Payment Return Deficiency pursuant to Section 8.09(d) and any Erroneous Payment Subrogation Rights pursuant to Section 8.09(d).</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OECD</w:t>
      </w:r>
      <w:r>
        <w:rPr>
          <w:rFonts w:ascii="Times New Roman" w:cs="Times New Roman" w:eastAsia="Times New Roman" w:hAnsi="Times New Roman"/>
          <w:sz w:val="19"/>
          <w:szCs w:val="19"/>
          <w:color w:val="auto"/>
        </w:rPr>
        <w:t>” means the Organization for Economic Cooperation and Development.</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OFAC</w:t>
      </w:r>
      <w:r>
        <w:rPr>
          <w:rFonts w:ascii="Times New Roman" w:cs="Times New Roman" w:eastAsia="Times New Roman" w:hAnsi="Times New Roman"/>
          <w:sz w:val="19"/>
          <w:szCs w:val="19"/>
          <w:color w:val="auto"/>
        </w:rPr>
        <w:t>” has the meaning specified in Section 4.01(x).</w:t>
      </w:r>
    </w:p>
    <w:p>
      <w:pPr>
        <w:spacing w:after="0" w:line="214"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Office Asset</w:t>
      </w:r>
      <w:r>
        <w:rPr>
          <w:rFonts w:ascii="Times New Roman" w:cs="Times New Roman" w:eastAsia="Times New Roman" w:hAnsi="Times New Roman"/>
          <w:sz w:val="19"/>
          <w:szCs w:val="19"/>
          <w:color w:val="auto"/>
        </w:rPr>
        <w:t>” means Real Property and related personal property (other than any Joint Venture Asset) that operates or is intended to be operated as an office building, including, without limitation, courthouses. For the avoidance of doubt, (a) Development Assets shall not be classified as Office Assets hereunder until the date indicated in the last sentence of the definition of Development Asset herein, (b) Redevelopment Assets shall not be classified as Office Assets hereunder until the date indicated in the last sentence of the definition of Redevelopment Asset herein and (c) Office Assets may include components (including, without limitation, retail and parking) that are ancillary to the use of the building as an office building.</w:t>
      </w:r>
    </w:p>
    <w:p>
      <w:pPr>
        <w:spacing w:after="0" w:line="179"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Other Connection Taxes</w:t>
      </w:r>
      <w:r>
        <w:rPr>
          <w:rFonts w:ascii="Times New Roman" w:cs="Times New Roman" w:eastAsia="Times New Roman" w:hAnsi="Times New Roman"/>
          <w:sz w:val="19"/>
          <w:szCs w:val="19"/>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any Obligation under, received payments under, received or perfected a security interest under, engaged in any other transaction pursuant to or enforced any Loan Document, or sold or pledged or assigned or granted an interest in any Advance or Loan Document).</w:t>
      </w:r>
    </w:p>
    <w:p>
      <w:pPr>
        <w:spacing w:after="0" w:line="177"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Other Taxes</w:t>
      </w:r>
      <w:r>
        <w:rPr>
          <w:rFonts w:ascii="Times New Roman" w:cs="Times New Roman" w:eastAsia="Times New Roman" w:hAnsi="Times New Roman"/>
          <w:sz w:val="19"/>
          <w:szCs w:val="19"/>
          <w:color w:val="auto"/>
        </w:rPr>
        <w:t>” means all present or future stamp, court or documentary, excise, property, intangible, recording, filing or similar Taxes that arise from any payment made under, from the execution, delivery, performance, enforcement, recordation, filing or registration of, from the receipt or perfection of a security interest under, or otherwise with respect to, any Loan Document, except any such Taxes that are Other Connection Taxes imposed with respect to an assignment (other than an assignment made pursuant to Section 2.19 or Section 9.01(b)).</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Parent</w:t>
      </w:r>
      <w:r>
        <w:rPr>
          <w:rFonts w:ascii="Times New Roman" w:cs="Times New Roman" w:eastAsia="Times New Roman" w:hAnsi="Times New Roman"/>
          <w:sz w:val="19"/>
          <w:szCs w:val="19"/>
          <w:color w:val="auto"/>
        </w:rPr>
        <w:t>” has the meaning specified in the recital of parties to this Agreement.</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Parent Company</w:t>
      </w:r>
      <w:r>
        <w:rPr>
          <w:rFonts w:ascii="Times New Roman" w:cs="Times New Roman" w:eastAsia="Times New Roman" w:hAnsi="Times New Roman"/>
          <w:sz w:val="19"/>
          <w:szCs w:val="19"/>
          <w:color w:val="auto"/>
        </w:rPr>
        <w:t>” means, with respect to a Lender, the bank holding company (as defined in Federal Reserve Board Regulation Y), if any, of such Lender, and/or any Person owning, beneficially or of record, directly or indirectly, a majority of the shares of such Lender.</w:t>
      </w:r>
    </w:p>
    <w:p>
      <w:pPr>
        <w:spacing w:after="0" w:line="170"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Pari Passu Obligations</w:t>
      </w:r>
      <w:r>
        <w:rPr>
          <w:rFonts w:ascii="Times New Roman" w:cs="Times New Roman" w:eastAsia="Times New Roman" w:hAnsi="Times New Roman"/>
          <w:sz w:val="19"/>
          <w:szCs w:val="19"/>
          <w:color w:val="auto"/>
        </w:rPr>
        <w:t>” means Unsecured Debt (exclusive of the Obligations of any Loan Party under the Loan Documents) of any Borrower Party owing to Persons that are not Loan Parties.</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has the meaning specified in Section 9.07(g).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33" w:name="page34"/>
    <w:bookmarkEnd w:id="33"/>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Participant Register</w:t>
      </w:r>
      <w:r>
        <w:rPr>
          <w:rFonts w:ascii="Times New Roman" w:cs="Times New Roman" w:eastAsia="Times New Roman" w:hAnsi="Times New Roman"/>
          <w:sz w:val="19"/>
          <w:szCs w:val="19"/>
          <w:color w:val="auto"/>
        </w:rPr>
        <w:t>” has the meaning specified in Section 9.07(g).</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Patriot Act</w:t>
      </w:r>
      <w:r>
        <w:rPr>
          <w:rFonts w:ascii="Times New Roman" w:cs="Times New Roman" w:eastAsia="Times New Roman" w:hAnsi="Times New Roman"/>
          <w:sz w:val="19"/>
          <w:szCs w:val="19"/>
          <w:color w:val="auto"/>
        </w:rPr>
        <w:t>” means the USA Patriot Act (Title III of Pub. L. 107-56 (signed into law October 26, 2001)), as amended.</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Payment Recipient</w:t>
      </w:r>
      <w:r>
        <w:rPr>
          <w:rFonts w:ascii="Times New Roman" w:cs="Times New Roman" w:eastAsia="Times New Roman" w:hAnsi="Times New Roman"/>
          <w:sz w:val="19"/>
          <w:szCs w:val="19"/>
          <w:color w:val="auto"/>
        </w:rPr>
        <w:t>” has the meaning specified in Section 8.09(a).</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PBGC</w:t>
      </w:r>
      <w:r>
        <w:rPr>
          <w:rFonts w:ascii="Times New Roman" w:cs="Times New Roman" w:eastAsia="Times New Roman" w:hAnsi="Times New Roman"/>
          <w:sz w:val="19"/>
          <w:szCs w:val="19"/>
          <w:color w:val="auto"/>
        </w:rPr>
        <w:t>” means the Pension Benefit Guaranty Corporation (or any successor).</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Periodic Term SOFR Determination Day</w:t>
      </w:r>
      <w:r>
        <w:rPr>
          <w:rFonts w:ascii="Times New Roman" w:cs="Times New Roman" w:eastAsia="Times New Roman" w:hAnsi="Times New Roman"/>
          <w:sz w:val="19"/>
          <w:szCs w:val="19"/>
          <w:color w:val="auto"/>
        </w:rPr>
        <w:t>” has the meaning set forth in the definition of Term SOFR.</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Permitted Liens</w:t>
      </w:r>
      <w:r>
        <w:rPr>
          <w:rFonts w:ascii="Times New Roman" w:cs="Times New Roman" w:eastAsia="Times New Roman" w:hAnsi="Times New Roman"/>
          <w:sz w:val="19"/>
          <w:szCs w:val="19"/>
          <w:color w:val="auto"/>
        </w:rPr>
        <w:t xml:space="preserve">” means each of the following: (a) Liens for taxes, assessments and governmental charges or levies that are (i) not yet due and delinquent or thereafter can be paid without penalty, or (ii) the subject of a Good Faith Contest, or (iii) on an asset whose contribution to Total Asset Value is either less than the outstanding principal balance of Secured Debt encumbering such asset or does not exceed such principal balance by more than five percent (5%) (it being agreed, however, that in such case, for so long as such Lien described in this clause (a)(iii) exists, the Asset Value of such asset (and any other asset owned by the same Subsidiary) shall be deemed to be zero); (b) Liens imposed by law, such as materialmen’s, mechanics’, carriers’, workmen’s and repairmen’s Liens and other similar Liens arising in the ordinary course of business securing payment of obligations that are not overdue for a period of more than 60 days or are the subject of a Good Faith Contest;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however</w:t>
      </w:r>
      <w:r>
        <w:rPr>
          <w:rFonts w:ascii="Times New Roman" w:cs="Times New Roman" w:eastAsia="Times New Roman" w:hAnsi="Times New Roman"/>
          <w:sz w:val="19"/>
          <w:szCs w:val="19"/>
          <w:color w:val="auto"/>
        </w:rPr>
        <w:t>, that if any Lien described in this clause (b) materially and adversely affects the use of the asset to which such Lien relates,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Asset Value of such asset shall be deemed to be zero; (c) pledges or deposits to secure obligations under workers’ compensation or unemployment laws or similar legislation or to secure public or statutory obligations; (d) easements, zoning restrictions, rights of way and other encumbrances on title to real property that do not render title to the property encumbered thereby unmarketable or materially adversely affect the use or value of such property in the business of the Borrower and its Subsidiaries; (e) Tenancy Leases; (f) deposits to secure trade contracts (other than for Debt), statutory obligations, surety and appeal bonds, performance bonds and other obligations of a like nature incurred in the ordinary course of business; and (g) provisions contained in documentation evidencing or governing Pari Passu Obligations which provisions require that Pari Passu Obligations be secured on an “equal and ratable basis” to the extent that the Obligations are secured.</w:t>
      </w:r>
    </w:p>
    <w:p>
      <w:pPr>
        <w:spacing w:after="0" w:line="193"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Person</w:t>
      </w:r>
      <w:r>
        <w:rPr>
          <w:rFonts w:ascii="Times New Roman" w:cs="Times New Roman" w:eastAsia="Times New Roman" w:hAnsi="Times New Roman"/>
          <w:sz w:val="19"/>
          <w:szCs w:val="19"/>
          <w:color w:val="auto"/>
        </w:rPr>
        <w:t>” means an individual, partnership, corporation (including a business trust), limited liability company, joint stock company, trust, unincorporated association, joint venture or other entity, or a government or any political subdivision or agency thereof.</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means a Single Employer Plan or a Multiple Employer Plan.</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PNC</w:t>
      </w:r>
      <w:r>
        <w:rPr>
          <w:rFonts w:ascii="Times New Roman" w:cs="Times New Roman" w:eastAsia="Times New Roman" w:hAnsi="Times New Roman"/>
          <w:sz w:val="19"/>
          <w:szCs w:val="19"/>
          <w:color w:val="auto"/>
        </w:rPr>
        <w:t>” has the meaning specified in the recital of parties to this Agreement.</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PNCCM</w:t>
      </w:r>
      <w:r>
        <w:rPr>
          <w:rFonts w:ascii="Times New Roman" w:cs="Times New Roman" w:eastAsia="Times New Roman" w:hAnsi="Times New Roman"/>
          <w:sz w:val="19"/>
          <w:szCs w:val="19"/>
          <w:color w:val="auto"/>
        </w:rPr>
        <w:t>” has the meaning specified in the recital of parties to this Agreement.</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Post Petition Interest</w:t>
      </w:r>
      <w:r>
        <w:rPr>
          <w:rFonts w:ascii="Times New Roman" w:cs="Times New Roman" w:eastAsia="Times New Roman" w:hAnsi="Times New Roman"/>
          <w:sz w:val="19"/>
          <w:szCs w:val="19"/>
          <w:color w:val="auto"/>
        </w:rPr>
        <w:t>” has the meaning specified in Section 7.07(b).</w:t>
      </w:r>
    </w:p>
    <w:p>
      <w:pPr>
        <w:spacing w:after="0" w:line="214"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Potential Defaulting Lender</w:t>
      </w:r>
      <w:r>
        <w:rPr>
          <w:rFonts w:ascii="Times New Roman" w:cs="Times New Roman" w:eastAsia="Times New Roman" w:hAnsi="Times New Roman"/>
          <w:sz w:val="19"/>
          <w:szCs w:val="19"/>
          <w:color w:val="auto"/>
        </w:rPr>
        <w:t>” means, at any time, (i) any Lender with respect to which an event of the kind referred to in the definition of “Lender Insolvency Event” has occurred and is continuing in respect of any Subsidiary of such Lender, (ii) any Lender that has notified, or whose Parent Company or a Subsidiary thereof has notified, the Administrative Agent or the Borrower in writing, or has stated publicly, that it does not intend to comply with its funding obligations under any other loan agreement or credit agreement or other similar agreement, unless such writing or statement states that such position is based on such Lender’s determination that one or more conditions precedent to funding cannot be satisfied (which conditions precedent, together with the applicable default, if any, will be specifically identified in such writing or public statement),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34" w:name="page35"/>
    <w:bookmarkEnd w:id="34"/>
    <w:p>
      <w:pPr>
        <w:jc w:val="both"/>
        <w:spacing w:after="0" w:line="234" w:lineRule="exact"/>
        <w:rPr>
          <w:sz w:val="20"/>
          <w:szCs w:val="20"/>
          <w:color w:val="auto"/>
        </w:rPr>
      </w:pPr>
      <w:r>
        <w:rPr>
          <w:rFonts w:ascii="Times New Roman" w:cs="Times New Roman" w:eastAsia="Times New Roman" w:hAnsi="Times New Roman"/>
          <w:sz w:val="19"/>
          <w:szCs w:val="19"/>
          <w:color w:val="auto"/>
        </w:rPr>
        <w:t>or (iii) any Lender that has, or whose Parent Company has, a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investment grade rating from Moody’s or S&amp;P or another nationally recognized rating agency. Any determination by the Administrative Agent that a Lender is a Potential Defaulting Lender under any of clauses (i) through (iii) above will be conclusive and binding absent manifest error, and such Lender will be deemed a Potential Defaulting Lender (subject to Section 2.18(d)) upon notification of such determination by the Administrative Agent to the Borrower and the Lenders.</w:t>
      </w:r>
    </w:p>
    <w:p>
      <w:pPr>
        <w:spacing w:after="0" w:line="185"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Preferred Interests</w:t>
      </w:r>
      <w:r>
        <w:rPr>
          <w:rFonts w:ascii="Times New Roman" w:cs="Times New Roman" w:eastAsia="Times New Roman" w:hAnsi="Times New Roman"/>
          <w:sz w:val="19"/>
          <w:szCs w:val="19"/>
          <w:color w:val="auto"/>
        </w:rPr>
        <w:t>” means, with respect to any Person, Equity Interests issued by such Person that are entitled to a preference or priority over any other Equity Interests issued by such Person upon any distribution of such Person’s property and assets, whether by dividend or upon liquidation.</w:t>
      </w:r>
    </w:p>
    <w:p>
      <w:pPr>
        <w:spacing w:after="0" w:line="170"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Principal Office</w:t>
      </w:r>
      <w:r>
        <w:rPr>
          <w:rFonts w:ascii="Times New Roman" w:cs="Times New Roman" w:eastAsia="Times New Roman" w:hAnsi="Times New Roman"/>
          <w:sz w:val="19"/>
          <w:szCs w:val="19"/>
          <w:color w:val="auto"/>
        </w:rPr>
        <w:t>” means the main banking office of the Administrative Agent in Pittsburgh, Pennsylvania, or such other office located in the United States designated by the Administrative Agent.</w:t>
      </w:r>
    </w:p>
    <w:p>
      <w:pPr>
        <w:spacing w:after="0" w:line="129" w:lineRule="exact"/>
        <w:rPr>
          <w:sz w:val="20"/>
          <w:szCs w:val="20"/>
          <w:color w:val="auto"/>
        </w:rPr>
      </w:pPr>
    </w:p>
    <w:p>
      <w:pPr>
        <w:jc w:val="both"/>
        <w:ind w:firstLine="1497"/>
        <w:spacing w:after="0" w:line="241"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Property</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b w:val="1"/>
          <w:bCs w:val="1"/>
          <w:i w:val="1"/>
          <w:iCs w:val="1"/>
          <w:color w:val="auto"/>
        </w:rPr>
        <w:t>Level Subsidiary</w:t>
      </w:r>
      <w:r>
        <w:rPr>
          <w:rFonts w:ascii="Times New Roman" w:cs="Times New Roman" w:eastAsia="Times New Roman" w:hAnsi="Times New Roman"/>
          <w:sz w:val="19"/>
          <w:szCs w:val="19"/>
          <w:color w:val="auto"/>
        </w:rPr>
        <w:t>” means any Subsidiary of the Borrower or any Joint Venture that holds a direct fee or leasehold interest in any single building (or group of related buildings, including, without limitation, buildings pooled for purposes of a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Recourse Debt financing) or parcel (or group of related parcels, including, without limitation, parcels pooled for purposes of a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Recourse Debt financing) of real property and related assets and not in any other building or parcel of real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-518160</wp:posOffset>
            </wp:positionV>
            <wp:extent cx="66040"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040" cy="40005"/>
                    </a:xfrm>
                    <a:prstGeom prst="rect">
                      <a:avLst/>
                    </a:prstGeom>
                    <a:noFill/>
                  </pic:spPr>
                </pic:pic>
              </a:graphicData>
            </a:graphic>
          </wp:anchor>
        </w:drawing>
      </w:r>
    </w:p>
    <w:p>
      <w:pPr>
        <w:spacing w:after="0" w:line="16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Proposed Increased Commitment</w:t>
      </w:r>
      <w:r>
        <w:rPr>
          <w:rFonts w:ascii="Times New Roman" w:cs="Times New Roman" w:eastAsia="Times New Roman" w:hAnsi="Times New Roman"/>
          <w:sz w:val="19"/>
          <w:szCs w:val="19"/>
          <w:color w:val="auto"/>
        </w:rPr>
        <w:t>” has the meaning specified in Section 2.17(b).</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Proposed Modification</w:t>
      </w:r>
      <w:r>
        <w:rPr>
          <w:rFonts w:ascii="Times New Roman" w:cs="Times New Roman" w:eastAsia="Times New Roman" w:hAnsi="Times New Roman"/>
          <w:sz w:val="19"/>
          <w:szCs w:val="19"/>
          <w:color w:val="auto"/>
        </w:rPr>
        <w:t>” has the meaning specified in Section 9.01(e).</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Pro Rata Share</w:t>
      </w:r>
      <w:r>
        <w:rPr>
          <w:rFonts w:ascii="Times New Roman" w:cs="Times New Roman" w:eastAsia="Times New Roman" w:hAnsi="Times New Roman"/>
          <w:sz w:val="19"/>
          <w:szCs w:val="19"/>
          <w:color w:val="auto"/>
        </w:rPr>
        <w:t xml:space="preserve">” of any amount means, with respect to any Lender at any time, the product of such amount </w:t>
      </w:r>
      <w:r>
        <w:rPr>
          <w:rFonts w:ascii="Times New Roman" w:cs="Times New Roman" w:eastAsia="Times New Roman" w:hAnsi="Times New Roman"/>
          <w:sz w:val="19"/>
          <w:szCs w:val="19"/>
          <w:i w:val="1"/>
          <w:iCs w:val="1"/>
          <w:color w:val="auto"/>
        </w:rPr>
        <w:t>times</w:t>
      </w:r>
      <w:r>
        <w:rPr>
          <w:rFonts w:ascii="Times New Roman" w:cs="Times New Roman" w:eastAsia="Times New Roman" w:hAnsi="Times New Roman"/>
          <w:sz w:val="19"/>
          <w:szCs w:val="19"/>
          <w:color w:val="auto"/>
        </w:rPr>
        <w:t xml:space="preserve"> a fraction the numerator of which is the aggregate amount of such Lender’s Advances outstanding at such time and the denominator of which is the aggregate Facility Exposure at such time.</w:t>
      </w:r>
    </w:p>
    <w:p>
      <w:pPr>
        <w:spacing w:after="0" w:line="170" w:lineRule="exact"/>
        <w:rPr>
          <w:sz w:val="20"/>
          <w:szCs w:val="20"/>
          <w:color w:val="auto"/>
        </w:rPr>
      </w:pPr>
    </w:p>
    <w:p>
      <w:pPr>
        <w:jc w:val="both"/>
        <w:ind w:right="20"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PTE</w:t>
      </w:r>
      <w:r>
        <w:rPr>
          <w:rFonts w:ascii="Times New Roman" w:cs="Times New Roman" w:eastAsia="Times New Roman" w:hAnsi="Times New Roman"/>
          <w:sz w:val="19"/>
          <w:szCs w:val="19"/>
          <w:color w:val="auto"/>
        </w:rPr>
        <w:t>” means a prohibited transaction class exemption issued by the U.S. Department of Labor, as any such exemption may be amended from time to time.</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QFC</w:t>
      </w:r>
      <w:r>
        <w:rPr>
          <w:rFonts w:ascii="Times New Roman" w:cs="Times New Roman" w:eastAsia="Times New Roman" w:hAnsi="Times New Roman"/>
          <w:sz w:val="19"/>
          <w:szCs w:val="19"/>
          <w:color w:val="auto"/>
        </w:rPr>
        <w:t>” has the meaning specified in Section 9.21(b).</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QFC Credit Support</w:t>
      </w:r>
      <w:r>
        <w:rPr>
          <w:rFonts w:ascii="Times New Roman" w:cs="Times New Roman" w:eastAsia="Times New Roman" w:hAnsi="Times New Roman"/>
          <w:sz w:val="19"/>
          <w:szCs w:val="19"/>
          <w:color w:val="auto"/>
        </w:rPr>
        <w:t>” has the meaning specified in Section 9.21.</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Qualified ECP Guarantor</w:t>
      </w:r>
      <w:r>
        <w:rPr>
          <w:rFonts w:ascii="Times New Roman" w:cs="Times New Roman" w:eastAsia="Times New Roman" w:hAnsi="Times New Roman"/>
          <w:sz w:val="19"/>
          <w:szCs w:val="19"/>
          <w:color w:val="auto"/>
        </w:rPr>
        <w:t>” means, in respect of any Swap Obligation, each Guarantor that has total assets exceeding $10,000,000 at the time such Swap Obligation is incurred or such other Person as constitutes an ECP under the Commodity Exchange Act or any regulations promulgated thereunder.</w:t>
      </w:r>
    </w:p>
    <w:p>
      <w:pPr>
        <w:spacing w:after="0" w:line="170"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Qualified Ground Lease</w:t>
      </w:r>
      <w:r>
        <w:rPr>
          <w:rFonts w:ascii="Times New Roman" w:cs="Times New Roman" w:eastAsia="Times New Roman" w:hAnsi="Times New Roman"/>
          <w:sz w:val="19"/>
          <w:szCs w:val="19"/>
          <w:color w:val="auto"/>
        </w:rPr>
        <w:t>” means a ground lease of Real Property containing the following terms and conditions: (a) a remaining term (inclusive of any unexercised extension options as to which there are no unsatisfied conditions precedent, other than the giving of notice of exercise) of 30 years or more from the Closing Date; (b) the right of the lessee to mortgage and encumber its interest in the leased property without the consent of the lessor; (c)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foreclosures, and fails to do so; (d) reasonable transferability of the lessee’s interest under such lease, including the ability to sublease; and (e) such other rights customarily required by mortgagees making a loan secured by the interest of the holder of a leasehold estate demised pursuant to a ground lease.</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Ratings Grid Election</w:t>
      </w:r>
      <w:r>
        <w:rPr>
          <w:rFonts w:ascii="Times New Roman" w:cs="Times New Roman" w:eastAsia="Times New Roman" w:hAnsi="Times New Roman"/>
          <w:sz w:val="19"/>
          <w:szCs w:val="19"/>
          <w:color w:val="auto"/>
        </w:rPr>
        <w:t>” has the meaning specified in the definition of “Applicable Margin”.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35" w:name="page36"/>
    <w:bookmarkEnd w:id="35"/>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Real Property</w:t>
      </w:r>
      <w:r>
        <w:rPr>
          <w:rFonts w:ascii="Times New Roman" w:cs="Times New Roman" w:eastAsia="Times New Roman" w:hAnsi="Times New Roman"/>
          <w:sz w:val="19"/>
          <w:szCs w:val="19"/>
          <w:color w:val="auto"/>
        </w:rPr>
        <w:t>” means all right, title and interest of the Borrower and each of its Subsidiaries in and to any land and any improvements and fixtures located thereon.</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Recipient</w:t>
      </w:r>
      <w:r>
        <w:rPr>
          <w:rFonts w:ascii="Times New Roman" w:cs="Times New Roman" w:eastAsia="Times New Roman" w:hAnsi="Times New Roman"/>
          <w:sz w:val="19"/>
          <w:szCs w:val="19"/>
          <w:color w:val="auto"/>
        </w:rPr>
        <w:t>” means (a) the Administrative Agent or (b) any Lender.</w:t>
      </w:r>
    </w:p>
    <w:p>
      <w:pPr>
        <w:spacing w:after="0" w:line="214" w:lineRule="exact"/>
        <w:rPr>
          <w:sz w:val="20"/>
          <w:szCs w:val="20"/>
          <w:color w:val="auto"/>
        </w:rPr>
      </w:pPr>
    </w:p>
    <w:p>
      <w:pPr>
        <w:jc w:val="both"/>
        <w:ind w:firstLine="1497"/>
        <w:spacing w:after="0" w:line="226"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Recourse Debt</w:t>
      </w:r>
      <w:r>
        <w:rPr>
          <w:rFonts w:ascii="Times New Roman" w:cs="Times New Roman" w:eastAsia="Times New Roman" w:hAnsi="Times New Roman"/>
          <w:sz w:val="19"/>
          <w:szCs w:val="19"/>
          <w:color w:val="auto"/>
        </w:rPr>
        <w:t>” means Debt (excluding Non-Recourse Debt) for which the Parent or any of its Subsidiaries (other than a Property-Level Subsidiary that is not a Loan Party or the owner of an Unencumbered Asset) has personal or recourse liability in whole or in part, exclusive of any such Debt for which such personal or recourse liability is limited to obligations under debt instruments that include Customary Carve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Out Agreements and limited obligation guaranties,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to the extent a claim shall have been made under such Customary Carve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Out Agreements or limited obligation guaranties as to which the Parent or any of its Subsidiaries, as applicable, has taken reserves in accordance with GAAP, the amount of such reserves shall be included in the amount of Recourse Debt.</w:t>
      </w:r>
    </w:p>
    <w:p>
      <w:pPr>
        <w:spacing w:after="0" w:line="18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Redevelopment Asset</w:t>
      </w:r>
      <w:r>
        <w:rPr>
          <w:rFonts w:ascii="Times New Roman" w:cs="Times New Roman" w:eastAsia="Times New Roman" w:hAnsi="Times New Roman"/>
          <w:sz w:val="19"/>
          <w:szCs w:val="19"/>
          <w:color w:val="auto"/>
        </w:rPr>
        <w:t>” means an Asset which either (i) has been acquired with a view toward renovating or rehabilitating such Asset, or (ii) the Borrower or a Subsidiary thereof intends to renovate or rehabilitate. Upon the Borrower’s written election delivered to the Administrative Agent, any Redevelopment Asset set forth in such written election shall continue to be classified as a Redevelopment Asset hereunder until the end of the four complete consecutive fiscal quarters of the Parent following the achievement of Substantial Completion with respect to such Asset, following which such Asset shall be classified as an Office Asset or a Mixed Use Asset, as applicable, hereunder.</w:t>
      </w:r>
    </w:p>
    <w:p>
      <w:pPr>
        <w:spacing w:after="0" w:line="176"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Refinancing Debt</w:t>
      </w:r>
      <w:r>
        <w:rPr>
          <w:rFonts w:ascii="Times New Roman" w:cs="Times New Roman" w:eastAsia="Times New Roman" w:hAnsi="Times New Roman"/>
          <w:sz w:val="19"/>
          <w:szCs w:val="19"/>
          <w:color w:val="auto"/>
        </w:rPr>
        <w:t xml:space="preserve">” means, with respect to any Debt for borrowed money, any Debt for borrowed money extending the maturity of, or refunding or refinancing, in whole or in part, such Debt for borrowed money,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the terms of any Refinancing Debt, and of any agreement entered into and of any instrument issued in connection therewith, (i) do not provide for any Lien on any Unencumbered Assets, and (ii) are not otherwise prohibited by the Loan Documents, (b) the principal amount of such Debt shall not exceed the principal amount of the Debt being extended, refunded or refinanced plus the amount of any applicable premium and expenses, and (c) the other material terms, taken as a whole, of any such Debt are no less favorable in any material respect to the Loan Parties or the Lenders than the terms governing the Debt being extended, refunded or refinanced.</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Register</w:t>
      </w:r>
      <w:r>
        <w:rPr>
          <w:rFonts w:ascii="Times New Roman" w:cs="Times New Roman" w:eastAsia="Times New Roman" w:hAnsi="Times New Roman"/>
          <w:sz w:val="19"/>
          <w:szCs w:val="19"/>
          <w:color w:val="auto"/>
        </w:rPr>
        <w:t>” has the meaning specified in Section 9.07(d).</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Regulation U</w:t>
      </w:r>
      <w:r>
        <w:rPr>
          <w:rFonts w:ascii="Times New Roman" w:cs="Times New Roman" w:eastAsia="Times New Roman" w:hAnsi="Times New Roman"/>
          <w:sz w:val="19"/>
          <w:szCs w:val="19"/>
          <w:color w:val="auto"/>
        </w:rPr>
        <w:t>” means Regulation U of the Board of Governors of the Federal Reserve System, as in effect from time to time.</w:t>
      </w:r>
    </w:p>
    <w:p>
      <w:pPr>
        <w:spacing w:after="0" w:line="190" w:lineRule="exact"/>
        <w:rPr>
          <w:sz w:val="20"/>
          <w:szCs w:val="20"/>
          <w:color w:val="auto"/>
        </w:rPr>
      </w:pPr>
    </w:p>
    <w:p>
      <w:pPr>
        <w:jc w:val="both"/>
        <w:ind w:firstLine="1497"/>
        <w:spacing w:after="0" w:line="252"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REIT</w:t>
      </w:r>
      <w:r>
        <w:rPr>
          <w:rFonts w:ascii="Times New Roman" w:cs="Times New Roman" w:eastAsia="Times New Roman" w:hAnsi="Times New Roman"/>
          <w:sz w:val="19"/>
          <w:szCs w:val="19"/>
          <w:color w:val="auto"/>
        </w:rPr>
        <w:t>” means a Person that is qualified to be treated for tax purposes as a real estate investment trust under Sections 856</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860 of the Internal Revenue Code.</w:t>
      </w:r>
    </w:p>
    <w:p>
      <w:pPr>
        <w:spacing w:after="0" w:line="182"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Related Parties</w:t>
      </w:r>
      <w:r>
        <w:rPr>
          <w:rFonts w:ascii="Times New Roman" w:cs="Times New Roman" w:eastAsia="Times New Roman" w:hAnsi="Times New Roman"/>
          <w:sz w:val="19"/>
          <w:szCs w:val="19"/>
          <w:color w:val="auto"/>
        </w:rPr>
        <w:t>” means, with respect to any Person, such Person’s Affiliates and the partners, directors, officers, employees, agents, trustees, administrators, managers, advisors and representatives of such Persons and of such Person’s Affiliates.</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Release Event</w:t>
      </w:r>
      <w:r>
        <w:rPr>
          <w:rFonts w:ascii="Times New Roman" w:cs="Times New Roman" w:eastAsia="Times New Roman" w:hAnsi="Times New Roman"/>
          <w:sz w:val="19"/>
          <w:szCs w:val="19"/>
          <w:color w:val="auto"/>
        </w:rPr>
        <w:t>” has the meaning specified in Section 9.14(a).</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Relevant Governmental Body</w:t>
      </w:r>
      <w:r>
        <w:rPr>
          <w:rFonts w:ascii="Times New Roman" w:cs="Times New Roman" w:eastAsia="Times New Roman" w:hAnsi="Times New Roman"/>
          <w:sz w:val="19"/>
          <w:szCs w:val="19"/>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36" w:name="page37"/>
    <w:bookmarkEnd w:id="36"/>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Replacement Lender</w:t>
      </w:r>
      <w:r>
        <w:rPr>
          <w:rFonts w:ascii="Times New Roman" w:cs="Times New Roman" w:eastAsia="Times New Roman" w:hAnsi="Times New Roman"/>
          <w:sz w:val="19"/>
          <w:szCs w:val="19"/>
          <w:color w:val="auto"/>
        </w:rPr>
        <w:t>” means an Eligible Assignee designated by the Borrower and approved by the Administrative Agent (such approval not to be unreasonably withheld, conditioned or delayed).</w:t>
      </w:r>
    </w:p>
    <w:p>
      <w:pPr>
        <w:spacing w:after="0" w:line="153"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Required Lenders</w:t>
      </w:r>
      <w:r>
        <w:rPr>
          <w:rFonts w:ascii="Times New Roman" w:cs="Times New Roman" w:eastAsia="Times New Roman" w:hAnsi="Times New Roman"/>
          <w:sz w:val="19"/>
          <w:szCs w:val="19"/>
          <w:color w:val="auto"/>
        </w:rPr>
        <w:t xml:space="preserve">” means, at any time, Lenders holding greater than 50% of the aggregate Commitments (whether funded or unfunded) at such time;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at all times when there are two or more Lenders holding Commitments, “Required Lenders” must include two or more Lenders;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the Commitments held by any then-current Defaulting Lender shall be subtracted from the aggregate Commitments for the purpose of calculating the Required Lenders at such time as provided in Section 9.01(c).</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Resolution Authority</w:t>
      </w:r>
      <w:r>
        <w:rPr>
          <w:rFonts w:ascii="Times New Roman" w:cs="Times New Roman" w:eastAsia="Times New Roman" w:hAnsi="Times New Roman"/>
          <w:sz w:val="19"/>
          <w:szCs w:val="19"/>
          <w:color w:val="auto"/>
        </w:rPr>
        <w:t>” means an EEA Resolution Authority or, with respect to any UK Financial Institution, a UK Resolution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Authority.</w:t>
      </w:r>
    </w:p>
    <w:p>
      <w:pPr>
        <w:spacing w:after="0" w:line="188"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Responsible Officer</w:t>
      </w:r>
      <w:r>
        <w:rPr>
          <w:rFonts w:ascii="Times New Roman" w:cs="Times New Roman" w:eastAsia="Times New Roman" w:hAnsi="Times New Roman"/>
          <w:sz w:val="19"/>
          <w:szCs w:val="19"/>
          <w:color w:val="auto"/>
        </w:rPr>
        <w:t>” means, with respect to any Loan Party, any officer of, or any officer of any general partner or managing member of, such Loan Party, which Officer has (a) responsibility for performing the underlying function that is the subject of the action required of such officer hereunder, or (b) supervisory responsibility for such an officer.</w:t>
      </w:r>
    </w:p>
    <w:p>
      <w:pPr>
        <w:spacing w:after="0" w:line="170" w:lineRule="exact"/>
        <w:rPr>
          <w:sz w:val="20"/>
          <w:szCs w:val="20"/>
          <w:color w:val="auto"/>
        </w:rPr>
      </w:pPr>
    </w:p>
    <w:p>
      <w:pPr>
        <w:jc w:val="both"/>
        <w:ind w:firstLine="1497"/>
        <w:spacing w:after="0" w:line="223"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Payments</w:t>
      </w:r>
      <w:r>
        <w:rPr>
          <w:rFonts w:ascii="Times New Roman" w:cs="Times New Roman" w:eastAsia="Times New Roman" w:hAnsi="Times New Roman"/>
          <w:sz w:val="19"/>
          <w:szCs w:val="19"/>
          <w:color w:val="auto"/>
        </w:rPr>
        <w:t>” means, in the case of any Person, to declare or pay any dividends, purchase, redeem, retire, defease or otherwise acquire for value any of its Equity Interests now or hereafter outstanding, return any capital to its stockholders, partners or members (or the equivalent Persons thereof) as such, or to make any distribution of assets, Equity Interests, obligations or securities to its stockholders, partners or members (or the equivalent Persons thereof) as such (including, in each case, by way of a Division), except for (i) any purchase, redemption or other acquisition of Equity Interests with the proceeds of issuances of new common Equity Interests occurring not more than one year prior to such purchase, redemption or other acquisition and (ii)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cash payments in connection with employee, trustee and director stock option plans or similar incentive arrangements.</w:t>
      </w:r>
    </w:p>
    <w:p>
      <w:pPr>
        <w:spacing w:after="0" w:line="18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Subsidiary</w:t>
      </w:r>
      <w:r>
        <w:rPr>
          <w:rFonts w:ascii="Times New Roman" w:cs="Times New Roman" w:eastAsia="Times New Roman" w:hAnsi="Times New Roman"/>
          <w:sz w:val="19"/>
          <w:szCs w:val="19"/>
          <w:color w:val="auto"/>
        </w:rPr>
        <w:t>” shall mean each Subsidiary of the Parent that is not an Unrestricted Subsidiary.</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RFR</w:t>
      </w:r>
      <w:r>
        <w:rPr>
          <w:rFonts w:ascii="Times New Roman" w:cs="Times New Roman" w:eastAsia="Times New Roman" w:hAnsi="Times New Roman"/>
          <w:sz w:val="19"/>
          <w:szCs w:val="19"/>
          <w:color w:val="auto"/>
        </w:rPr>
        <w:t>” means, for any Obligations, interest, fees, commissions or other amounts denominated or calculated in Dollars, Daily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Simple SOFR.</w:t>
      </w:r>
    </w:p>
    <w:p>
      <w:pPr>
        <w:spacing w:after="0" w:line="1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S&amp;P</w:t>
      </w:r>
      <w:r>
        <w:rPr>
          <w:rFonts w:ascii="Times New Roman" w:cs="Times New Roman" w:eastAsia="Times New Roman" w:hAnsi="Times New Roman"/>
          <w:sz w:val="19"/>
          <w:szCs w:val="19"/>
          <w:color w:val="auto"/>
        </w:rPr>
        <w:t>” means S&amp;P Global Ratings, a division of S&amp;P Global Inc., and any successor thereto.</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Sale and Leaseback Transaction</w:t>
      </w:r>
      <w:r>
        <w:rPr>
          <w:rFonts w:ascii="Times New Roman" w:cs="Times New Roman" w:eastAsia="Times New Roman" w:hAnsi="Times New Roman"/>
          <w:sz w:val="19"/>
          <w:szCs w:val="19"/>
          <w:color w:val="auto"/>
        </w:rPr>
        <w:t>” shall mean any arrangement with any Person providing for the leasing by the Borrower or any of its Subsidiaries of any Real Property that has been sold or transferred or is to be sold or transferred by the Borrower or such Subsidiary, as the case may be, to such Person.</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Sanctions</w:t>
      </w:r>
      <w:r>
        <w:rPr>
          <w:rFonts w:ascii="Times New Roman" w:cs="Times New Roman" w:eastAsia="Times New Roman" w:hAnsi="Times New Roman"/>
          <w:sz w:val="19"/>
          <w:szCs w:val="19"/>
          <w:color w:val="auto"/>
        </w:rPr>
        <w:t>” has the meaning set forth in Section 4.01(x).</w:t>
      </w:r>
    </w:p>
    <w:p>
      <w:pPr>
        <w:spacing w:after="0" w:line="190" w:lineRule="exact"/>
        <w:rPr>
          <w:sz w:val="20"/>
          <w:szCs w:val="20"/>
          <w:color w:val="auto"/>
        </w:rPr>
      </w:pPr>
    </w:p>
    <w:p>
      <w:pPr>
        <w:ind w:left="1500"/>
        <w:spacing w:after="0" w:line="219"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Sarbanes</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b w:val="1"/>
          <w:bCs w:val="1"/>
          <w:i w:val="1"/>
          <w:iCs w:val="1"/>
          <w:color w:val="auto"/>
        </w:rPr>
        <w:t>Oxley</w:t>
      </w:r>
      <w:r>
        <w:rPr>
          <w:rFonts w:ascii="Times New Roman" w:cs="Times New Roman" w:eastAsia="Times New Roman" w:hAnsi="Times New Roman"/>
          <w:sz w:val="19"/>
          <w:szCs w:val="19"/>
          <w:color w:val="auto"/>
        </w:rPr>
        <w:t>” means the Sarbanes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Oxley Act of 2002,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-46355</wp:posOffset>
            </wp:positionV>
            <wp:extent cx="66040"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040" cy="40005"/>
                    </a:xfrm>
                    <a:prstGeom prst="rect">
                      <a:avLst/>
                    </a:prstGeom>
                    <a:noFill/>
                  </pic:spPr>
                </pic:pic>
              </a:graphicData>
            </a:graphic>
          </wp:anchor>
        </w:drawing>
      </w:r>
    </w:p>
    <w:p>
      <w:pPr>
        <w:spacing w:after="0" w:line="231"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Secured Debt</w:t>
      </w:r>
      <w:r>
        <w:rPr>
          <w:rFonts w:ascii="Times New Roman" w:cs="Times New Roman" w:eastAsia="Times New Roman" w:hAnsi="Times New Roman"/>
          <w:sz w:val="19"/>
          <w:szCs w:val="19"/>
          <w:color w:val="auto"/>
        </w:rPr>
        <w:t>” means, at any date of determination, all Debt which is secured by a Lien on the assets of the Parent or any of its Subsidiaries (without regard to whether such Debt is Recourse Debt), as at the end of the most recently ended fiscal quarter of the Parent for which financial statements are required to be delivered to the Lenders pursuant to Section 5.03(b) or (c), as the case may be.</w:t>
      </w:r>
    </w:p>
    <w:p>
      <w:pPr>
        <w:spacing w:after="0" w:line="170" w:lineRule="exact"/>
        <w:rPr>
          <w:sz w:val="20"/>
          <w:szCs w:val="20"/>
          <w:color w:val="auto"/>
        </w:rPr>
      </w:pPr>
    </w:p>
    <w:p>
      <w:pPr>
        <w:jc w:val="both"/>
        <w:ind w:firstLine="1497"/>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Secured Debt Leverage Ratio</w:t>
      </w:r>
      <w:r>
        <w:rPr>
          <w:rFonts w:ascii="Times New Roman" w:cs="Times New Roman" w:eastAsia="Times New Roman" w:hAnsi="Times New Roman"/>
          <w:sz w:val="18"/>
          <w:szCs w:val="18"/>
          <w:color w:val="auto"/>
        </w:rPr>
        <w:t xml:space="preserve">” means, at any date of determination, the ratio, expressed as a percentage, of (a) Secured Debt of the Parent and its Subsidiaries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amount by which the aggregate Unrestricted Cash and Cash Equivalents of the Parent and its Subsidiaries at such time exceeds $10,000,000 (the “</w:t>
      </w:r>
      <w:r>
        <w:rPr>
          <w:rFonts w:ascii="Times New Roman" w:cs="Times New Roman" w:eastAsia="Times New Roman" w:hAnsi="Times New Roman"/>
          <w:sz w:val="18"/>
          <w:szCs w:val="18"/>
          <w:b w:val="1"/>
          <w:bCs w:val="1"/>
          <w:i w:val="1"/>
          <w:iCs w:val="1"/>
          <w:color w:val="auto"/>
        </w:rPr>
        <w:t>Secured Debt Leverage Ratio Adjustment</w:t>
      </w:r>
      <w:r>
        <w:rPr>
          <w:rFonts w:ascii="Times New Roman" w:cs="Times New Roman" w:eastAsia="Times New Roman" w:hAnsi="Times New Roman"/>
          <w:sz w:val="18"/>
          <w:szCs w:val="18"/>
          <w:color w:val="auto"/>
        </w:rPr>
        <w:t xml:space="preserve">”) to (b) Total Asset Value;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clause (a),</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37" w:name="page38"/>
    <w:bookmarkEnd w:id="37"/>
    <w:p>
      <w:pPr>
        <w:jc w:val="both"/>
        <w:spacing w:after="0" w:line="265" w:lineRule="auto"/>
        <w:rPr>
          <w:sz w:val="20"/>
          <w:szCs w:val="20"/>
          <w:color w:val="auto"/>
        </w:rPr>
      </w:pPr>
      <w:r>
        <w:rPr>
          <w:rFonts w:ascii="Times New Roman" w:cs="Times New Roman" w:eastAsia="Times New Roman" w:hAnsi="Times New Roman"/>
          <w:sz w:val="19"/>
          <w:szCs w:val="19"/>
          <w:color w:val="auto"/>
        </w:rPr>
        <w:t>Unrestricted Cash and Cash Equivalents shall be adjusted to deduct therefrom any Unrestricted Cash and Cash Equivalents used to determine the Unsecured Leverage Ratio Adjustment.</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Secured Debt Leverage Ratio Adjustment</w:t>
      </w:r>
      <w:r>
        <w:rPr>
          <w:rFonts w:ascii="Times New Roman" w:cs="Times New Roman" w:eastAsia="Times New Roman" w:hAnsi="Times New Roman"/>
          <w:sz w:val="19"/>
          <w:szCs w:val="19"/>
          <w:color w:val="auto"/>
        </w:rPr>
        <w:t>” has the meaning specified in the definition of Secured Debt Leverage Ratio.</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Securities Act</w:t>
      </w:r>
      <w:r>
        <w:rPr>
          <w:rFonts w:ascii="Times New Roman" w:cs="Times New Roman" w:eastAsia="Times New Roman" w:hAnsi="Times New Roman"/>
          <w:sz w:val="19"/>
          <w:szCs w:val="19"/>
          <w:color w:val="auto"/>
        </w:rPr>
        <w:t>” means the Securities Act of 1933, as amended to the date hereof and from time to time hereafter, and any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successor statute.</w:t>
      </w:r>
    </w:p>
    <w:p>
      <w:pPr>
        <w:spacing w:after="0" w:line="188"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Securities Exchange Act</w:t>
      </w:r>
      <w:r>
        <w:rPr>
          <w:rFonts w:ascii="Times New Roman" w:cs="Times New Roman" w:eastAsia="Times New Roman" w:hAnsi="Times New Roman"/>
          <w:sz w:val="19"/>
          <w:szCs w:val="19"/>
          <w:color w:val="auto"/>
        </w:rPr>
        <w:t>” means the Securities Exchange Act of 1934, as amended to the date hereof and from time to time hereafter, and any successor statute.</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Senior Financing Loan Documents</w:t>
      </w:r>
      <w:r>
        <w:rPr>
          <w:rFonts w:ascii="Times New Roman" w:cs="Times New Roman" w:eastAsia="Times New Roman" w:hAnsi="Times New Roman"/>
          <w:sz w:val="19"/>
          <w:szCs w:val="19"/>
          <w:color w:val="auto"/>
        </w:rPr>
        <w:t>” means the loan documents relating to any Senior Financing Transaction.</w:t>
      </w:r>
    </w:p>
    <w:p>
      <w:pPr>
        <w:spacing w:after="0" w:line="21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Senior Financing Transaction</w:t>
      </w:r>
      <w:r>
        <w:rPr>
          <w:rFonts w:ascii="Times New Roman" w:cs="Times New Roman" w:eastAsia="Times New Roman" w:hAnsi="Times New Roman"/>
          <w:sz w:val="19"/>
          <w:szCs w:val="19"/>
          <w:color w:val="auto"/>
        </w:rPr>
        <w:t>” means a financing transaction (including, without limitation, the financing transactions pursuant to the Existing Credit Agreement, the Existing Revolving Credit Agreement and the Existing Term Loan Agreement) in which senior Unsecured Debt or senior Secured Debt (other than Debt under Customary Carveout Agreements) is the obligation of any Loan Party. For the avoidance of doubt, subject to Section 5.02(p) and Section 9.14(a), any Restricted Subsidiary of the Parent and/or the Borrower may be an obligor with respect to such financing transaction.</w:t>
      </w:r>
    </w:p>
    <w:p>
      <w:pPr>
        <w:spacing w:after="0" w:line="176"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Single Employer Plan</w:t>
      </w:r>
      <w:r>
        <w:rPr>
          <w:rFonts w:ascii="Times New Roman" w:cs="Times New Roman" w:eastAsia="Times New Roman" w:hAnsi="Times New Roman"/>
          <w:sz w:val="19"/>
          <w:szCs w:val="19"/>
          <w:color w:val="auto"/>
        </w:rPr>
        <w:t>” means a single employer plan, as defined in Section 4001(a)(15) of ERISA, that (a) is maintained for employees of any Loan Party or any ERISA Affiliate and no Person other than the Loan Parties and the ERISA Affiliates or (b) was so maintained and in respect of which any Loan Party or any ERISA Affiliate could have liability under Section 4069 of ERISA in the event such plan has been or were to be terminated.</w:t>
      </w:r>
    </w:p>
    <w:p>
      <w:pPr>
        <w:spacing w:after="0" w:line="177"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SOFR</w:t>
      </w:r>
      <w:r>
        <w:rPr>
          <w:rFonts w:ascii="Times New Roman" w:cs="Times New Roman" w:eastAsia="Times New Roman" w:hAnsi="Times New Roman"/>
          <w:sz w:val="19"/>
          <w:szCs w:val="19"/>
          <w:color w:val="auto"/>
        </w:rPr>
        <w:t>” means a rate per annum equal to the secured overnight financing rate for the applicable Business Day published by the Federal Reserve Bank of New York (or a successor administrator of the secured overnight financing rate) on the SOFR Administrator’s Website.</w:t>
      </w:r>
    </w:p>
    <w:p>
      <w:pPr>
        <w:spacing w:after="0" w:line="1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SOFR Administrator</w:t>
      </w:r>
      <w:r>
        <w:rPr>
          <w:rFonts w:ascii="Times New Roman" w:cs="Times New Roman" w:eastAsia="Times New Roman" w:hAnsi="Times New Roman"/>
          <w:sz w:val="19"/>
          <w:szCs w:val="19"/>
          <w:color w:val="auto"/>
        </w:rPr>
        <w:t>” means the Federal Reserve Bank of New York (or a successor administrator of the secured overnight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financing rate).</w:t>
      </w:r>
    </w:p>
    <w:p>
      <w:pPr>
        <w:spacing w:after="0" w:line="161"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SOFR Administrator’s Website</w:t>
      </w:r>
      <w:r>
        <w:rPr>
          <w:rFonts w:ascii="Times New Roman" w:cs="Times New Roman" w:eastAsia="Times New Roman" w:hAnsi="Times New Roman"/>
          <w:sz w:val="19"/>
          <w:szCs w:val="19"/>
          <w:color w:val="auto"/>
        </w:rPr>
        <w:t>” means the SOFR Administrator’s website, currently at http://www.newyorkfed.org (or any successor source for the secured overnight financing rate identified as such by the SOFR Administrator from time to time).</w:t>
      </w:r>
    </w:p>
    <w:p>
      <w:pPr>
        <w:spacing w:after="0" w:line="1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SOFR Determination Day</w:t>
      </w:r>
      <w:r>
        <w:rPr>
          <w:rFonts w:ascii="Times New Roman" w:cs="Times New Roman" w:eastAsia="Times New Roman" w:hAnsi="Times New Roman"/>
          <w:sz w:val="19"/>
          <w:szCs w:val="19"/>
          <w:color w:val="auto"/>
        </w:rPr>
        <w:t>” has the meaning specified in the definition of Daily Simple SOFR.</w:t>
      </w:r>
    </w:p>
    <w:p>
      <w:pPr>
        <w:spacing w:after="0" w:line="173"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SOFR Lending Office</w:t>
      </w:r>
      <w:r>
        <w:rPr>
          <w:rFonts w:ascii="Times New Roman" w:cs="Times New Roman" w:eastAsia="Times New Roman" w:hAnsi="Times New Roman"/>
          <w:sz w:val="19"/>
          <w:szCs w:val="19"/>
          <w:color w:val="auto"/>
        </w:rPr>
        <w:t>” means, with respect to any Lender, the office of such Lender specified as its “SOFR Lending Office” opposite its name on Schedule I hereto or in the Assignment and Acceptance pursuant to which it became a Lender (or, if no such office is specified, its Domestic Lending Office), or such other office of such Lender which such Lender may from time to time specify to the Borrower and the Administrative Agent.</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SOFR Rate Day</w:t>
      </w:r>
      <w:r>
        <w:rPr>
          <w:rFonts w:ascii="Times New Roman" w:cs="Times New Roman" w:eastAsia="Times New Roman" w:hAnsi="Times New Roman"/>
          <w:sz w:val="19"/>
          <w:szCs w:val="19"/>
          <w:color w:val="auto"/>
        </w:rPr>
        <w:t>” has the meaning specified in the definition of “Daily Simple SOFR”.</w:t>
      </w:r>
    </w:p>
    <w:p>
      <w:pPr>
        <w:spacing w:after="0" w:line="214" w:lineRule="exact"/>
        <w:rPr>
          <w:sz w:val="20"/>
          <w:szCs w:val="20"/>
          <w:color w:val="auto"/>
        </w:rPr>
      </w:pPr>
    </w:p>
    <w:p>
      <w:pPr>
        <w:jc w:val="both"/>
        <w:ind w:firstLine="1497"/>
        <w:spacing w:after="0" w:line="239"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Solvent</w:t>
      </w:r>
      <w:r>
        <w:rPr>
          <w:rFonts w:ascii="Times New Roman" w:cs="Times New Roman" w:eastAsia="Times New Roman" w:hAnsi="Times New Roman"/>
          <w:sz w:val="19"/>
          <w:szCs w:val="19"/>
          <w:color w:val="auto"/>
        </w:rPr>
        <w:t>” means, with respect to any Person on a particular date, that on such date (a) the fair value of the property of such Person, on a going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concern basis, is greater than the total amount of liabilities, including, without limitation, contingent liabilities, of such Person,</w:t>
      </w:r>
    </w:p>
    <w:p>
      <w:pPr>
        <w:spacing w:after="0" w:line="1" w:lineRule="exact"/>
        <w:rPr>
          <w:sz w:val="20"/>
          <w:szCs w:val="20"/>
          <w:color w:val="auto"/>
        </w:rPr>
      </w:pPr>
    </w:p>
    <w:p>
      <w:pPr>
        <w:ind w:firstLine="8"/>
        <w:spacing w:after="0" w:line="224" w:lineRule="exact"/>
        <w:tabs>
          <w:tab w:leader="none" w:pos="275"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present fair salable value of the assets of such Person, on a going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concern basis, is not less than the amount that will be required to pay the probable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8" w:name="page39"/>
    <w:bookmarkEnd w:id="38"/>
    <w:p>
      <w:pPr>
        <w:jc w:val="both"/>
        <w:spacing w:after="0" w:line="242" w:lineRule="auto"/>
        <w:rPr>
          <w:sz w:val="20"/>
          <w:szCs w:val="20"/>
          <w:color w:val="auto"/>
        </w:rPr>
      </w:pPr>
      <w:r>
        <w:rPr>
          <w:rFonts w:ascii="Times New Roman" w:cs="Times New Roman" w:eastAsia="Times New Roman" w:hAnsi="Times New Roman"/>
          <w:sz w:val="19"/>
          <w:szCs w:val="19"/>
          <w:color w:val="auto"/>
        </w:rPr>
        <w:t>liability of such Person on its debts as they become absolute and matured, (c) such Person does not intend to, and does not believe that it will, incur debts or liabilities beyond such Person’s ability to pay such debts and liabilities as they mature and (d) such Person is not engaged in business or a transaction, and is not about to engage in business or a transaction, for which such Person’s property would constitute an unreasonably small capital. The amount of contingent liabilities at any time shall be computed as the amount that, in the light of all the facts and circumstances existing at such time (including, without limitation, after taking into account appropriate discount factors for the present value of future contingent liabilities), represents the amount that can reasonably be expected to become an actual or matured liability.</w:t>
      </w:r>
    </w:p>
    <w:p>
      <w:pPr>
        <w:spacing w:after="0" w:line="1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Subject Action</w:t>
      </w:r>
      <w:r>
        <w:rPr>
          <w:rFonts w:ascii="Times New Roman" w:cs="Times New Roman" w:eastAsia="Times New Roman" w:hAnsi="Times New Roman"/>
          <w:sz w:val="19"/>
          <w:szCs w:val="19"/>
          <w:color w:val="auto"/>
        </w:rPr>
        <w:t>” has the meaning specified in Section 9.14(c).</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Subject Period</w:t>
      </w:r>
      <w:r>
        <w:rPr>
          <w:rFonts w:ascii="Times New Roman" w:cs="Times New Roman" w:eastAsia="Times New Roman" w:hAnsi="Times New Roman"/>
          <w:sz w:val="19"/>
          <w:szCs w:val="19"/>
          <w:color w:val="auto"/>
        </w:rPr>
        <w:t>” has the meaning specified in Section 9.14(c).</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Subordinated Obligations</w:t>
      </w:r>
      <w:r>
        <w:rPr>
          <w:rFonts w:ascii="Times New Roman" w:cs="Times New Roman" w:eastAsia="Times New Roman" w:hAnsi="Times New Roman"/>
          <w:sz w:val="19"/>
          <w:szCs w:val="19"/>
          <w:color w:val="auto"/>
        </w:rPr>
        <w:t>” has the meaning specified in Section 7.07.</w:t>
      </w:r>
    </w:p>
    <w:p>
      <w:pPr>
        <w:spacing w:after="0" w:line="214"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Subsidiary</w:t>
      </w:r>
      <w:r>
        <w:rPr>
          <w:rFonts w:ascii="Times New Roman" w:cs="Times New Roman" w:eastAsia="Times New Roman" w:hAnsi="Times New Roman"/>
          <w:sz w:val="19"/>
          <w:szCs w:val="19"/>
          <w:color w:val="auto"/>
        </w:rPr>
        <w:t>” of any Person means any corporation, partnership, joint venture, limited liability company, trust or estate of which (or in which) 50% or more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partnership, joint venture or limited liability company or (c) the beneficial interest in such trust or estate, in each case, is at the time directly or indirectly owned or controlled by such Person, by such Person and one or more of its other Subsidiaries or by one or more of such Person’s other Subsidiaries.</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Subsidiary Guarantor</w:t>
      </w:r>
      <w:r>
        <w:rPr>
          <w:rFonts w:ascii="Times New Roman" w:cs="Times New Roman" w:eastAsia="Times New Roman" w:hAnsi="Times New Roman"/>
          <w:sz w:val="19"/>
          <w:szCs w:val="19"/>
          <w:color w:val="auto"/>
        </w:rPr>
        <w:t>” has the meaning specified in the recital of parties to this Agreement.</w:t>
      </w:r>
    </w:p>
    <w:p>
      <w:pPr>
        <w:spacing w:after="0" w:line="214" w:lineRule="exact"/>
        <w:rPr>
          <w:sz w:val="20"/>
          <w:szCs w:val="20"/>
          <w:color w:val="auto"/>
        </w:rPr>
      </w:pPr>
    </w:p>
    <w:p>
      <w:pPr>
        <w:jc w:val="both"/>
        <w:ind w:firstLine="1497"/>
        <w:spacing w:after="0" w:line="30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Substantial Completion</w:t>
      </w:r>
      <w:r>
        <w:rPr>
          <w:rFonts w:ascii="Times New Roman" w:cs="Times New Roman" w:eastAsia="Times New Roman" w:hAnsi="Times New Roman"/>
          <w:sz w:val="18"/>
          <w:szCs w:val="18"/>
          <w:color w:val="auto"/>
        </w:rPr>
        <w:t>” means, with respect to any Development Asset or Redevelopment Asset and as of any relevant date of determination, the substantial completion of all material construction, renovation and rehabilitation work then planned with respect to such Asset.</w:t>
      </w:r>
    </w:p>
    <w:p>
      <w:pPr>
        <w:spacing w:after="0" w:line="13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Supported QFC</w:t>
      </w:r>
      <w:r>
        <w:rPr>
          <w:rFonts w:ascii="Times New Roman" w:cs="Times New Roman" w:eastAsia="Times New Roman" w:hAnsi="Times New Roman"/>
          <w:sz w:val="19"/>
          <w:szCs w:val="19"/>
          <w:color w:val="auto"/>
        </w:rPr>
        <w:t>” has the meaning specified in Section 9.21.</w:t>
      </w:r>
    </w:p>
    <w:p>
      <w:pPr>
        <w:spacing w:after="0" w:line="214"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Surviving Debt</w:t>
      </w:r>
      <w:r>
        <w:rPr>
          <w:rFonts w:ascii="Times New Roman" w:cs="Times New Roman" w:eastAsia="Times New Roman" w:hAnsi="Times New Roman"/>
          <w:sz w:val="19"/>
          <w:szCs w:val="19"/>
          <w:color w:val="auto"/>
        </w:rPr>
        <w:t>” means Debt for borrowed money of each Loan Party and its Subsidiaries outstanding immediately before and after giving effect to the Closing Date.</w:t>
      </w:r>
    </w:p>
    <w:p>
      <w:pPr>
        <w:spacing w:after="0" w:line="153"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Swap Obligation</w:t>
      </w:r>
      <w:r>
        <w:rPr>
          <w:rFonts w:ascii="Times New Roman" w:cs="Times New Roman" w:eastAsia="Times New Roman" w:hAnsi="Times New Roman"/>
          <w:sz w:val="19"/>
          <w:szCs w:val="19"/>
          <w:color w:val="auto"/>
        </w:rPr>
        <w:t>” means, with respect to any Guarantor, any obligation to pay or perform under any agreement, contract or transaction that constitutes a “swap” within the meaning of section 1a(47) of the Commodity Exchange Act.</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Syndication Agent</w:t>
      </w:r>
      <w:r>
        <w:rPr>
          <w:rFonts w:ascii="Times New Roman" w:cs="Times New Roman" w:eastAsia="Times New Roman" w:hAnsi="Times New Roman"/>
          <w:sz w:val="19"/>
          <w:szCs w:val="19"/>
          <w:color w:val="auto"/>
        </w:rPr>
        <w:t>” has the meaning specified in the recital of parties to this Agreement.</w:t>
      </w:r>
    </w:p>
    <w:p>
      <w:pPr>
        <w:spacing w:after="0" w:line="214"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Taxes</w:t>
      </w:r>
      <w:r>
        <w:rPr>
          <w:rFonts w:ascii="Times New Roman" w:cs="Times New Roman" w:eastAsia="Times New Roman" w:hAnsi="Times New Roman"/>
          <w:sz w:val="19"/>
          <w:szCs w:val="19"/>
          <w:color w:val="auto"/>
        </w:rPr>
        <w:t>” means all present or future taxes, levies, imposts, duties, deductions, withholdings (including all backup withholding), assessments, fees or other charges imposed by any Governmental Authority, including any interest, additions to tax or penalties applicable thereto.</w:t>
      </w:r>
    </w:p>
    <w:p>
      <w:pPr>
        <w:spacing w:after="0" w:line="129" w:lineRule="exact"/>
        <w:rPr>
          <w:sz w:val="20"/>
          <w:szCs w:val="20"/>
          <w:color w:val="auto"/>
        </w:rPr>
      </w:pPr>
    </w:p>
    <w:p>
      <w:pPr>
        <w:jc w:val="both"/>
        <w:ind w:firstLine="1497"/>
        <w:spacing w:after="0" w:line="240"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Tenancy Leases</w:t>
      </w:r>
      <w:r>
        <w:rPr>
          <w:rFonts w:ascii="Times New Roman" w:cs="Times New Roman" w:eastAsia="Times New Roman" w:hAnsi="Times New Roman"/>
          <w:sz w:val="19"/>
          <w:szCs w:val="19"/>
          <w:color w:val="auto"/>
        </w:rPr>
        <w:t>” means operating leases, subleases, licenses, occupancy agreements and rights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use entered into by the Borrower or any of its Subsidiaries in its capacity as a lessor or a similar capacity in the ordinary course of business (excluding any lease entered into in connection with a Sale and Leaseback Transaction).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9" w:name="page40"/>
    <w:bookmarkEnd w:id="39"/>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SOFR</w:t>
      </w:r>
      <w:r>
        <w:rPr>
          <w:rFonts w:ascii="Times New Roman" w:cs="Times New Roman" w:eastAsia="Times New Roman" w:hAnsi="Times New Roman"/>
          <w:sz w:val="19"/>
          <w:szCs w:val="19"/>
          <w:color w:val="auto"/>
        </w:rPr>
        <w:t>” means,</w:t>
      </w:r>
    </w:p>
    <w:p>
      <w:pPr>
        <w:spacing w:after="0" w:line="179" w:lineRule="exact"/>
        <w:rPr>
          <w:sz w:val="20"/>
          <w:szCs w:val="20"/>
          <w:color w:val="auto"/>
        </w:rPr>
      </w:pPr>
    </w:p>
    <w:p>
      <w:pPr>
        <w:jc w:val="both"/>
        <w:ind w:firstLine="1505"/>
        <w:spacing w:after="0"/>
        <w:tabs>
          <w:tab w:leader="none" w:pos="1875" w:val="left"/>
        </w:tabs>
        <w:numPr>
          <w:ilvl w:val="1"/>
          <w:numId w:val="1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for any calculation with respect to a Term SOFR Advance, the Term SOFR Reference Rate for a tenor comparable to the applicable Interest Period on the day (such day, the “</w:t>
      </w:r>
      <w:r>
        <w:rPr>
          <w:rFonts w:ascii="Times New Roman" w:cs="Times New Roman" w:eastAsia="Times New Roman" w:hAnsi="Times New Roman"/>
          <w:sz w:val="19"/>
          <w:szCs w:val="19"/>
          <w:b w:val="1"/>
          <w:bCs w:val="1"/>
          <w:i w:val="1"/>
          <w:iCs w:val="1"/>
          <w:color w:val="auto"/>
        </w:rPr>
        <w:t>Periodic Term SOFR Determination Day</w:t>
      </w:r>
      <w:r>
        <w:rPr>
          <w:rFonts w:ascii="Times New Roman" w:cs="Times New Roman" w:eastAsia="Times New Roman" w:hAnsi="Times New Roman"/>
          <w:sz w:val="19"/>
          <w:szCs w:val="19"/>
          <w:color w:val="auto"/>
        </w:rPr>
        <w:t>”) that is two U.S. Government Securities Business Days prior to the first day of such Interest Period, as such rate is published by the Term SOFR Administrator on the Term SOFR Administrator’s Website; provided, however, that if as of 5:00 P.M. (New York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Periodic Term SOFR Determination Day, and</w:t>
      </w:r>
    </w:p>
    <w:p>
      <w:pPr>
        <w:spacing w:after="0" w:line="193" w:lineRule="exact"/>
        <w:rPr>
          <w:rFonts w:ascii="Times New Roman" w:cs="Times New Roman" w:eastAsia="Times New Roman" w:hAnsi="Times New Roman"/>
          <w:sz w:val="19"/>
          <w:szCs w:val="19"/>
          <w:color w:val="010000"/>
        </w:rPr>
      </w:pPr>
    </w:p>
    <w:p>
      <w:pPr>
        <w:jc w:val="both"/>
        <w:ind w:firstLine="1505"/>
        <w:spacing w:after="0" w:line="253" w:lineRule="auto"/>
        <w:tabs>
          <w:tab w:leader="none" w:pos="1889" w:val="left"/>
        </w:tabs>
        <w:numPr>
          <w:ilvl w:val="1"/>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for any calculation with respect to a Base Rate Advance on any day, the Term SOFR Reference Rate for a tenor of one month on the day (such day, the “</w:t>
      </w:r>
      <w:r>
        <w:rPr>
          <w:rFonts w:ascii="Times New Roman" w:cs="Times New Roman" w:eastAsia="Times New Roman" w:hAnsi="Times New Roman"/>
          <w:sz w:val="18"/>
          <w:szCs w:val="18"/>
          <w:b w:val="1"/>
          <w:bCs w:val="1"/>
          <w:i w:val="1"/>
          <w:iCs w:val="1"/>
          <w:color w:val="auto"/>
        </w:rPr>
        <w:t>Base Rate Term SOFR Determination Day</w:t>
      </w:r>
      <w:r>
        <w:rPr>
          <w:rFonts w:ascii="Times New Roman" w:cs="Times New Roman" w:eastAsia="Times New Roman" w:hAnsi="Times New Roman"/>
          <w:sz w:val="18"/>
          <w:szCs w:val="18"/>
          <w:color w:val="auto"/>
        </w:rPr>
        <w:t xml:space="preserve">”) that is two U.S. Government Securities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Term SOFR determined as provided above (including pursuant to the proviso under clause (a) or clause</w:t>
      </w:r>
    </w:p>
    <w:p>
      <w:pPr>
        <w:ind w:left="280" w:hanging="272"/>
        <w:spacing w:after="0"/>
        <w:tabs>
          <w:tab w:leader="none" w:pos="28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above) shall ever be less than the Floor, then Term SOFR shall be deemed to be the Floor.</w:t>
      </w:r>
    </w:p>
    <w:p>
      <w:pPr>
        <w:spacing w:after="0" w:line="188" w:lineRule="exact"/>
        <w:rPr>
          <w:sz w:val="20"/>
          <w:szCs w:val="20"/>
          <w:color w:val="auto"/>
        </w:rPr>
      </w:pPr>
    </w:p>
    <w:p>
      <w:pPr>
        <w:ind w:right="200"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SOFR Administrator</w:t>
      </w:r>
      <w:r>
        <w:rPr>
          <w:rFonts w:ascii="Times New Roman" w:cs="Times New Roman" w:eastAsia="Times New Roman" w:hAnsi="Times New Roman"/>
          <w:sz w:val="19"/>
          <w:szCs w:val="19"/>
          <w:color w:val="auto"/>
        </w:rPr>
        <w:t>” means CME Group Benchmark Administration Limited (CBA) (or a successor administrator of the Term SOFR Reference Rate selected by the Administrative Agent in its reasonable discretion).</w:t>
      </w:r>
    </w:p>
    <w:p>
      <w:pPr>
        <w:spacing w:after="0" w:line="153"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SOFR Administrator’s Website</w:t>
      </w:r>
      <w:r>
        <w:rPr>
          <w:rFonts w:ascii="Times New Roman" w:cs="Times New Roman" w:eastAsia="Times New Roman" w:hAnsi="Times New Roman"/>
          <w:sz w:val="19"/>
          <w:szCs w:val="19"/>
          <w:color w:val="auto"/>
        </w:rPr>
        <w:t>” means the Term SOFR Administrator’s website, currently at http://www.cmegroup.com/market-data/cme-group-benchmark-administration/term-sofr.html (or any successor source for Term SOFR identified as such by the Term SOFR Administrator from time to time).</w:t>
      </w:r>
    </w:p>
    <w:p>
      <w:pPr>
        <w:spacing w:after="0" w:line="143"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SOFR Advance</w:t>
      </w:r>
      <w:r>
        <w:rPr>
          <w:rFonts w:ascii="Times New Roman" w:cs="Times New Roman" w:eastAsia="Times New Roman" w:hAnsi="Times New Roman"/>
          <w:sz w:val="19"/>
          <w:szCs w:val="19"/>
          <w:color w:val="auto"/>
        </w:rPr>
        <w:t>” means an Advance that bears interest at a rate based on Term SOFR (other than pursuant to clause (c) of the definition of Base Rate).</w:t>
      </w:r>
    </w:p>
    <w:p>
      <w:pPr>
        <w:spacing w:after="0" w:line="1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SOFR Reference Rate</w:t>
      </w:r>
      <w:r>
        <w:rPr>
          <w:rFonts w:ascii="Times New Roman" w:cs="Times New Roman" w:eastAsia="Times New Roman" w:hAnsi="Times New Roman"/>
          <w:sz w:val="19"/>
          <w:szCs w:val="19"/>
          <w:color w:val="auto"/>
        </w:rPr>
        <w:t>” means the forward-looking term rate based on SOFR.</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Test Date</w:t>
      </w:r>
      <w:r>
        <w:rPr>
          <w:rFonts w:ascii="Times New Roman" w:cs="Times New Roman" w:eastAsia="Times New Roman" w:hAnsi="Times New Roman"/>
          <w:sz w:val="19"/>
          <w:szCs w:val="19"/>
          <w:color w:val="auto"/>
        </w:rPr>
        <w:t>” means (a) the last day of each fiscal quarter of the Parent for which financial statements are required to be delivered pursuant to Sections 5.03(b) or (c), as the case may be, (b) the date of each Advance, and (c) the date of any addition, removal, redesignation or Transfer of any Unencumbered Asset pursuant to Section 5.01(j) or Section 5.02(e)(ii).</w:t>
      </w:r>
    </w:p>
    <w:p>
      <w:pPr>
        <w:spacing w:after="0" w:line="17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Total Asset Value</w:t>
      </w:r>
      <w:r>
        <w:rPr>
          <w:rFonts w:ascii="Times New Roman" w:cs="Times New Roman" w:eastAsia="Times New Roman" w:hAnsi="Times New Roman"/>
          <w:sz w:val="19"/>
          <w:szCs w:val="19"/>
          <w:color w:val="auto"/>
        </w:rPr>
        <w:t xml:space="preserve">” means, at any date of determination, the sum of (a) the Asset Values for all assets of the Parent and its Subsidiaries (other than (i) cash and Cash Equivalents, (ii) any direct or indirect interest in any Unrestricted Subsidiary and (iii) Assets owned by an Unrestricted Subsidiary),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Unrestricted Cash on hand of the Parent and its Subsidiaries (other than any Unrestricted Subsidiary) in an amount not to exceed $10,000,000, at such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portion of the Total Asset Value attributable to Joint Ventures, loans, advances and extensions of credit (including, without limitation, mortgage loans, mezzanine loans and notes receivable) to any Person, Unimproved Land, Development Assets,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40" w:name="page41"/>
    <w:bookmarkEnd w:id="40"/>
    <w:p>
      <w:pPr>
        <w:jc w:val="both"/>
        <w:spacing w:after="0" w:line="265" w:lineRule="auto"/>
        <w:rPr>
          <w:sz w:val="20"/>
          <w:szCs w:val="20"/>
          <w:color w:val="auto"/>
        </w:rPr>
      </w:pPr>
      <w:r>
        <w:rPr>
          <w:rFonts w:ascii="Times New Roman" w:cs="Times New Roman" w:eastAsia="Times New Roman" w:hAnsi="Times New Roman"/>
          <w:sz w:val="19"/>
          <w:szCs w:val="19"/>
          <w:color w:val="auto"/>
        </w:rPr>
        <w:t>Redevelopment Assets shall not exceed 35% in the aggregate, with any excess excluded from such calculation. Notwithstanding the foregoing, the Asset Values for all assets of Unrestricted Subsidiaries shall be included in the calculation of Total Asset Value for purposes of Section 5.02(f).</w:t>
      </w:r>
    </w:p>
    <w:p>
      <w:pPr>
        <w:spacing w:after="0" w:line="160"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Total Debt</w:t>
      </w:r>
      <w:r>
        <w:rPr>
          <w:rFonts w:ascii="Times New Roman" w:cs="Times New Roman" w:eastAsia="Times New Roman" w:hAnsi="Times New Roman"/>
          <w:sz w:val="19"/>
          <w:szCs w:val="19"/>
          <w:color w:val="auto"/>
        </w:rPr>
        <w:t>” means, at any date of determination, all Consolidated Debt of the Parent and its Subsidiaries as at the end of the most recently ended fiscal quarter of the Parent for which financial statements are required to be delivered to the Lenders pursuant to Section 5.03(b) or (c), as the case may be.</w:t>
      </w:r>
    </w:p>
    <w:p>
      <w:pPr>
        <w:spacing w:after="0" w:line="170"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Total Unencumbered Asset Value</w:t>
      </w:r>
      <w:r>
        <w:rPr>
          <w:rFonts w:ascii="Times New Roman" w:cs="Times New Roman" w:eastAsia="Times New Roman" w:hAnsi="Times New Roman"/>
          <w:sz w:val="19"/>
          <w:szCs w:val="19"/>
          <w:color w:val="auto"/>
        </w:rPr>
        <w:t xml:space="preserve">” means, at any date of determination, an amount equal to the sum of the Asset Values of all Unencumbered Assets;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following asset concentration restrictions shall apply to the calculation of Total Unencumbered Asset Value: (i) the Net Operating Income of any individual Unencumbered Asset shall not account for more than 25% of the aggregate Net Operating Income of all Unencumbered Assets at any time and (ii) the aggregate Net Operating Income of the Unencumbered Assets subject to Qualified Ground Leases shall not account for more than 20% of the aggregate Adjusted Net Operating Income of all Unencumbered Assets at any time, it being understood that to the extent the Net Operating Income of any Unencumbered Asset or Unencumbered Assets exceeds the foregoing limits, such excess shall be disregarded for purposes of calculating Total Unencumbered Asset Value.</w:t>
      </w:r>
    </w:p>
    <w:p>
      <w:pPr>
        <w:spacing w:after="0" w:line="180"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Trading with the Enemy Act</w:t>
      </w:r>
      <w:r>
        <w:rPr>
          <w:rFonts w:ascii="Times New Roman" w:cs="Times New Roman" w:eastAsia="Times New Roman" w:hAnsi="Times New Roman"/>
          <w:sz w:val="19"/>
          <w:szCs w:val="19"/>
          <w:color w:val="auto"/>
        </w:rPr>
        <w:t>” means the Trading with the Enemy Act, as amended, and each of the foreign assets control regulations of the United States Treasury Department (31 CFR, Subtitle B, Chapter V, as amended), and any other enabling legislation or executive order relating thereto.</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Transfer</w:t>
      </w:r>
      <w:r>
        <w:rPr>
          <w:rFonts w:ascii="Times New Roman" w:cs="Times New Roman" w:eastAsia="Times New Roman" w:hAnsi="Times New Roman"/>
          <w:sz w:val="19"/>
          <w:szCs w:val="19"/>
          <w:color w:val="auto"/>
        </w:rPr>
        <w:t>” has the meaning specified in Section 5.02(e)(ii).</w:t>
      </w:r>
    </w:p>
    <w:p>
      <w:pPr>
        <w:spacing w:after="0" w:line="214"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Type</w:t>
      </w:r>
      <w:r>
        <w:rPr>
          <w:rFonts w:ascii="Times New Roman" w:cs="Times New Roman" w:eastAsia="Times New Roman" w:hAnsi="Times New Roman"/>
          <w:sz w:val="19"/>
          <w:szCs w:val="19"/>
          <w:color w:val="auto"/>
        </w:rPr>
        <w:t>” refers to the distinction between Advances bearing interest at the Base Rate, Advances bearing interest at Term SOFR and Advances bearing interest at Daily Simple SOFR.</w:t>
      </w:r>
    </w:p>
    <w:p>
      <w:pPr>
        <w:spacing w:after="0" w:line="153"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UK Bail-In Legislation</w:t>
      </w:r>
      <w:r>
        <w:rPr>
          <w:rFonts w:ascii="Times New Roman" w:cs="Times New Roman" w:eastAsia="Times New Roman" w:hAnsi="Times New Roman"/>
          <w:sz w:val="19"/>
          <w:szCs w:val="19"/>
          <w:color w:val="auto"/>
        </w:rPr>
        <w:t>” means Part I of the United Kingdom Banking Act 2009 (as amended from time to time) and any other law, regulation, rule or requirement applicable in the United Kingdom relating to the resolution of unsound or failing banks, investment firms or other financial institutions or their affiliates (other than through liquidation, administration or other insolvency proceedings).</w:t>
      </w:r>
    </w:p>
    <w:p>
      <w:pPr>
        <w:spacing w:after="0" w:line="170"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UK Financial Institution</w:t>
      </w:r>
      <w:r>
        <w:rPr>
          <w:rFonts w:ascii="Times New Roman" w:cs="Times New Roman" w:eastAsia="Times New Roman" w:hAnsi="Times New Roman"/>
          <w:sz w:val="19"/>
          <w:szCs w:val="19"/>
          <w:color w:val="auto"/>
        </w:rPr>
        <w:t>” means any BRRD Undertaking (as such term is defined under the PRA Rulebook (as amended from time to time) promulgated by the United Kingdom Prudential Regulation Authority) or any Person falling within IFPRU 11.6 of the Handbook (as amended from time to time) promulgated by the United Kingdom Financial Conduct Authority, which includes certain credit institutions and investment firms, and certain affiliates of such credit institutions or investment firms.</w:t>
      </w:r>
    </w:p>
    <w:p>
      <w:pPr>
        <w:spacing w:after="0" w:line="177"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UK Resolution Authority</w:t>
      </w:r>
      <w:r>
        <w:rPr>
          <w:rFonts w:ascii="Times New Roman" w:cs="Times New Roman" w:eastAsia="Times New Roman" w:hAnsi="Times New Roman"/>
          <w:sz w:val="19"/>
          <w:szCs w:val="19"/>
          <w:color w:val="auto"/>
        </w:rPr>
        <w:t>” means the Bank of England or any other public administrative authority having responsibility for the resolution of any UK Financial Institution.</w:t>
      </w:r>
    </w:p>
    <w:p>
      <w:pPr>
        <w:spacing w:after="0" w:line="153" w:lineRule="exact"/>
        <w:rPr>
          <w:sz w:val="20"/>
          <w:szCs w:val="20"/>
          <w:color w:val="auto"/>
        </w:rPr>
      </w:pPr>
    </w:p>
    <w:p>
      <w:pPr>
        <w:jc w:val="both"/>
        <w:ind w:right="20"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Unadjusted Benchmark Replacement</w:t>
      </w:r>
      <w:r>
        <w:rPr>
          <w:rFonts w:ascii="Times New Roman" w:cs="Times New Roman" w:eastAsia="Times New Roman" w:hAnsi="Times New Roman"/>
          <w:sz w:val="19"/>
          <w:szCs w:val="19"/>
          <w:color w:val="auto"/>
        </w:rPr>
        <w:t>” means the applicable Benchmark Replacement excluding the related Benchmark Replacement Adjustment.</w:t>
      </w:r>
    </w:p>
    <w:p>
      <w:pPr>
        <w:spacing w:after="0" w:line="153"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Undisclosed Administration</w:t>
      </w:r>
      <w:r>
        <w:rPr>
          <w:rFonts w:ascii="Times New Roman" w:cs="Times New Roman" w:eastAsia="Times New Roman" w:hAnsi="Times New Roman"/>
          <w:sz w:val="19"/>
          <w:szCs w:val="19"/>
          <w:color w:val="auto"/>
        </w:rPr>
        <w:t>” means in relation to a Lender or its direct or indirect parent company, the appointment of an administrator, provisional liquidator, conservator, receiver, trust,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1" w:name="page42"/>
    <w:bookmarkEnd w:id="41"/>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Unencumbered Assets</w:t>
      </w:r>
      <w:r>
        <w:rPr>
          <w:rFonts w:ascii="Times New Roman" w:cs="Times New Roman" w:eastAsia="Times New Roman" w:hAnsi="Times New Roman"/>
          <w:sz w:val="19"/>
          <w:szCs w:val="19"/>
          <w:color w:val="auto"/>
        </w:rPr>
        <w:t>” means (a) the Office Assets or Mixed Use Assets listed on Schedule II hereto on the Closing Date and</w:t>
      </w:r>
    </w:p>
    <w:p>
      <w:pPr>
        <w:spacing w:after="0" w:line="24" w:lineRule="exact"/>
        <w:rPr>
          <w:sz w:val="20"/>
          <w:szCs w:val="20"/>
          <w:color w:val="auto"/>
        </w:rPr>
      </w:pPr>
    </w:p>
    <w:p>
      <w:pPr>
        <w:jc w:val="both"/>
        <w:ind w:firstLine="8"/>
        <w:spacing w:after="0" w:line="220" w:lineRule="exact"/>
        <w:tabs>
          <w:tab w:leader="none" w:pos="275"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other Asset designated as an Unencumbered Asset by the Borrower that (i) is an Office Asset or a Mixed Use Asset located in the United States of America or the District of Columbia; (ii) is income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producing and is not an asset that is actively under development or redevelopment; (iii) is wholly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owned directly or indirectly by the Borrower (but not by an Unrestricted Subsidiary) either in fee simple absolute or subject to a Qualified Ground Lease; (iv) is free of all structural defects or architectural deficiencies, title defects, environmental or other material matters (including a casualty event or condemnation) that could reasonably be expected to interfere in any material respect with the use of such Asset for its intended purposes; (v) is not subject to mezzanine Debt financing; (vi) is not, and no interest of the Borrower or any of its Subsidiaries therein is, subject to any Lien (other than Permitted Liens) or any Negative Pledge; and (vii) prior to the achievement by the Borrower or the Parent of an Investment Grade Rating, is 100% owned directly by a Loan Party (the requirements described in clauses (i) through (vii) being the “</w:t>
      </w:r>
      <w:r>
        <w:rPr>
          <w:rFonts w:ascii="Times New Roman" w:cs="Times New Roman" w:eastAsia="Times New Roman" w:hAnsi="Times New Roman"/>
          <w:sz w:val="19"/>
          <w:szCs w:val="19"/>
          <w:b w:val="1"/>
          <w:bCs w:val="1"/>
          <w:i w:val="1"/>
          <w:iCs w:val="1"/>
          <w:color w:val="auto"/>
        </w:rPr>
        <w:t>Unencumbered Asset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Conditions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that if any Asset does not meet all of the Unencumbered Asset Conditions, then, upon request of the Borrower, such Asset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may be included as an “Unencumbered Asset” with the written consent of the Required Lenders.</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Unencumbered Asset Conditions</w:t>
      </w:r>
      <w:r>
        <w:rPr>
          <w:rFonts w:ascii="Times New Roman" w:cs="Times New Roman" w:eastAsia="Times New Roman" w:hAnsi="Times New Roman"/>
          <w:sz w:val="19"/>
          <w:szCs w:val="19"/>
          <w:color w:val="auto"/>
        </w:rPr>
        <w:t>” has the meaning specified in the definition of Unencumbered Assets.</w:t>
      </w:r>
    </w:p>
    <w:p>
      <w:pPr>
        <w:spacing w:after="0" w:line="214"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Unencumbered Asset Debt Service Coverage Ratio</w:t>
      </w:r>
      <w:r>
        <w:rPr>
          <w:rFonts w:ascii="Times New Roman" w:cs="Times New Roman" w:eastAsia="Times New Roman" w:hAnsi="Times New Roman"/>
          <w:sz w:val="19"/>
          <w:szCs w:val="19"/>
          <w:color w:val="auto"/>
        </w:rPr>
        <w:t>” means, at any date of determination, the ratio of (a) the aggregate Adjusted Net Operating Income for all Unencumbered Assets to (b) the product of (i) four times (ii) the actual interest expense payable on all senior Unsecured Debt of the Parent and its Subsidiaries during the fiscal quarter of the Parent most recently ended for which financial statements are required to be delivered pursuant to Section 5.03(b) or (c), as the case may be.</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Unencumbered Asset Value</w:t>
      </w:r>
      <w:r>
        <w:rPr>
          <w:rFonts w:ascii="Times New Roman" w:cs="Times New Roman" w:eastAsia="Times New Roman" w:hAnsi="Times New Roman"/>
          <w:sz w:val="19"/>
          <w:szCs w:val="19"/>
          <w:color w:val="auto"/>
        </w:rPr>
        <w:t>” means an amount equal to the sum of the Asset Values of all Unencumbered Assets.</w:t>
      </w:r>
    </w:p>
    <w:p>
      <w:pPr>
        <w:spacing w:after="0" w:line="214"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Unrestricted Cash</w:t>
      </w:r>
      <w:r>
        <w:rPr>
          <w:rFonts w:ascii="Times New Roman" w:cs="Times New Roman" w:eastAsia="Times New Roman" w:hAnsi="Times New Roman"/>
          <w:sz w:val="19"/>
          <w:szCs w:val="19"/>
          <w:color w:val="auto"/>
        </w:rPr>
        <w:t xml:space="preserve">” means an amount (if greater than zero) equal to (a) cash and Cash Equivalents of the Loan Parties and their Subsidiaries that are not subject to any Lien (excluding statutory liens in favor of any depositary bank where such cash is maintained),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(b) the sum of amounts included in the foregoing clause (a) that are with a Person other than the Borrower and its Subsidiaries as escrows, deposits or security for contractual obligations.</w:t>
      </w:r>
    </w:p>
    <w:p>
      <w:pPr>
        <w:spacing w:after="0" w:line="177"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Unrestricted Subsidiary</w:t>
      </w:r>
      <w:r>
        <w:rPr>
          <w:rFonts w:ascii="Times New Roman" w:cs="Times New Roman" w:eastAsia="Times New Roman" w:hAnsi="Times New Roman"/>
          <w:sz w:val="19"/>
          <w:szCs w:val="19"/>
          <w:color w:val="auto"/>
        </w:rPr>
        <w:t>” means each Subsidiary of the Parent that (a) does not own, directly or indirectly, any operating Asset or Unencumbered Asset, (b) owns only Assets that are each at least 50% pre-leased to a governmental entity and (c) is designated or redesignated by the Borrower as an Unrestricted Subsidiary pursuant to Section 5.01(n) and (d) is not a guarantor of, or otherwise obligated in respect of, any Debt of the Parent or any of its Subsidiaries (other than any Unrestricted Subsidiary).</w:t>
      </w:r>
    </w:p>
    <w:p>
      <w:pPr>
        <w:spacing w:after="0" w:line="177"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Unsecured Debt</w:t>
      </w:r>
      <w:r>
        <w:rPr>
          <w:rFonts w:ascii="Times New Roman" w:cs="Times New Roman" w:eastAsia="Times New Roman" w:hAnsi="Times New Roman"/>
          <w:sz w:val="19"/>
          <w:szCs w:val="19"/>
          <w:color w:val="auto"/>
        </w:rPr>
        <w:t xml:space="preserve">” means all Debt of the Parent and its Subsidiaries, including the Facility Exposure, but exclusive of (a) Secured Debt, (b) guarantee obligations in respect of Secured Debt, and (c) guaranties by parent entities of the Recourse Debt of one or more of their Subsidiaries;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any Debt that is recourse to a Loan Party and is secured solely by a pledge of Equity Interests shall not be treated as Secured Debt and shall be deemed to be Unsecured Debt.</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Unsecured Leverage Increase Period</w:t>
      </w:r>
      <w:r>
        <w:rPr>
          <w:rFonts w:ascii="Times New Roman" w:cs="Times New Roman" w:eastAsia="Times New Roman" w:hAnsi="Times New Roman"/>
          <w:sz w:val="19"/>
          <w:szCs w:val="19"/>
          <w:color w:val="auto"/>
        </w:rPr>
        <w:t>” has the meaning specified in Section 5.04(b)(i).</w:t>
      </w:r>
    </w:p>
    <w:p>
      <w:pPr>
        <w:spacing w:after="0" w:line="214" w:lineRule="exact"/>
        <w:rPr>
          <w:sz w:val="20"/>
          <w:szCs w:val="20"/>
          <w:color w:val="auto"/>
        </w:rPr>
      </w:pPr>
    </w:p>
    <w:p>
      <w:pPr>
        <w:jc w:val="both"/>
        <w:ind w:firstLine="1497"/>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Unsecured Leverage Ratio</w:t>
      </w:r>
      <w:r>
        <w:rPr>
          <w:rFonts w:ascii="Times New Roman" w:cs="Times New Roman" w:eastAsia="Times New Roman" w:hAnsi="Times New Roman"/>
          <w:sz w:val="18"/>
          <w:szCs w:val="18"/>
          <w:color w:val="auto"/>
        </w:rPr>
        <w:t xml:space="preserve">” means, at any date of determination, the ratio, expressed as a percentage, of (a) Unsecured Debt of the Parent and its Subsidiaries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amount by which the aggregate Unrestricted Cash and Cash Equivalents of the Parent and its Subsidiaries at such time exceeds $10,000,000 (the “</w:t>
      </w:r>
      <w:r>
        <w:rPr>
          <w:rFonts w:ascii="Times New Roman" w:cs="Times New Roman" w:eastAsia="Times New Roman" w:hAnsi="Times New Roman"/>
          <w:sz w:val="18"/>
          <w:szCs w:val="18"/>
          <w:b w:val="1"/>
          <w:bCs w:val="1"/>
          <w:i w:val="1"/>
          <w:iCs w:val="1"/>
          <w:color w:val="auto"/>
        </w:rPr>
        <w:t>Unsecured Leverage Ratio Adjustment</w:t>
      </w:r>
      <w:r>
        <w:rPr>
          <w:rFonts w:ascii="Times New Roman" w:cs="Times New Roman" w:eastAsia="Times New Roman" w:hAnsi="Times New Roman"/>
          <w:sz w:val="18"/>
          <w:szCs w:val="18"/>
          <w:color w:val="auto"/>
        </w:rPr>
        <w:t xml:space="preserve">”) to (b) Total Unencumbered Asset Value;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42" w:name="page43"/>
    <w:bookmarkEnd w:id="42"/>
    <w:p>
      <w:pPr>
        <w:jc w:val="both"/>
        <w:spacing w:after="0" w:line="265" w:lineRule="auto"/>
        <w:rPr>
          <w:sz w:val="20"/>
          <w:szCs w:val="20"/>
          <w:color w:val="auto"/>
        </w:rPr>
      </w:pPr>
      <w:r>
        <w:rPr>
          <w:rFonts w:ascii="Times New Roman" w:cs="Times New Roman" w:eastAsia="Times New Roman" w:hAnsi="Times New Roman"/>
          <w:sz w:val="19"/>
          <w:szCs w:val="19"/>
          <w:color w:val="auto"/>
        </w:rPr>
        <w:t>of clause (a), Unrestricted Cash and Cash Equivalents shall be adjusted to deduct therefrom any Unrestricted Cash and Cash Equivalents used to determine the Secured Debt Leverage Ratio Adjustment.</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Unsecured Leverage Ratio Adjustment</w:t>
      </w:r>
      <w:r>
        <w:rPr>
          <w:rFonts w:ascii="Times New Roman" w:cs="Times New Roman" w:eastAsia="Times New Roman" w:hAnsi="Times New Roman"/>
          <w:sz w:val="19"/>
          <w:szCs w:val="19"/>
          <w:color w:val="auto"/>
        </w:rPr>
        <w:t>” has the meaning specified in the definition of Unsecured Leverage Ratio.</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USBNA</w:t>
      </w:r>
      <w:r>
        <w:rPr>
          <w:rFonts w:ascii="Times New Roman" w:cs="Times New Roman" w:eastAsia="Times New Roman" w:hAnsi="Times New Roman"/>
          <w:sz w:val="19"/>
          <w:szCs w:val="19"/>
          <w:color w:val="auto"/>
        </w:rPr>
        <w:t>” has the meaning specified in the recital of parties to this Agreement.</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U.S. Government Securities Business Day</w:t>
      </w:r>
      <w:r>
        <w:rPr>
          <w:rFonts w:ascii="Times New Roman" w:cs="Times New Roman" w:eastAsia="Times New Roman" w:hAnsi="Times New Roman"/>
          <w:sz w:val="19"/>
          <w:szCs w:val="19"/>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3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U.S. Person</w:t>
      </w:r>
      <w:r>
        <w:rPr>
          <w:rFonts w:ascii="Times New Roman" w:cs="Times New Roman" w:eastAsia="Times New Roman" w:hAnsi="Times New Roman"/>
          <w:sz w:val="19"/>
          <w:szCs w:val="19"/>
          <w:color w:val="auto"/>
        </w:rPr>
        <w:t>” means any Person that is a “United States Person” as defined in Section 7701(a)(30) of the Internal Revenue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Code.</w:t>
      </w:r>
    </w:p>
    <w:p>
      <w:pPr>
        <w:spacing w:after="0" w:line="1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U.S. Special Resolution Regimes</w:t>
      </w:r>
      <w:r>
        <w:rPr>
          <w:rFonts w:ascii="Times New Roman" w:cs="Times New Roman" w:eastAsia="Times New Roman" w:hAnsi="Times New Roman"/>
          <w:sz w:val="19"/>
          <w:szCs w:val="19"/>
          <w:color w:val="auto"/>
        </w:rPr>
        <w:t>” has the meaning specified in Section 9.21.</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U.S. Tax Compliance Certificate</w:t>
      </w:r>
      <w:r>
        <w:rPr>
          <w:rFonts w:ascii="Times New Roman" w:cs="Times New Roman" w:eastAsia="Times New Roman" w:hAnsi="Times New Roman"/>
          <w:sz w:val="19"/>
          <w:szCs w:val="19"/>
          <w:color w:val="auto"/>
        </w:rPr>
        <w:t>” has the meaning specified in Section 2.12(g)(ii)(C).</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Voting Interests</w:t>
      </w:r>
      <w:r>
        <w:rPr>
          <w:rFonts w:ascii="Times New Roman" w:cs="Times New Roman" w:eastAsia="Times New Roman" w:hAnsi="Times New Roman"/>
          <w:sz w:val="19"/>
          <w:szCs w:val="19"/>
          <w:color w:val="auto"/>
        </w:rPr>
        <w:t>” means shares of capital stock issued by a corporation, or equivalent Equity Interests in any other Person, the holders of which are ordinarily, in the absence of contingencies, entitled to vote for the election of directors (or the election or appointment of persons performing similar functions) of such Person, even if the right so to vote has been suspended by the happening of such a contingency.</w:t>
      </w:r>
    </w:p>
    <w:p>
      <w:pPr>
        <w:spacing w:after="0" w:line="170"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Welfare Plan</w:t>
      </w:r>
      <w:r>
        <w:rPr>
          <w:rFonts w:ascii="Times New Roman" w:cs="Times New Roman" w:eastAsia="Times New Roman" w:hAnsi="Times New Roman"/>
          <w:sz w:val="19"/>
          <w:szCs w:val="19"/>
          <w:color w:val="auto"/>
        </w:rPr>
        <w:t>” means a welfare plan, as defined in Section 3(1) of ERISA, that is maintained for employees of any Loan Party or in respect of which any Loan Party could have liability under applicable law.</w:t>
      </w:r>
    </w:p>
    <w:p>
      <w:pPr>
        <w:spacing w:after="0" w:line="153"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Wholly-Owned Subsidiary</w:t>
      </w:r>
      <w:r>
        <w:rPr>
          <w:rFonts w:ascii="Times New Roman" w:cs="Times New Roman" w:eastAsia="Times New Roman" w:hAnsi="Times New Roman"/>
          <w:sz w:val="19"/>
          <w:szCs w:val="19"/>
          <w:color w:val="auto"/>
        </w:rPr>
        <w:t>” means, with respect to any Person on any date, any corporation, partnership, limited liability company or other entity of which one hundred percent (100%) of the Equity Interests and one hundred percent (100%) of the ordinary voting power are, as of such date, owned and controlled, directly or indirectly, by such Person.</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Withdrawal Liability</w:t>
      </w:r>
      <w:r>
        <w:rPr>
          <w:rFonts w:ascii="Times New Roman" w:cs="Times New Roman" w:eastAsia="Times New Roman" w:hAnsi="Times New Roman"/>
          <w:sz w:val="19"/>
          <w:szCs w:val="19"/>
          <w:color w:val="auto"/>
        </w:rPr>
        <w:t>” has the meaning specified in Part I of Subtitle E of Title IV of ERISA.</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Withholding Agent</w:t>
      </w:r>
      <w:r>
        <w:rPr>
          <w:rFonts w:ascii="Times New Roman" w:cs="Times New Roman" w:eastAsia="Times New Roman" w:hAnsi="Times New Roman"/>
          <w:sz w:val="19"/>
          <w:szCs w:val="19"/>
          <w:color w:val="auto"/>
        </w:rPr>
        <w:t>” means (a) any Loan Party or (b) the Administrative Agent.</w:t>
      </w:r>
    </w:p>
    <w:p>
      <w:pPr>
        <w:spacing w:after="0" w:line="190" w:lineRule="exact"/>
        <w:rPr>
          <w:sz w:val="20"/>
          <w:szCs w:val="20"/>
          <w:color w:val="auto"/>
        </w:rPr>
      </w:pPr>
    </w:p>
    <w:p>
      <w:pPr>
        <w:jc w:val="both"/>
        <w:ind w:firstLine="1497"/>
        <w:spacing w:after="0" w:line="227"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Write-Down and Conversion Powers</w:t>
      </w:r>
      <w:r>
        <w:rPr>
          <w:rFonts w:ascii="Times New Roman" w:cs="Times New Roman" w:eastAsia="Times New Roman" w:hAnsi="Times New Roman"/>
          <w:sz w:val="19"/>
          <w:szCs w:val="19"/>
          <w:color w:val="auto"/>
        </w:rPr>
        <w:t>” means, (a) with respect to any EEA Resolution Authority, the write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down and conversion powers of such EEA Resolution Authority from time to time under the Bail</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 Legislation for the applicable EEA Member Country, which write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down and conversion powers are described in the EU Bail</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 Legislation Schedule, and (b) in relation to the UK Bail-In Legislation,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3" w:name="page44"/>
    <w:bookmarkEnd w:id="43"/>
    <w:p>
      <w:pPr>
        <w:jc w:val="both"/>
        <w:ind w:firstLine="1497"/>
        <w:spacing w:after="0" w:line="244" w:lineRule="auto"/>
        <w:rPr>
          <w:sz w:val="20"/>
          <w:szCs w:val="20"/>
          <w:color w:val="auto"/>
        </w:rPr>
      </w:pPr>
      <w:r>
        <w:rPr>
          <w:rFonts w:ascii="Times New Roman" w:cs="Times New Roman" w:eastAsia="Times New Roman" w:hAnsi="Times New Roman"/>
          <w:sz w:val="19"/>
          <w:szCs w:val="19"/>
          <w:color w:val="010000"/>
        </w:rPr>
        <w:t xml:space="preserve">Section 1.02 </w:t>
      </w:r>
      <w:r>
        <w:rPr>
          <w:rFonts w:ascii="Times New Roman" w:cs="Times New Roman" w:eastAsia="Times New Roman" w:hAnsi="Times New Roman"/>
          <w:sz w:val="19"/>
          <w:szCs w:val="19"/>
          <w:u w:val="single" w:color="auto"/>
          <w:color w:val="000000"/>
        </w:rPr>
        <w:t>Computation of Time Periods; Other Definitional Provisions</w:t>
      </w:r>
      <w:r>
        <w:rPr>
          <w:rFonts w:ascii="Times New Roman" w:cs="Times New Roman" w:eastAsia="Times New Roman" w:hAnsi="Times New Roman"/>
          <w:sz w:val="19"/>
          <w:szCs w:val="19"/>
          <w:color w:val="000000"/>
        </w:rPr>
        <w:t>. In this Agreement and the other Loan Documents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in the computation of periods of time from a specified date to a later specified date, the word “</w:t>
      </w:r>
      <w:r>
        <w:rPr>
          <w:rFonts w:ascii="Times New Roman" w:cs="Times New Roman" w:eastAsia="Times New Roman" w:hAnsi="Times New Roman"/>
          <w:sz w:val="19"/>
          <w:szCs w:val="19"/>
          <w:b w:val="1"/>
          <w:bCs w:val="1"/>
          <w:i w:val="1"/>
          <w:iCs w:val="1"/>
          <w:color w:val="000000"/>
        </w:rPr>
        <w:t>from</w:t>
      </w:r>
      <w:r>
        <w:rPr>
          <w:rFonts w:ascii="Times New Roman" w:cs="Times New Roman" w:eastAsia="Times New Roman" w:hAnsi="Times New Roman"/>
          <w:sz w:val="19"/>
          <w:szCs w:val="19"/>
          <w:color w:val="000000"/>
        </w:rPr>
        <w:t>” means “from and including” and the words “</w:t>
      </w:r>
      <w:r>
        <w:rPr>
          <w:rFonts w:ascii="Times New Roman" w:cs="Times New Roman" w:eastAsia="Times New Roman" w:hAnsi="Times New Roman"/>
          <w:sz w:val="19"/>
          <w:szCs w:val="19"/>
          <w:b w:val="1"/>
          <w:bCs w:val="1"/>
          <w:i w:val="1"/>
          <w:iCs w:val="1"/>
          <w:color w:val="000000"/>
        </w:rPr>
        <w:t>to</w:t>
      </w:r>
      <w:r>
        <w:rPr>
          <w:rFonts w:ascii="Times New Roman" w:cs="Times New Roman" w:eastAsia="Times New Roman" w:hAnsi="Times New Roman"/>
          <w:sz w:val="19"/>
          <w:szCs w:val="19"/>
          <w:color w:val="000000"/>
        </w:rPr>
        <w:t>” and “</w:t>
      </w:r>
      <w:r>
        <w:rPr>
          <w:rFonts w:ascii="Times New Roman" w:cs="Times New Roman" w:eastAsia="Times New Roman" w:hAnsi="Times New Roman"/>
          <w:sz w:val="19"/>
          <w:szCs w:val="19"/>
          <w:b w:val="1"/>
          <w:bCs w:val="1"/>
          <w:i w:val="1"/>
          <w:iCs w:val="1"/>
          <w:color w:val="000000"/>
        </w:rPr>
        <w:t>until</w:t>
      </w:r>
      <w:r>
        <w:rPr>
          <w:rFonts w:ascii="Times New Roman" w:cs="Times New Roman" w:eastAsia="Times New Roman" w:hAnsi="Times New Roman"/>
          <w:sz w:val="19"/>
          <w:szCs w:val="19"/>
          <w:color w:val="000000"/>
        </w:rPr>
        <w:t>” each mean “to but excluding”. References in the Loan Documents to any agreement or contract “</w:t>
      </w:r>
      <w:r>
        <w:rPr>
          <w:rFonts w:ascii="Times New Roman" w:cs="Times New Roman" w:eastAsia="Times New Roman" w:hAnsi="Times New Roman"/>
          <w:sz w:val="19"/>
          <w:szCs w:val="19"/>
          <w:b w:val="1"/>
          <w:bCs w:val="1"/>
          <w:i w:val="1"/>
          <w:iCs w:val="1"/>
          <w:color w:val="000000"/>
        </w:rPr>
        <w:t>as amended</w:t>
      </w:r>
      <w:r>
        <w:rPr>
          <w:rFonts w:ascii="Times New Roman" w:cs="Times New Roman" w:eastAsia="Times New Roman" w:hAnsi="Times New Roman"/>
          <w:sz w:val="19"/>
          <w:szCs w:val="19"/>
          <w:color w:val="000000"/>
        </w:rPr>
        <w:t>” shall mean and be a reference to such agreement or contract as amended, amended and restated, supplemented or otherwise modified from time to time in accordance with its terms.</w:t>
      </w:r>
    </w:p>
    <w:p>
      <w:pPr>
        <w:spacing w:after="0" w:line="185"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1.03</w:t>
      </w:r>
      <w:r>
        <w:rPr>
          <w:sz w:val="20"/>
          <w:szCs w:val="20"/>
          <w:color w:val="auto"/>
        </w:rPr>
        <w:tab/>
      </w:r>
      <w:r>
        <w:rPr>
          <w:rFonts w:ascii="Times New Roman" w:cs="Times New Roman" w:eastAsia="Times New Roman" w:hAnsi="Times New Roman"/>
          <w:sz w:val="18"/>
          <w:szCs w:val="18"/>
          <w:u w:val="single" w:color="auto"/>
          <w:color w:val="auto"/>
        </w:rPr>
        <w:t>Accounting Terms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right="20" w:firstLine="1505"/>
        <w:spacing w:after="0" w:line="265" w:lineRule="auto"/>
        <w:tabs>
          <w:tab w:leader="none" w:pos="1875"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accounting terms not specifically defined herein shall be construed in accordance with generally accepted accounting principles consistent with those applied in the preparation of the financial statements referred to in Section 4.01(g) (“</w:t>
      </w:r>
      <w:r>
        <w:rPr>
          <w:rFonts w:ascii="Times New Roman" w:cs="Times New Roman" w:eastAsia="Times New Roman" w:hAnsi="Times New Roman"/>
          <w:sz w:val="19"/>
          <w:szCs w:val="19"/>
          <w:b w:val="1"/>
          <w:bCs w:val="1"/>
          <w:i w:val="1"/>
          <w:iCs w:val="1"/>
          <w:color w:val="auto"/>
        </w:rPr>
        <w:t>GAAP</w:t>
      </w: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jc w:val="both"/>
        <w:ind w:firstLine="1505"/>
        <w:spacing w:after="0"/>
        <w:tabs>
          <w:tab w:leader="none" w:pos="1875"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at any time after the Closing Date there are any changes in accounting principles required by GAAP or the Financial Accounting Standards Board of the American Institute of Certified Public Accountants or similar agencies that would result in a change in the method of calculation of, or affects the results of such calculation of, any of the financial covenants, standards or terms found in this Agreement, and either the Borrower or the Required Lenders shall so request, then the Administrative Agent, the Required Lenders and the Borrower shall negotiate in good faith to amend such financial covenants, standards or terms so as to equitably reflect such change, with the desired result that the criteria for evaluating the financial condition of the Borrower and its Subsidiaries (determined on a Consolidated basis) shall be the same after such change as if such change had not been made. Such provisions shall be amended in a manner satisfactory to the Borrower, the Administrative Agent and the Required Lenders. Until covenants, standards, or terms of this Agreement are amended in accordance with this Section 1.03(b), such covenants, standards and terms shall be computed and determined in accordance with accounting principles in effect prior to such change in accounting principles.</w:t>
      </w:r>
    </w:p>
    <w:p>
      <w:pPr>
        <w:spacing w:after="0" w:line="191"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19"/>
          <w:szCs w:val="19"/>
          <w:color w:val="010000"/>
        </w:rPr>
        <w:t xml:space="preserve">Section 1.04 </w:t>
      </w:r>
      <w:r>
        <w:rPr>
          <w:rFonts w:ascii="Times New Roman" w:cs="Times New Roman" w:eastAsia="Times New Roman" w:hAnsi="Times New Roman"/>
          <w:sz w:val="19"/>
          <w:szCs w:val="19"/>
          <w:u w:val="single" w:color="auto"/>
          <w:color w:val="000000"/>
        </w:rPr>
        <w:t>Divisions</w:t>
      </w:r>
      <w:r>
        <w:rPr>
          <w:rFonts w:ascii="Times New Roman" w:cs="Times New Roman" w:eastAsia="Times New Roman" w:hAnsi="Times New Roman"/>
          <w:sz w:val="19"/>
          <w:szCs w:val="19"/>
          <w:color w:val="000000"/>
        </w:rPr>
        <w:t>. For all purposes under the Loan Documents, in connection with any Division or plan of division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II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AMOUNTS AND TERMS OF THE ADVANCES</w:t>
      </w:r>
    </w:p>
    <w:p>
      <w:pPr>
        <w:spacing w:after="0" w:line="218"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19"/>
          <w:szCs w:val="19"/>
          <w:color w:val="010000"/>
        </w:rPr>
        <w:t xml:space="preserve">Section 2.01 </w:t>
      </w:r>
      <w:r>
        <w:rPr>
          <w:rFonts w:ascii="Times New Roman" w:cs="Times New Roman" w:eastAsia="Times New Roman" w:hAnsi="Times New Roman"/>
          <w:sz w:val="19"/>
          <w:szCs w:val="19"/>
          <w:u w:val="single" w:color="auto"/>
          <w:color w:val="000000"/>
        </w:rPr>
        <w:t>The Advances</w:t>
      </w:r>
      <w:r>
        <w:rPr>
          <w:rFonts w:ascii="Times New Roman" w:cs="Times New Roman" w:eastAsia="Times New Roman" w:hAnsi="Times New Roman"/>
          <w:sz w:val="19"/>
          <w:szCs w:val="19"/>
          <w:color w:val="000000"/>
        </w:rPr>
        <w:t>. Each Lender severally, but not jointly, agrees, on the terms and conditions hereinafter set forth,</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to fund to the Borrower an amount equal to its ratable portion of the Facility in accordance with its respective Commitment on the Closing Date as a single advance denominated in U.S. Dollars (each such advance and any advance made pursuant to Section 2.17, an “</w:t>
      </w:r>
      <w:r>
        <w:rPr>
          <w:rFonts w:ascii="Times New Roman" w:cs="Times New Roman" w:eastAsia="Times New Roman" w:hAnsi="Times New Roman"/>
          <w:sz w:val="19"/>
          <w:szCs w:val="19"/>
          <w:b w:val="1"/>
          <w:bCs w:val="1"/>
          <w:i w:val="1"/>
          <w:iCs w:val="1"/>
          <w:color w:val="000000"/>
        </w:rPr>
        <w:t>Advance</w:t>
      </w:r>
      <w:r>
        <w:rPr>
          <w:rFonts w:ascii="Times New Roman" w:cs="Times New Roman" w:eastAsia="Times New Roman" w:hAnsi="Times New Roman"/>
          <w:sz w:val="19"/>
          <w:szCs w:val="19"/>
          <w:color w:val="000000"/>
        </w:rPr>
        <w:t>”). With respect to each Borrowing: (A) the minimum amount of such Borrowing shall be in an aggregate amount of $25,000,000 or an integral multiple of $5,000,000 in excess thereof, or, if less, the aggregate then remaining unfunded Commitments allocable thereto, (B) such Borrowing shall consist of Advances made simultaneously by the Lenders ratably according to their Commitments, (C) such Borrowing shall be subject to the conditions in Section 3.02 having been satisfied and (D) the aggregate amounts advanced to the Borrower pursuant to this Section 2.01 and Section 2.17 shall not exceed the aggregate Commitments. The Borrower shall not have the right to reborrow any portion of the Advances that is repaid or prepaid.</w:t>
      </w:r>
    </w:p>
    <w:p>
      <w:pPr>
        <w:spacing w:after="0" w:line="189"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2.02</w:t>
      </w:r>
      <w:r>
        <w:rPr>
          <w:sz w:val="20"/>
          <w:szCs w:val="20"/>
          <w:color w:val="auto"/>
        </w:rPr>
        <w:tab/>
      </w:r>
      <w:r>
        <w:rPr>
          <w:rFonts w:ascii="Times New Roman" w:cs="Times New Roman" w:eastAsia="Times New Roman" w:hAnsi="Times New Roman"/>
          <w:sz w:val="18"/>
          <w:szCs w:val="18"/>
          <w:u w:val="single" w:color="auto"/>
          <w:color w:val="auto"/>
        </w:rPr>
        <w:t>Making the Advances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firstLine="1505"/>
        <w:spacing w:after="0" w:line="265" w:lineRule="auto"/>
        <w:tabs>
          <w:tab w:leader="none" w:pos="1875"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Borrowing shall be made on notice, given not later than 12:00 Noon (New York City time) on the third Business Day prior to the date of the proposed Borrowing in the case of a Borrowing</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4" w:name="page45"/>
    <w:bookmarkEnd w:id="44"/>
    <w:p>
      <w:pPr>
        <w:jc w:val="both"/>
        <w:spacing w:after="0" w:line="219" w:lineRule="exact"/>
        <w:rPr>
          <w:sz w:val="20"/>
          <w:szCs w:val="20"/>
          <w:color w:val="auto"/>
        </w:rPr>
      </w:pPr>
      <w:r>
        <w:rPr>
          <w:rFonts w:ascii="Times New Roman" w:cs="Times New Roman" w:eastAsia="Times New Roman" w:hAnsi="Times New Roman"/>
          <w:sz w:val="19"/>
          <w:szCs w:val="19"/>
          <w:color w:val="auto"/>
        </w:rPr>
        <w:t>consisting of Term SOFR Advances, not later than 11:00 A.M. (New York City time) on the date of the proposed Borrowing in the case of a Borrowing consisting of DSS Advances or not later than 11:00 A.M. (New York City time) on the date of the proposed Borrowing in the case of a Borrowing consisting of Base Rate Advances, by the Borrower to the Administrative Agent, which shall give to each Lender prompt notice thereof by telecopier or e-mail. Each such notice of a Borrowing (a “</w:t>
      </w:r>
      <w:r>
        <w:rPr>
          <w:rFonts w:ascii="Times New Roman" w:cs="Times New Roman" w:eastAsia="Times New Roman" w:hAnsi="Times New Roman"/>
          <w:sz w:val="19"/>
          <w:szCs w:val="19"/>
          <w:b w:val="1"/>
          <w:bCs w:val="1"/>
          <w:i w:val="1"/>
          <w:iCs w:val="1"/>
          <w:color w:val="auto"/>
        </w:rPr>
        <w:t>Notice of Borrowing</w:t>
      </w:r>
      <w:r>
        <w:rPr>
          <w:rFonts w:ascii="Times New Roman" w:cs="Times New Roman" w:eastAsia="Times New Roman" w:hAnsi="Times New Roman"/>
          <w:sz w:val="19"/>
          <w:szCs w:val="19"/>
          <w:color w:val="auto"/>
        </w:rPr>
        <w:t>”) shall be by telephone, confirmed immediately in writing, or telecopier or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mail, in each case in substantially the form of Exhibit B hereto, specifying therein the requested (i) date of such Borrowing, (ii) Type of Advances comprising such Borrowing, (iii) aggregate amount of such Borrowing and (iv) in the case of a Borrowing consisting of Term SOFR Advances, the initial Interest Period for each such Advance. Each Lender shall, before 12:00 Noon (New York City time) on the date of such Borrowing in the case of a Borrowing consisting of Term SOFR Advances, 1:00 P.M. (New York City time) on the date of such Borrowing in the case of a Borrowing consisting of DSS Advances and 1:00 P.M. (New York City time) on the date of such Borrowing in the case of a Borrowing consisting of Base Rate Advances, make available for the account of its Applicable Lending Office to the Administrative Agent at the Administrative Agent’s Account, in same day funds, such Lender’s ratable portion of such Borrowing in accordance with the respective Commitments of such Lender and the other Lenders. After the Administrative Agent’s receipt of such funds and upon fulfillment of the applicable conditions set forth in Article III, the Administrative Agent will make such funds available to the Borrower by crediting the Borrower’s Account.</w:t>
      </w:r>
    </w:p>
    <w:p>
      <w:pPr>
        <w:spacing w:after="0" w:line="197" w:lineRule="exact"/>
        <w:rPr>
          <w:sz w:val="20"/>
          <w:szCs w:val="20"/>
          <w:color w:val="auto"/>
        </w:rPr>
      </w:pPr>
    </w:p>
    <w:p>
      <w:pPr>
        <w:jc w:val="both"/>
        <w:ind w:firstLine="1505"/>
        <w:spacing w:after="0" w:line="251" w:lineRule="auto"/>
        <w:tabs>
          <w:tab w:leader="none" w:pos="1875"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Anything in subsection (a) above to the contrary notwithstanding, the Borrower may not select Term SOFR Advances or DSS Advances if the aggregate amount of such Borrowing is less than $1,000,000 or if the obligation of the Lenders to make Term SOFR Advances or DSS Advances shall then be suspended pursuant to Section 2.07(d)(ii), 2.09 or 2.10.</w:t>
      </w:r>
    </w:p>
    <w:p>
      <w:pPr>
        <w:spacing w:after="0" w:line="178" w:lineRule="exact"/>
        <w:rPr>
          <w:rFonts w:ascii="Times New Roman" w:cs="Times New Roman" w:eastAsia="Times New Roman" w:hAnsi="Times New Roman"/>
          <w:sz w:val="19"/>
          <w:szCs w:val="19"/>
          <w:color w:val="auto"/>
        </w:rPr>
      </w:pPr>
    </w:p>
    <w:p>
      <w:pPr>
        <w:jc w:val="both"/>
        <w:ind w:firstLine="1505"/>
        <w:spacing w:after="0" w:line="242" w:lineRule="auto"/>
        <w:tabs>
          <w:tab w:leader="none" w:pos="1875"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Notice of Borrowing shall be irrevocable and binding on the Borrower. In the case of any Borrowing that the related Notice of Borrowing specifies is to be comprised of Term SOFR Advances or DSS Advances, the Borrower shall indemnify each Lender against any loss, cost or expense incurred by such Lender as a result of any failure to fulfill on or before the date specified for such Borrowing in such Notice of Borrowing, the applicable conditions set forth in Article III, including, without limitation, any loss, cost or expense incurred by reason of the liquidation or reemployment of deposits or other funds acquired by such Lender to fund the Advance to be made by such Lender as part of such Borrowing when such Advance, as a result of such failure, is not made on such date.</w:t>
      </w:r>
    </w:p>
    <w:p>
      <w:pPr>
        <w:spacing w:after="0" w:line="190" w:lineRule="exact"/>
        <w:rPr>
          <w:rFonts w:ascii="Times New Roman" w:cs="Times New Roman" w:eastAsia="Times New Roman" w:hAnsi="Times New Roman"/>
          <w:sz w:val="19"/>
          <w:szCs w:val="19"/>
          <w:color w:val="auto"/>
        </w:rPr>
      </w:pPr>
    </w:p>
    <w:p>
      <w:pPr>
        <w:jc w:val="both"/>
        <w:ind w:firstLine="1505"/>
        <w:spacing w:after="0" w:line="239" w:lineRule="auto"/>
        <w:tabs>
          <w:tab w:leader="none" w:pos="1875"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Administrative Agent shall have received notice from a Lender prior to (x) the date of any Borrowing consisting of Term SOFR Advances, (y) 11:00 A.M. (New York City time) on the date of any Borrowing consisting of DSS Advances or (z) 12:00 Noon (New York City time) on the date of any Borrowing consisting of Base Rate Advances that such Lender will not make available to the Administrative Agent such Lender’s ratable portion of such Borrowing, the Administrative Agent may assume that such Lender has made such portion available to the Administrative Agent on the date of such Borrowing in accordance with subsection (a) of this Section 2.02 and the Administrative Agent may, in reliance upon such assumption, make available to the Borrower on such date a corresponding amount. If and to the extent that such Lender shall not have so made such ratable portion available to the Administrative Agent, such Lender and the Borrower severally agree to repay or pay to the Administrative Agent forthwith on demand such corresponding amount and to pay interest thereon, for each day from the date such amount is made available to the Borrower until the date such amount is repaid or paid to the Administrative Agent, at (i) in the case of the Borrower, the interest rate applicable at such time under Section 2.07 to Advances comprising such Borrowing and (ii) in the case of such Lender, the Federal Funds Open Rate. If such Lender shall pay to the Administrative Agent such corresponding amount, such amount so paid shall constitute such Lender’s Advance as part of such Borrowing for all purposes.</w:t>
      </w:r>
    </w:p>
    <w:p>
      <w:pPr>
        <w:spacing w:after="0" w:line="197" w:lineRule="exact"/>
        <w:rPr>
          <w:rFonts w:ascii="Times New Roman" w:cs="Times New Roman" w:eastAsia="Times New Roman" w:hAnsi="Times New Roman"/>
          <w:sz w:val="19"/>
          <w:szCs w:val="19"/>
          <w:color w:val="auto"/>
        </w:rPr>
      </w:pPr>
    </w:p>
    <w:p>
      <w:pPr>
        <w:jc w:val="both"/>
        <w:ind w:firstLine="1505"/>
        <w:spacing w:after="0" w:line="251" w:lineRule="auto"/>
        <w:tabs>
          <w:tab w:leader="none" w:pos="1875"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of any Lender to make the Advance to be made by it as part of any Borrowing shall not relieve any other Lender of its obligation, if any, hereunder to make its Advance on the date of such Borrowing, but no Lender shall be responsible for the failure of any other Lender to make the Advance to be made by such other Lender on the date of any Borrowing.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5" w:name="page46"/>
    <w:bookmarkEnd w:id="45"/>
    <w:p>
      <w:pPr>
        <w:jc w:val="both"/>
        <w:ind w:firstLine="1505"/>
        <w:spacing w:after="0" w:line="244" w:lineRule="auto"/>
        <w:tabs>
          <w:tab w:leader="none" w:pos="1875"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may, at its option, make any Advance available to the Borrower by causing any foreign or domestic branch or Affiliate of such Lender to make such Advance;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 any exercise of such option shall not affect the obligation of the Borrower in accordance with the terms of this Agreement and (ii) nothing in this Section 2.02(f) shall be deemed to obligate any Lender to obtain the funds for any Advance in any particular place or manner or to constitute a representation or warranty by any Lender that it has obtained or will obtain the funds for any Advance in any particular place or manner.</w:t>
      </w:r>
    </w:p>
    <w:p>
      <w:pPr>
        <w:spacing w:after="0" w:line="185"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2.03</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firstLine="1497"/>
        <w:spacing w:after="0" w:line="265" w:lineRule="auto"/>
        <w:rPr>
          <w:sz w:val="20"/>
          <w:szCs w:val="20"/>
          <w:color w:val="auto"/>
        </w:rPr>
      </w:pPr>
      <w:r>
        <w:rPr>
          <w:rFonts w:ascii="Times New Roman" w:cs="Times New Roman" w:eastAsia="Times New Roman" w:hAnsi="Times New Roman"/>
          <w:sz w:val="19"/>
          <w:szCs w:val="19"/>
          <w:color w:val="010000"/>
        </w:rPr>
        <w:t xml:space="preserve">Section 2.04 </w:t>
      </w:r>
      <w:r>
        <w:rPr>
          <w:rFonts w:ascii="Times New Roman" w:cs="Times New Roman" w:eastAsia="Times New Roman" w:hAnsi="Times New Roman"/>
          <w:sz w:val="19"/>
          <w:szCs w:val="19"/>
          <w:u w:val="single" w:color="auto"/>
          <w:color w:val="000000"/>
        </w:rPr>
        <w:t>Repayment of Advances</w:t>
      </w:r>
      <w:r>
        <w:rPr>
          <w:rFonts w:ascii="Times New Roman" w:cs="Times New Roman" w:eastAsia="Times New Roman" w:hAnsi="Times New Roman"/>
          <w:sz w:val="19"/>
          <w:szCs w:val="19"/>
          <w:color w:val="000000"/>
        </w:rPr>
        <w:t>. The Borrower shall repay to the Administrative Agent for the ratable account of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Lenders on the Maturity Date the aggregate outstanding principal amount of the Advances then outstanding.</w:t>
      </w:r>
    </w:p>
    <w:p>
      <w:pPr>
        <w:spacing w:after="0" w:line="166"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2.05</w:t>
      </w:r>
      <w:r>
        <w:rPr>
          <w:sz w:val="20"/>
          <w:szCs w:val="20"/>
          <w:color w:val="auto"/>
        </w:rPr>
        <w:tab/>
      </w:r>
      <w:r>
        <w:rPr>
          <w:rFonts w:ascii="Times New Roman" w:cs="Times New Roman" w:eastAsia="Times New Roman" w:hAnsi="Times New Roman"/>
          <w:sz w:val="18"/>
          <w:szCs w:val="18"/>
          <w:u w:val="single" w:color="auto"/>
          <w:color w:val="auto"/>
        </w:rPr>
        <w:t>Termination or Reduction of the Commitments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1505"/>
        <w:spacing w:after="0" w:line="246" w:lineRule="auto"/>
        <w:tabs>
          <w:tab w:leader="none" w:pos="1875"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Optional</w:t>
      </w:r>
      <w:r>
        <w:rPr>
          <w:rFonts w:ascii="Times New Roman" w:cs="Times New Roman" w:eastAsia="Times New Roman" w:hAnsi="Times New Roman"/>
          <w:sz w:val="19"/>
          <w:szCs w:val="19"/>
          <w:color w:val="auto"/>
        </w:rPr>
        <w:t xml:space="preserve">. The Borrower may, upon at least three Business Days’ notice to the Administrative Agent, terminate in whole or reduce in part the unused portions of the Commitments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each partial reduction of the Facility (A) shall be in an aggregate amount of $5,000,000 or an integral multiple of $250,000 in excess thereof and (B) shall be made ratably among the Lenders in accordance with their Commitments. Once terminated, a Commitment may not be reinstated.</w:t>
      </w:r>
    </w:p>
    <w:p>
      <w:pPr>
        <w:spacing w:after="0" w:line="184" w:lineRule="exact"/>
        <w:rPr>
          <w:rFonts w:ascii="Times New Roman" w:cs="Times New Roman" w:eastAsia="Times New Roman" w:hAnsi="Times New Roman"/>
          <w:sz w:val="19"/>
          <w:szCs w:val="19"/>
          <w:color w:val="auto"/>
        </w:rPr>
      </w:pPr>
    </w:p>
    <w:p>
      <w:pPr>
        <w:ind w:firstLine="1505"/>
        <w:spacing w:after="0" w:line="265" w:lineRule="auto"/>
        <w:tabs>
          <w:tab w:leader="none" w:pos="1875"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Mandatory</w:t>
      </w:r>
      <w:r>
        <w:rPr>
          <w:rFonts w:ascii="Times New Roman" w:cs="Times New Roman" w:eastAsia="Times New Roman" w:hAnsi="Times New Roman"/>
          <w:sz w:val="19"/>
          <w:szCs w:val="19"/>
          <w:color w:val="auto"/>
        </w:rPr>
        <w:t xml:space="preserve">. The aggregate funded Commitments of the Lenders relating to any Advances that are repaid or prepaid shall be automatically and permanently reduced,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by the amount of such repayment or prepayment.</w:t>
      </w:r>
    </w:p>
    <w:p>
      <w:pPr>
        <w:spacing w:after="0" w:line="166"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2.06</w:t>
      </w:r>
      <w:r>
        <w:rPr>
          <w:sz w:val="20"/>
          <w:szCs w:val="20"/>
          <w:color w:val="auto"/>
        </w:rPr>
        <w:tab/>
      </w:r>
      <w:r>
        <w:rPr>
          <w:rFonts w:ascii="Times New Roman" w:cs="Times New Roman" w:eastAsia="Times New Roman" w:hAnsi="Times New Roman"/>
          <w:sz w:val="18"/>
          <w:szCs w:val="18"/>
          <w:u w:val="single" w:color="auto"/>
          <w:color w:val="auto"/>
        </w:rPr>
        <w:t>Prepayments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1505"/>
        <w:spacing w:after="0"/>
        <w:tabs>
          <w:tab w:leader="none" w:pos="1875"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Optional</w:t>
      </w:r>
      <w:r>
        <w:rPr>
          <w:rFonts w:ascii="Times New Roman" w:cs="Times New Roman" w:eastAsia="Times New Roman" w:hAnsi="Times New Roman"/>
          <w:sz w:val="19"/>
          <w:szCs w:val="19"/>
          <w:color w:val="auto"/>
        </w:rPr>
        <w:t xml:space="preserve">. The Borrower may, upon same day notice in the case of Base Rate Advances, two U.S. Government Securities Business Days’ notice in the case of Term SOFR Advances and one U.S. Government Securities Business Day’s notice in the case of DSS Advances in each case to the Administrative Agent stating the proposed date and aggregate principal amount of the prepayment, and if such notice is given the Borrower shall, prepay the outstanding aggregate principal amount of the Advances comprising part of the same Borrowing in whole or ratably in part, together with accrued interest to the date of such prepayment on the aggregate principal amount prepaid but otherwise without penalty or premium;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 each partial prepayment shall be in an aggregate principal amount of $1,000,000 or an integral multiple of $250,000 in excess thereof or, if less, the amount of the Advances outstanding and (ii) if any prepayment of a Term SOFR Advance is made on a date other than the last day of an Interest Period for such Advance, the Borrower shall also pay any amounts owing pursuant to Section 9.04(c).</w:t>
      </w:r>
    </w:p>
    <w:p>
      <w:pPr>
        <w:spacing w:after="0" w:line="193" w:lineRule="exact"/>
        <w:rPr>
          <w:rFonts w:ascii="Times New Roman" w:cs="Times New Roman" w:eastAsia="Times New Roman" w:hAnsi="Times New Roman"/>
          <w:sz w:val="19"/>
          <w:szCs w:val="19"/>
          <w:color w:val="auto"/>
        </w:rPr>
      </w:pPr>
    </w:p>
    <w:p>
      <w:pPr>
        <w:jc w:val="both"/>
        <w:ind w:firstLine="1505"/>
        <w:spacing w:after="0" w:line="242" w:lineRule="auto"/>
        <w:tabs>
          <w:tab w:leader="none" w:pos="1889"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Mandatory</w:t>
      </w:r>
      <w:r>
        <w:rPr>
          <w:rFonts w:ascii="Times New Roman" w:cs="Times New Roman" w:eastAsia="Times New Roman" w:hAnsi="Times New Roman"/>
          <w:sz w:val="19"/>
          <w:szCs w:val="19"/>
          <w:color w:val="auto"/>
        </w:rPr>
        <w:t>. The Borrower shall, if applicable, within one (1) Business Day after the earlier of the date on which (x) a Responsible Officer becomes aware of any non-compliance with the requirements described in the following clauses (A), (B) or (C) or (y) written notice thereof shall have been given to the Borrower by the Administrative Agent, prepay an aggregate principal amount of the Advances comprising part of the same Borrowings to cause (A) the Unsecured Leverage Ratio not to exceed the maximum Unsecured Leverage Ratio set forth in Section 5.04(b)(i) on such Business Day, (B) the Leverage Ratio not to exceed the maximum Leverage Ratio set forth in Section 5.04(a)(i) on such Business Day and (C) the Unencumbered Asset Debt Service Coverage Ratio not to be less than the minimum Unencumbered Asset Debt Service Coverage Ratio set forth in Section 5.04(b)(ii) on such Business Day.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6" w:name="page47"/>
    <w:bookmarkEnd w:id="46"/>
    <w:p>
      <w:pPr>
        <w:ind w:right="20" w:firstLine="1505"/>
        <w:spacing w:after="0" w:line="265" w:lineRule="auto"/>
        <w:tabs>
          <w:tab w:leader="none" w:pos="1875"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prepayments under this subsection (b) shall be made together with accrued interest to the date of such prepayment on the principal amount prepaid.</w:t>
      </w:r>
    </w:p>
    <w:p>
      <w:pPr>
        <w:spacing w:after="0" w:line="166"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2.07</w:t>
      </w:r>
      <w:r>
        <w:rPr>
          <w:sz w:val="20"/>
          <w:szCs w:val="20"/>
          <w:color w:val="auto"/>
        </w:rPr>
        <w:tab/>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ind w:firstLine="1505"/>
        <w:spacing w:after="0" w:line="265" w:lineRule="auto"/>
        <w:tabs>
          <w:tab w:leader="none" w:pos="1875" w:val="left"/>
        </w:tabs>
        <w:numPr>
          <w:ilvl w:val="1"/>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Scheduled Interest</w:t>
      </w:r>
      <w:r>
        <w:rPr>
          <w:rFonts w:ascii="Times New Roman" w:cs="Times New Roman" w:eastAsia="Times New Roman" w:hAnsi="Times New Roman"/>
          <w:sz w:val="19"/>
          <w:szCs w:val="19"/>
          <w:color w:val="auto"/>
        </w:rPr>
        <w:t>. The Borrower shall pay interest on the unpaid principal amount of each Advance owing to each Lender from the date of such Advance until such principal amount shall be paid in full, at the following rates per annum:</w:t>
      </w:r>
    </w:p>
    <w:p>
      <w:pPr>
        <w:spacing w:after="0" w:line="165" w:lineRule="exact"/>
        <w:rPr>
          <w:rFonts w:ascii="Times New Roman" w:cs="Times New Roman" w:eastAsia="Times New Roman" w:hAnsi="Times New Roman"/>
          <w:sz w:val="19"/>
          <w:szCs w:val="19"/>
          <w:color w:val="auto"/>
        </w:rPr>
      </w:pPr>
    </w:p>
    <w:p>
      <w:pPr>
        <w:jc w:val="both"/>
        <w:ind w:left="1500" w:firstLine="754"/>
        <w:spacing w:after="0" w:line="246" w:lineRule="auto"/>
        <w:tabs>
          <w:tab w:leader="none" w:pos="2627" w:val="left"/>
        </w:tabs>
        <w:numPr>
          <w:ilvl w:val="2"/>
          <w:numId w:val="2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Base Rate Advances</w:t>
      </w:r>
      <w:r>
        <w:rPr>
          <w:rFonts w:ascii="Times New Roman" w:cs="Times New Roman" w:eastAsia="Times New Roman" w:hAnsi="Times New Roman"/>
          <w:sz w:val="19"/>
          <w:szCs w:val="19"/>
          <w:color w:val="auto"/>
        </w:rPr>
        <w:t xml:space="preserve">. During such periods as such Advance is a Base Rate Advance, a rate per annum equal at all times to the sum of (A) the Base Rate in effect from time to time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the Applicable Margin in respect of Base Rate Advances in effect from time to time, payable in arrears quarterly on the last day of each March, June, September and December during such periods and on the date such Base Rate Advance shall be Converted or paid in full.</w:t>
      </w:r>
    </w:p>
    <w:p>
      <w:pPr>
        <w:spacing w:after="0" w:line="184" w:lineRule="exact"/>
        <w:rPr>
          <w:rFonts w:ascii="Times New Roman" w:cs="Times New Roman" w:eastAsia="Times New Roman" w:hAnsi="Times New Roman"/>
          <w:sz w:val="19"/>
          <w:szCs w:val="19"/>
          <w:color w:val="010000"/>
        </w:rPr>
      </w:pPr>
    </w:p>
    <w:p>
      <w:pPr>
        <w:jc w:val="both"/>
        <w:ind w:left="1500" w:firstLine="754"/>
        <w:spacing w:after="0" w:line="242" w:lineRule="auto"/>
        <w:tabs>
          <w:tab w:leader="none" w:pos="2640" w:val="left"/>
        </w:tabs>
        <w:numPr>
          <w:ilvl w:val="2"/>
          <w:numId w:val="2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Term SOFR Advances</w:t>
      </w:r>
      <w:r>
        <w:rPr>
          <w:rFonts w:ascii="Times New Roman" w:cs="Times New Roman" w:eastAsia="Times New Roman" w:hAnsi="Times New Roman"/>
          <w:sz w:val="19"/>
          <w:szCs w:val="19"/>
          <w:color w:val="auto"/>
        </w:rPr>
        <w:t xml:space="preserve">. During such periods as such Advance is a Term SOFR Advance, subject to clause (e) below, a rate per annum equal at all times during each Interest Period for such Advance to the sum of (A) Term SOFR for such Interest Period for such Advance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the Applicable Margin in respect of Term SOFR Advances in effect on the first day of such Interest Period, payable in arrears on the last day of such Interest Period and, if such Interest Period has a duration of more than three months, on each day that occurs during such Interest Period every three months from the first day of such Interest Period and on the date such Term SOFR Advance shall be Converted or paid in full.</w:t>
      </w:r>
    </w:p>
    <w:p>
      <w:pPr>
        <w:spacing w:after="0" w:line="190" w:lineRule="exact"/>
        <w:rPr>
          <w:rFonts w:ascii="Times New Roman" w:cs="Times New Roman" w:eastAsia="Times New Roman" w:hAnsi="Times New Roman"/>
          <w:sz w:val="19"/>
          <w:szCs w:val="19"/>
          <w:color w:val="010000"/>
        </w:rPr>
      </w:pPr>
    </w:p>
    <w:p>
      <w:pPr>
        <w:jc w:val="both"/>
        <w:ind w:left="1500" w:firstLine="754"/>
        <w:spacing w:after="0" w:line="246" w:lineRule="auto"/>
        <w:tabs>
          <w:tab w:leader="none" w:pos="2627" w:val="left"/>
        </w:tabs>
        <w:numPr>
          <w:ilvl w:val="2"/>
          <w:numId w:val="2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DSS Advances</w:t>
      </w:r>
      <w:r>
        <w:rPr>
          <w:rFonts w:ascii="Times New Roman" w:cs="Times New Roman" w:eastAsia="Times New Roman" w:hAnsi="Times New Roman"/>
          <w:sz w:val="19"/>
          <w:szCs w:val="19"/>
          <w:color w:val="auto"/>
        </w:rPr>
        <w:t xml:space="preserve">. During such periods as such Advance is a DSS Advance, a rate per annum equal at all times to the sum of (A) Daily Simple SOFR in effect from time to time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the Applicable Margin in respect of DSS Advances in effect from time to time, payable in arrears on each Daily RFR Interest Payment Date for such DSS Advance and on the date such DSS Advance shall be Converted or paid in full.</w:t>
      </w:r>
    </w:p>
    <w:p>
      <w:pPr>
        <w:spacing w:after="0" w:line="184" w:lineRule="exact"/>
        <w:rPr>
          <w:rFonts w:ascii="Times New Roman" w:cs="Times New Roman" w:eastAsia="Times New Roman" w:hAnsi="Times New Roman"/>
          <w:sz w:val="19"/>
          <w:szCs w:val="19"/>
          <w:color w:val="010000"/>
        </w:rPr>
      </w:pPr>
    </w:p>
    <w:p>
      <w:pPr>
        <w:jc w:val="both"/>
        <w:ind w:left="760" w:firstLine="745"/>
        <w:spacing w:after="0" w:line="262" w:lineRule="auto"/>
        <w:tabs>
          <w:tab w:leader="none" w:pos="1887" w:val="left"/>
        </w:tabs>
        <w:numPr>
          <w:ilvl w:val="1"/>
          <w:numId w:val="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Default Interest</w:t>
      </w:r>
      <w:r>
        <w:rPr>
          <w:rFonts w:ascii="Times New Roman" w:cs="Times New Roman" w:eastAsia="Times New Roman" w:hAnsi="Times New Roman"/>
          <w:sz w:val="18"/>
          <w:szCs w:val="18"/>
          <w:color w:val="auto"/>
        </w:rPr>
        <w:t>. Upon the occurrence and during the continuance of any Event of Default, the Borrower shall pay interest on (i) the unpaid principal amount of each Advance owing to each Lender, payable in arrears on the dates referred to in clause (a)(i) or (a)</w:t>
      </w:r>
    </w:p>
    <w:p>
      <w:pPr>
        <w:jc w:val="both"/>
        <w:ind w:left="760" w:hanging="3"/>
        <w:spacing w:after="0" w:line="238" w:lineRule="auto"/>
        <w:tabs>
          <w:tab w:leader="none" w:pos="1048"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above and on demand, at a rate per annum equal at all times to 2% per annum above the rate per annum required to be paid on such Advance pursuant to clause (a)(i) or (a)(ii) above and (ii) to the fullest extent permitted by law, the amount of any interest, fee or other amount payable under the Loan Documents that is not paid when due, from the date such amount shall be due until such amount shall be paid in full, payable in arrears on the date such amount shall be paid in full and on demand, at a rate per annum equal at all times to 2% per annum above the rate per annum required to be paid, in the case of interest, on the Type of Advance on which such interest has accrued pursuant to clause (a)(i) or (a)(ii) above and, in all other cases, on Base Rate Advances pursuant to clause (a)(i) above.</w:t>
      </w:r>
    </w:p>
    <w:p>
      <w:pPr>
        <w:spacing w:after="0" w:line="192" w:lineRule="exact"/>
        <w:rPr>
          <w:rFonts w:ascii="Times New Roman" w:cs="Times New Roman" w:eastAsia="Times New Roman" w:hAnsi="Times New Roman"/>
          <w:sz w:val="19"/>
          <w:szCs w:val="19"/>
          <w:color w:val="auto"/>
        </w:rPr>
      </w:pPr>
    </w:p>
    <w:p>
      <w:pPr>
        <w:jc w:val="both"/>
        <w:ind w:left="760" w:firstLine="745"/>
        <w:spacing w:after="0" w:line="246" w:lineRule="auto"/>
        <w:tabs>
          <w:tab w:leader="none" w:pos="1887" w:val="left"/>
        </w:tabs>
        <w:numPr>
          <w:ilvl w:val="1"/>
          <w:numId w:val="2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Notice of Interest Period and Interest Rate</w:t>
      </w:r>
      <w:r>
        <w:rPr>
          <w:rFonts w:ascii="Times New Roman" w:cs="Times New Roman" w:eastAsia="Times New Roman" w:hAnsi="Times New Roman"/>
          <w:sz w:val="19"/>
          <w:szCs w:val="19"/>
          <w:color w:val="auto"/>
        </w:rPr>
        <w:t>. Promptly after receipt of a Notice of Borrowing pursuant to Section 2.02(a), a notice of Conversion pursuant to Section 2.09 or a notice of selection of an Interest Period pursuant to the definition of “Interest Period”, the Administrative Agent shall give notice to the Borrower and each Lender of the applicable Interest Period and the applicable interest rate determined by the Administrative Agent for purposes of clause (a)(i) or (a)(ii) above.</w:t>
      </w:r>
    </w:p>
    <w:p>
      <w:pPr>
        <w:spacing w:after="0" w:line="184" w:lineRule="exact"/>
        <w:rPr>
          <w:rFonts w:ascii="Times New Roman" w:cs="Times New Roman" w:eastAsia="Times New Roman" w:hAnsi="Times New Roman"/>
          <w:sz w:val="19"/>
          <w:szCs w:val="19"/>
          <w:color w:val="010000"/>
        </w:rPr>
      </w:pPr>
    </w:p>
    <w:p>
      <w:pPr>
        <w:jc w:val="both"/>
        <w:ind w:left="760" w:firstLine="745"/>
        <w:spacing w:after="0" w:line="251" w:lineRule="auto"/>
        <w:tabs>
          <w:tab w:leader="none" w:pos="1887" w:val="left"/>
        </w:tabs>
        <w:numPr>
          <w:ilvl w:val="1"/>
          <w:numId w:val="2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Interest Rate Determination</w:t>
      </w:r>
      <w:r>
        <w:rPr>
          <w:rFonts w:ascii="Times New Roman" w:cs="Times New Roman" w:eastAsia="Times New Roman" w:hAnsi="Times New Roman"/>
          <w:sz w:val="19"/>
          <w:szCs w:val="19"/>
          <w:color w:val="auto"/>
        </w:rPr>
        <w:t>. Subject to clause (e) below, if (x) Term SOFR is unavailable and the Administrative Agent is unable to determine the Term SOFR Reference Rate for any Term SOFR Advances, as provided in the definition of Term SOFR (including because the Term SOFR Reference Rate is not available or published on a current basis) or (y) Daily Simple SOFR is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7" w:name="page48"/>
    <w:bookmarkEnd w:id="47"/>
    <w:p>
      <w:pPr>
        <w:spacing w:after="0" w:line="265" w:lineRule="auto"/>
        <w:rPr>
          <w:sz w:val="20"/>
          <w:szCs w:val="20"/>
          <w:color w:val="auto"/>
        </w:rPr>
      </w:pPr>
      <w:r>
        <w:rPr>
          <w:rFonts w:ascii="Times New Roman" w:cs="Times New Roman" w:eastAsia="Times New Roman" w:hAnsi="Times New Roman"/>
          <w:sz w:val="19"/>
          <w:szCs w:val="19"/>
          <w:color w:val="auto"/>
        </w:rPr>
        <w:t>unavailable and the Administrative Agent is unable to determine Daily Simple SOFR for any DSS Advances, as provided in the definition of Daily Simple SOFR (including because Daily Simple SOFR is not available or published on a current basis),</w:t>
      </w:r>
    </w:p>
    <w:p>
      <w:pPr>
        <w:spacing w:after="0" w:line="166" w:lineRule="exact"/>
        <w:rPr>
          <w:sz w:val="20"/>
          <w:szCs w:val="20"/>
          <w:color w:val="auto"/>
        </w:rPr>
      </w:pPr>
    </w:p>
    <w:p>
      <w:pPr>
        <w:ind w:left="740" w:firstLine="754"/>
        <w:spacing w:after="0" w:line="265" w:lineRule="auto"/>
        <w:tabs>
          <w:tab w:leader="none" w:pos="1880" w:val="left"/>
        </w:tabs>
        <w:numPr>
          <w:ilvl w:val="1"/>
          <w:numId w:val="2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Administrative Agent shall forthwith notify the Borrower and the Lenders that the interest rate cannot be determined for such Term SOFR Advances or DSS Advances, as applicable,</w:t>
      </w:r>
    </w:p>
    <w:p>
      <w:pPr>
        <w:spacing w:after="0" w:line="165" w:lineRule="exact"/>
        <w:rPr>
          <w:rFonts w:ascii="Times New Roman" w:cs="Times New Roman" w:eastAsia="Times New Roman" w:hAnsi="Times New Roman"/>
          <w:sz w:val="19"/>
          <w:szCs w:val="19"/>
          <w:color w:val="010000"/>
        </w:rPr>
      </w:pPr>
    </w:p>
    <w:p>
      <w:pPr>
        <w:jc w:val="both"/>
        <w:ind w:left="740" w:firstLine="754"/>
        <w:spacing w:after="0" w:line="251" w:lineRule="auto"/>
        <w:tabs>
          <w:tab w:leader="none" w:pos="1867" w:val="left"/>
        </w:tabs>
        <w:numPr>
          <w:ilvl w:val="1"/>
          <w:numId w:val="2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such Advance will automatically, on the last day of the Interest Period in the case of a Term SOFR Advance or on the next Daily RFR Business Day in the case of a DSS Advance, as applicable, Convert into a Base Rate Advance (or if such Advance is then a Base Rate Advance, will continue as a Base Rate Advance),</w:t>
      </w:r>
    </w:p>
    <w:p>
      <w:pPr>
        <w:spacing w:after="0" w:line="178" w:lineRule="exact"/>
        <w:rPr>
          <w:rFonts w:ascii="Times New Roman" w:cs="Times New Roman" w:eastAsia="Times New Roman" w:hAnsi="Times New Roman"/>
          <w:sz w:val="19"/>
          <w:szCs w:val="19"/>
          <w:color w:val="010000"/>
        </w:rPr>
      </w:pPr>
    </w:p>
    <w:p>
      <w:pPr>
        <w:jc w:val="both"/>
        <w:ind w:left="740" w:firstLine="754"/>
        <w:spacing w:after="0" w:line="251" w:lineRule="auto"/>
        <w:tabs>
          <w:tab w:leader="none" w:pos="1867" w:val="left"/>
        </w:tabs>
        <w:numPr>
          <w:ilvl w:val="1"/>
          <w:numId w:val="2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obligation of the Lenders to make, or to Convert Advances into, Term SOFR Advances or DSS Advances, as applicable, shall be suspended until the Administrative Agent shall notify the Borrower and the Lenders that the circumstances causing such suspension no longer exist, and</w:t>
      </w:r>
    </w:p>
    <w:p>
      <w:pPr>
        <w:spacing w:after="0" w:line="178" w:lineRule="exact"/>
        <w:rPr>
          <w:rFonts w:ascii="Times New Roman" w:cs="Times New Roman" w:eastAsia="Times New Roman" w:hAnsi="Times New Roman"/>
          <w:sz w:val="19"/>
          <w:szCs w:val="19"/>
          <w:color w:val="010000"/>
        </w:rPr>
      </w:pPr>
    </w:p>
    <w:p>
      <w:pPr>
        <w:jc w:val="both"/>
        <w:ind w:left="740" w:firstLine="754"/>
        <w:spacing w:after="0" w:line="246" w:lineRule="auto"/>
        <w:tabs>
          <w:tab w:leader="none" w:pos="1867" w:val="left"/>
        </w:tabs>
        <w:numPr>
          <w:ilvl w:val="1"/>
          <w:numId w:val="2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Borrower may revoke any pending request for a Term SOFR Advance, to convert a Base Rate Advance to a Term SOFR Advance or DSS Advance, as applicable, or to continue a Term SOFR Advance or DSS Advance, as applicable,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if the Borrower does not revoke any such request, the Borrower will be deemed to have requested a Base Rate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Advance.</w:t>
      </w:r>
    </w:p>
    <w:p>
      <w:pPr>
        <w:spacing w:after="0" w:line="184" w:lineRule="exact"/>
        <w:rPr>
          <w:rFonts w:ascii="Times New Roman" w:cs="Times New Roman" w:eastAsia="Times New Roman" w:hAnsi="Times New Roman"/>
          <w:sz w:val="19"/>
          <w:szCs w:val="19"/>
          <w:color w:val="010000"/>
        </w:rPr>
      </w:pPr>
    </w:p>
    <w:p>
      <w:pPr>
        <w:ind w:right="20" w:firstLine="745"/>
        <w:spacing w:after="0" w:line="265" w:lineRule="auto"/>
        <w:tabs>
          <w:tab w:leader="none" w:pos="1140" w:val="left"/>
        </w:tabs>
        <w:numPr>
          <w:ilvl w:val="0"/>
          <w:numId w:val="2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Benchmark Replacement Setting. Notwithstanding anything to the contrary herein or in any other Loan Document (and any Guaranteed Hedge Agreement shall be deemed not to be a “Loan Document” for purposes of this Section):</w:t>
      </w:r>
    </w:p>
    <w:p>
      <w:pPr>
        <w:spacing w:after="0" w:line="165" w:lineRule="exact"/>
        <w:rPr>
          <w:rFonts w:ascii="Times New Roman" w:cs="Times New Roman" w:eastAsia="Times New Roman" w:hAnsi="Times New Roman"/>
          <w:sz w:val="19"/>
          <w:szCs w:val="19"/>
          <w:color w:val="010000"/>
        </w:rPr>
      </w:pPr>
    </w:p>
    <w:p>
      <w:pPr>
        <w:jc w:val="both"/>
        <w:ind w:left="740" w:firstLine="754"/>
        <w:spacing w:after="0" w:line="238" w:lineRule="auto"/>
        <w:tabs>
          <w:tab w:leader="none" w:pos="1907" w:val="left"/>
        </w:tabs>
        <w:numPr>
          <w:ilvl w:val="1"/>
          <w:numId w:val="2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Replacing Benchmarks</w:t>
      </w:r>
      <w:r>
        <w:rPr>
          <w:rFonts w:ascii="Times New Roman" w:cs="Times New Roman" w:eastAsia="Times New Roman" w:hAnsi="Times New Roman"/>
          <w:sz w:val="19"/>
          <w:szCs w:val="19"/>
          <w:color w:val="auto"/>
        </w:rPr>
        <w:t>. If a Benchmark Transition Event occurs prior to any setting of the then-current Benchmark, then (x) if a Benchmark Replacement is determined in accordance with clause (a)(1)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clauses (a)(2) or (b) of the definition of “Benchmark Replacement” for such Benchmark Replacement Date, such Benchmark Replacement will replace the then-current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conversion to or continuation of Advances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such</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482600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48" w:name="page49"/>
    <w:bookmarkEnd w:id="48"/>
    <w:p>
      <w:pPr>
        <w:ind w:left="380"/>
        <w:spacing w:after="0" w:line="265" w:lineRule="auto"/>
        <w:rPr>
          <w:sz w:val="20"/>
          <w:szCs w:val="20"/>
          <w:color w:val="auto"/>
        </w:rPr>
      </w:pPr>
      <w:r>
        <w:rPr>
          <w:rFonts w:ascii="Times New Roman" w:cs="Times New Roman" w:eastAsia="Times New Roman" w:hAnsi="Times New Roman"/>
          <w:sz w:val="19"/>
          <w:szCs w:val="19"/>
          <w:color w:val="auto"/>
        </w:rPr>
        <w:t>request into a request for a borrowing of or conversion to Base Rate Advances. During the period referenced in the foregoing sentence, the component of Base Rate based upon the Benchmark will not be used in any determination of Base Rate.</w:t>
      </w:r>
    </w:p>
    <w:p>
      <w:pPr>
        <w:spacing w:after="0" w:line="166" w:lineRule="exact"/>
        <w:rPr>
          <w:sz w:val="20"/>
          <w:szCs w:val="20"/>
          <w:color w:val="auto"/>
        </w:rPr>
      </w:pPr>
    </w:p>
    <w:p>
      <w:pPr>
        <w:jc w:val="both"/>
        <w:ind w:left="380" w:firstLine="754"/>
        <w:spacing w:after="0" w:line="244" w:lineRule="auto"/>
        <w:tabs>
          <w:tab w:leader="none" w:pos="1507" w:val="left"/>
        </w:tabs>
        <w:numPr>
          <w:ilvl w:val="0"/>
          <w:numId w:val="2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Benchmark Replacement Conforming Changes</w:t>
      </w:r>
      <w:r>
        <w:rPr>
          <w:rFonts w:ascii="Times New Roman" w:cs="Times New Roman" w:eastAsia="Times New Roman" w:hAnsi="Times New Roman"/>
          <w:sz w:val="19"/>
          <w:szCs w:val="19"/>
          <w:color w:val="auto"/>
        </w:rPr>
        <w:t>. In connection with the implementation and administration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5" w:lineRule="exact"/>
        <w:rPr>
          <w:rFonts w:ascii="Times New Roman" w:cs="Times New Roman" w:eastAsia="Times New Roman" w:hAnsi="Times New Roman"/>
          <w:sz w:val="19"/>
          <w:szCs w:val="19"/>
          <w:color w:val="010000"/>
        </w:rPr>
      </w:pPr>
    </w:p>
    <w:p>
      <w:pPr>
        <w:jc w:val="both"/>
        <w:ind w:left="380" w:firstLine="754"/>
        <w:spacing w:after="0"/>
        <w:tabs>
          <w:tab w:leader="none" w:pos="1547" w:val="left"/>
        </w:tabs>
        <w:numPr>
          <w:ilvl w:val="0"/>
          <w:numId w:val="2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Notices; Standards for Decisions and Determinations</w:t>
      </w:r>
      <w:r>
        <w:rPr>
          <w:rFonts w:ascii="Times New Roman" w:cs="Times New Roman" w:eastAsia="Times New Roman" w:hAnsi="Times New Roman"/>
          <w:sz w:val="19"/>
          <w:szCs w:val="19"/>
          <w:color w:val="auto"/>
        </w:rPr>
        <w:t>. The Administrative Agent will promptly notify the Borrower and the Lenders of (A) the implementation of any Benchmark Replacement and (B) the effectiveness of any Conforming Changes. For the avoidance of doubt, any notice required to be delivered by the Administrative Agent as set forth in this Section 2.07(e) may be provided, at the option of the Administrative Agent (in its sole discretion), in one or more notices and may be delivered together with, or as part of any amendment which implements any Benchmark Replacement or Conforming Changes. Any determination, decision or election that may be made by the Administrative Agent or, if applicable, any Lender (or group of Lenders) pursuant to this Section titled “Benchmark Replacement Setting,”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titled “Benchmark Replacement Setting.”</w:t>
      </w:r>
    </w:p>
    <w:p>
      <w:pPr>
        <w:spacing w:after="0" w:line="188" w:lineRule="exact"/>
        <w:rPr>
          <w:rFonts w:ascii="Times New Roman" w:cs="Times New Roman" w:eastAsia="Times New Roman" w:hAnsi="Times New Roman"/>
          <w:sz w:val="19"/>
          <w:szCs w:val="19"/>
          <w:color w:val="010000"/>
        </w:rPr>
      </w:pPr>
    </w:p>
    <w:p>
      <w:pPr>
        <w:jc w:val="both"/>
        <w:ind w:left="380" w:firstLine="754"/>
        <w:spacing w:after="0" w:line="244" w:lineRule="auto"/>
        <w:tabs>
          <w:tab w:leader="none" w:pos="1534" w:val="left"/>
        </w:tabs>
        <w:numPr>
          <w:ilvl w:val="0"/>
          <w:numId w:val="2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Unavailability of Tenor of Benchmark</w:t>
      </w:r>
      <w:r>
        <w:rPr>
          <w:rFonts w:ascii="Times New Roman" w:cs="Times New Roman" w:eastAsia="Times New Roman" w:hAnsi="Times New Roman"/>
          <w:sz w:val="19"/>
          <w:szCs w:val="19"/>
          <w:color w:val="auto"/>
        </w:rPr>
        <w:t>. At any time (including in connection with the implementation of a Benchmark Replacement), (A) if the then-current Benchmark is a term rate (including the Term SOFR Reference Rate), then the Administrative Agent may remove any tenor of such Benchmark that is unavailable or non-representative for Benchmark (including Benchmark Replacement) settings and (B) the Administrative Agent may reinstate any such previously removed tenor for Benchmark (including Benchmark Replacement) settings.</w:t>
      </w:r>
    </w:p>
    <w:p>
      <w:pPr>
        <w:spacing w:after="0" w:line="185" w:lineRule="exact"/>
        <w:rPr>
          <w:rFonts w:ascii="Times New Roman" w:cs="Times New Roman" w:eastAsia="Times New Roman" w:hAnsi="Times New Roman"/>
          <w:sz w:val="19"/>
          <w:szCs w:val="19"/>
          <w:color w:val="010000"/>
        </w:rPr>
      </w:pPr>
    </w:p>
    <w:p>
      <w:pPr>
        <w:jc w:val="both"/>
        <w:ind w:left="380" w:firstLine="754"/>
        <w:spacing w:after="0" w:line="239" w:lineRule="auto"/>
        <w:tabs>
          <w:tab w:leader="none" w:pos="1534" w:val="left"/>
        </w:tabs>
        <w:numPr>
          <w:ilvl w:val="0"/>
          <w:numId w:val="2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Disclaimer</w:t>
      </w:r>
      <w:r>
        <w:rPr>
          <w:rFonts w:ascii="Times New Roman" w:cs="Times New Roman" w:eastAsia="Times New Roman" w:hAnsi="Times New Roman"/>
          <w:sz w:val="19"/>
          <w:szCs w:val="19"/>
          <w:color w:val="auto"/>
        </w:rPr>
        <w:t>. The Administrative Agent does not warrant or accept responsibility for, and shall not have any liability with respect to (A) the continuation of, administration of, submission of, calculation of or any other matter related to the Base Rate, any Benchmark, any component definition thereof or rates referenced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such Benchmark, or any other Benchmark prior to its discontinuance or unavailability, or (B) the effect, implementation or composition of any Conforming Changes. The Administrative Agent and its affiliates or other related entities may engage in transactions that affect the calculation of the Base Rate, any Benchmark,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Base Rate or any Benchmark, any component definition thereof or rates referenced in the definition thereof, in each case pursuant to the terms of this Agreement, and shall have no liability to the Borrower, any Lender or any other person or entity for damages of any kind, including direct or indirect,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482600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49" w:name="page50"/>
    <w:bookmarkEnd w:id="49"/>
    <w:p>
      <w:pPr>
        <w:jc w:val="both"/>
        <w:ind w:left="1500"/>
        <w:spacing w:after="0" w:line="251" w:lineRule="auto"/>
        <w:rPr>
          <w:sz w:val="20"/>
          <w:szCs w:val="20"/>
          <w:color w:val="auto"/>
        </w:rPr>
      </w:pPr>
      <w:r>
        <w:rPr>
          <w:rFonts w:ascii="Times New Roman" w:cs="Times New Roman" w:eastAsia="Times New Roman" w:hAnsi="Times New Roman"/>
          <w:sz w:val="19"/>
          <w:szCs w:val="19"/>
          <w:color w:val="auto"/>
        </w:rPr>
        <w:t>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9"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9"/>
          <w:szCs w:val="19"/>
          <w:color w:val="010000"/>
        </w:rPr>
        <w:t xml:space="preserve">Section 2.08 </w:t>
      </w:r>
      <w:r>
        <w:rPr>
          <w:rFonts w:ascii="Times New Roman" w:cs="Times New Roman" w:eastAsia="Times New Roman" w:hAnsi="Times New Roman"/>
          <w:sz w:val="19"/>
          <w:szCs w:val="19"/>
          <w:u w:val="single" w:color="auto"/>
          <w:color w:val="000000"/>
        </w:rPr>
        <w:t>Fees</w:t>
      </w:r>
      <w:r>
        <w:rPr>
          <w:rFonts w:ascii="Times New Roman" w:cs="Times New Roman" w:eastAsia="Times New Roman" w:hAnsi="Times New Roman"/>
          <w:sz w:val="19"/>
          <w:szCs w:val="19"/>
          <w:color w:val="000000"/>
        </w:rPr>
        <w:t>. The Borrower shall pay to the Administrative Agent and the Arrangers for their own account the fees, in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amounts and on the dates, set forth in the Fee Letter and such other fees as may from time to time be agreed between the Borrower and the Administrative Agent or the Arrangers.</w:t>
      </w:r>
    </w:p>
    <w:p>
      <w:pPr>
        <w:spacing w:after="0" w:line="179"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2.09</w:t>
      </w:r>
      <w:r>
        <w:rPr>
          <w:sz w:val="20"/>
          <w:szCs w:val="20"/>
          <w:color w:val="auto"/>
        </w:rPr>
        <w:tab/>
      </w:r>
      <w:r>
        <w:rPr>
          <w:rFonts w:ascii="Times New Roman" w:cs="Times New Roman" w:eastAsia="Times New Roman" w:hAnsi="Times New Roman"/>
          <w:sz w:val="18"/>
          <w:szCs w:val="18"/>
          <w:u w:val="single" w:color="auto"/>
          <w:color w:val="auto"/>
        </w:rPr>
        <w:t>Conversion of Advances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1505"/>
        <w:spacing w:after="0"/>
        <w:tabs>
          <w:tab w:leader="none" w:pos="1889"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Optional</w:t>
      </w:r>
      <w:r>
        <w:rPr>
          <w:rFonts w:ascii="Times New Roman" w:cs="Times New Roman" w:eastAsia="Times New Roman" w:hAnsi="Times New Roman"/>
          <w:sz w:val="19"/>
          <w:szCs w:val="19"/>
          <w:color w:val="auto"/>
        </w:rPr>
        <w:t xml:space="preserve">. The Borrower may on any Business Day, upon notice given to the Administrative Agent not later than 12:00 Noon (New York City time) on the third Business Day prior to the date of the proposed Conversion and subject to the provisions of Sections 2.07 and 2.10, Convert all or any portion of the Advances of one Type comprising the same Borrowing into Advances of the other Type;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any Conversion of Term SOFR Advances into Base Rate Advances shall be made only on the last day of an Interest Period for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Term SOFR Advances, any Conversion of Base Rate Advances into Term SOFR Advances or DSS Advances shall be in an amount not less than the minimum amount specified in Section 2.02(b) and each Conversion of Advances comprising part of the same Borrowing shall be made ratably among the Lenders in accordance with their Commitments. Each such notice of Conversion shall, within the restrictions specified above, specify (i) the date of such Conversion, (ii) the Advances to be Converted and (iii) if such Conversion is into Term SOFR Advances, the duration of the initial Interest Period for such Advances. Each notice of Conversion shall be irrevocable and binding on the Borrower.</w:t>
      </w:r>
    </w:p>
    <w:p>
      <w:pPr>
        <w:spacing w:after="0" w:line="193" w:lineRule="exact"/>
        <w:rPr>
          <w:rFonts w:ascii="Times New Roman" w:cs="Times New Roman" w:eastAsia="Times New Roman" w:hAnsi="Times New Roman"/>
          <w:sz w:val="19"/>
          <w:szCs w:val="19"/>
          <w:color w:val="auto"/>
        </w:rPr>
      </w:pPr>
    </w:p>
    <w:p>
      <w:pPr>
        <w:ind w:left="1880" w:hanging="375"/>
        <w:spacing w:after="0"/>
        <w:tabs>
          <w:tab w:leader="none" w:pos="188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Mandatory</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both"/>
        <w:ind w:firstLine="1505"/>
        <w:spacing w:after="0" w:line="251" w:lineRule="auto"/>
        <w:tabs>
          <w:tab w:leader="none" w:pos="1875"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date on which the aggregate unpaid principal amount of Term SOFR Advances and DSS Advances comprising any Borrowing shall be reduced, by payment or prepayment or otherwise, to less than $1,000,000, such Advances shall automatically Convert into Base Rate Advances.</w:t>
      </w:r>
    </w:p>
    <w:p>
      <w:pPr>
        <w:spacing w:after="0" w:line="178" w:lineRule="exact"/>
        <w:rPr>
          <w:rFonts w:ascii="Times New Roman" w:cs="Times New Roman" w:eastAsia="Times New Roman" w:hAnsi="Times New Roman"/>
          <w:sz w:val="19"/>
          <w:szCs w:val="19"/>
          <w:color w:val="auto"/>
        </w:rPr>
      </w:pPr>
    </w:p>
    <w:p>
      <w:pPr>
        <w:jc w:val="both"/>
        <w:ind w:firstLine="1505"/>
        <w:spacing w:after="0" w:line="246" w:lineRule="auto"/>
        <w:tabs>
          <w:tab w:leader="none" w:pos="1875"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Borrower shall fail to select the duration of any Interest Period for any Term SOFR Advances in accordance with the provisions contained in the definition of “Interest Period” in Section 1.01, the Administrative Agent will forthwith so notify the Borrower and the Lenders, whereupon each such Term SOFR Advance will automatically, on the last day of the then existing Interest Period therefor, Convert into a Base Rate Advance.</w:t>
      </w:r>
    </w:p>
    <w:p>
      <w:pPr>
        <w:spacing w:after="0" w:line="184" w:lineRule="exact"/>
        <w:rPr>
          <w:rFonts w:ascii="Times New Roman" w:cs="Times New Roman" w:eastAsia="Times New Roman" w:hAnsi="Times New Roman"/>
          <w:sz w:val="19"/>
          <w:szCs w:val="19"/>
          <w:color w:val="auto"/>
        </w:rPr>
      </w:pPr>
    </w:p>
    <w:p>
      <w:pPr>
        <w:jc w:val="both"/>
        <w:ind w:firstLine="1505"/>
        <w:spacing w:after="0" w:line="246" w:lineRule="auto"/>
        <w:tabs>
          <w:tab w:leader="none" w:pos="1875"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occurrence and during the continuance of any Event of Default, (y) each Term SOFR Advance will automatically, on the last day of the then existing Interest Period therefor, and each DSS Advance will automatically, on the next Daily RFR Business Day, Convert into a Base Rate Advance and (z) the obligation of the Lenders to make, or to Convert Advances into, Term SOFR Advances or DSS Advances shall be suspended.</w:t>
      </w:r>
    </w:p>
    <w:p>
      <w:pPr>
        <w:spacing w:after="0" w:line="184" w:lineRule="exact"/>
        <w:rPr>
          <w:rFonts w:ascii="Times New Roman" w:cs="Times New Roman" w:eastAsia="Times New Roman" w:hAnsi="Times New Roman"/>
          <w:sz w:val="19"/>
          <w:szCs w:val="19"/>
          <w:color w:val="auto"/>
        </w:rPr>
      </w:pPr>
    </w:p>
    <w:p>
      <w:pPr>
        <w:ind w:firstLine="1505"/>
        <w:spacing w:after="0" w:line="265" w:lineRule="auto"/>
        <w:tabs>
          <w:tab w:leader="none" w:pos="1875"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Under the circumstances described in Section 2.07(d) or 2.07(e), all outstanding Term SOFR Advances and DSS Advances shall be Converted to Base Rate Advances as provided in Section 2.07(d) or 2.07(e).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0" w:name="page51"/>
    <w:bookmarkEnd w:id="50"/>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2.10</w:t>
      </w:r>
      <w:r>
        <w:rPr>
          <w:sz w:val="20"/>
          <w:szCs w:val="20"/>
          <w:color w:val="auto"/>
        </w:rPr>
        <w:tab/>
      </w:r>
      <w:r>
        <w:rPr>
          <w:rFonts w:ascii="Times New Roman" w:cs="Times New Roman" w:eastAsia="Times New Roman" w:hAnsi="Times New Roman"/>
          <w:sz w:val="18"/>
          <w:szCs w:val="18"/>
          <w:u w:val="single" w:color="auto"/>
          <w:color w:val="auto"/>
        </w:rPr>
        <w:t>Increased Costs, Etc.</w:t>
      </w:r>
    </w:p>
    <w:p>
      <w:pPr>
        <w:spacing w:after="0" w:line="214" w:lineRule="exact"/>
        <w:rPr>
          <w:sz w:val="20"/>
          <w:szCs w:val="20"/>
          <w:color w:val="auto"/>
        </w:rPr>
      </w:pPr>
    </w:p>
    <w:p>
      <w:pPr>
        <w:jc w:val="both"/>
        <w:ind w:firstLine="1505"/>
        <w:spacing w:after="0" w:line="239" w:lineRule="auto"/>
        <w:tabs>
          <w:tab w:leader="none" w:pos="1875"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due to either (i) the introduction of or any change in or in the interpretation or application of any law or regulation or (ii) the compliance with any guideline or request from any central bank or other Governmental Authority (whether or not having the force of law), (A) there shall be any increase in the cost to any Lender of agreeing to make or of making, funding or maintaining Term SOFR Advances or DSS Advances or (B) there shall be any reduction in the amount of any sum received or receivable by such Lender with respect thereto (excluding, for purposes of this Section 2.10, any such increased costs or reduction resulting from Indemnified Taxes, Taxes described in clauses (b) through (d) of the definition of Excluded Taxes or Connection Income Taxes (as to which Section 2.12 shall govern)), then the Borrower shall from time to time, upon demand by such Lender (with a copy of such demand to the Administrative Agent), pay to the Administrative Agent for the account of such Lender additional amounts sufficient to compensate such Lender for such increased cost;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a Lender claiming additional amounts under this Section 2.10(a) agrees to use reasonable efforts (consistent with its internal policy and legal and regulatory restrictions) to designate a different Applicable Lending Office or to assign its rights and obligations hereunder to another of its offices, branches or Affiliates, if the making of such a designation or assignment would avoid the need for, or reduce the amount of, such increased cost that may thereafter accrue and would not, in the reasonable judgment of such Lender, be otherwise disadvantageous to such Lender. A certificate as to the amount of such increased cost, submitted to the Borrower by such Lender, shall be conclusive and binding for all purposes, absent manifest error.</w:t>
      </w:r>
    </w:p>
    <w:p>
      <w:pPr>
        <w:spacing w:after="0" w:line="195" w:lineRule="exact"/>
        <w:rPr>
          <w:rFonts w:ascii="Times New Roman" w:cs="Times New Roman" w:eastAsia="Times New Roman" w:hAnsi="Times New Roman"/>
          <w:sz w:val="19"/>
          <w:szCs w:val="19"/>
          <w:color w:val="auto"/>
        </w:rPr>
      </w:pPr>
    </w:p>
    <w:p>
      <w:pPr>
        <w:jc w:val="both"/>
        <w:ind w:firstLine="1505"/>
        <w:spacing w:after="0" w:line="241" w:lineRule="auto"/>
        <w:tabs>
          <w:tab w:leader="none" w:pos="1875"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Lender determines in good faith that compliance with any law or regulation or any guideline or request from any central bank or other Governmental Authority (whether or not having the force of law) affects or would affect the amount of capital or liquidity required or expected to be maintained by such Lender or any corporation controlling such Lender and that the amount of such capital or liquidity is increased by or based upon the existence of such Lender’s commitment to lend, then, upon demand by such Lender or such corporation (with a copy of such demand to the Administrative Agent), the Borrower shall pay to the Administrative Agent for the account of such Lender, from time to time as specified by such Lender, additional amounts sufficient to compensate such Lender in the light of such circumstances, to the extent that such Lender reasonably determines such increase in capital or liquidity to be allocable to the existence of such Lender’s commitment to lend. A certificate as to such amounts submitted to the Borrower by such Lender shall be conclusive and binding for all purposes, absent manifest error.</w:t>
      </w:r>
    </w:p>
    <w:p>
      <w:pPr>
        <w:spacing w:after="0" w:line="159"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9"/>
          <w:szCs w:val="19"/>
          <w:color w:val="auto"/>
        </w:rPr>
        <w:t>Notwithstanding anything to the contrary contained in this Agreement, the Dodd</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Frank Wall Street Reform and Consumer Protection Act, as amended, and all requests, rules, guidelines or directives thereunder or issued in connection therewith, in each case regardless of the date enacted, adopted, implemented or issued, and all requests, rules, guidelines or directives promulgated by the Bank for International Settlements, or the Basel Committee on Banking Supervision (or any successor or similar authority) or United States or foreign regulatory authorities, in each case pursuant to Basel Supervision known as Basel III and regardless of the date enacted, adopted, implemented or issued, shall be deemed an introduction or change of the type referred to in Section 2.10(a) and this Section 2.10(b).</w:t>
      </w:r>
    </w:p>
    <w:p>
      <w:pPr>
        <w:spacing w:after="0" w:line="190" w:lineRule="exact"/>
        <w:rPr>
          <w:sz w:val="20"/>
          <w:szCs w:val="20"/>
          <w:color w:val="auto"/>
        </w:rPr>
      </w:pPr>
    </w:p>
    <w:p>
      <w:pPr>
        <w:jc w:val="both"/>
        <w:ind w:firstLine="1505"/>
        <w:spacing w:after="0" w:line="256" w:lineRule="auto"/>
        <w:tabs>
          <w:tab w:leader="none" w:pos="18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 respect to (i) any Term SOFR Advances, the Required Lenders notify the Administrative Agent that Term SOFR for any Interest Period for such Advances will not adequately reflect the cost to such Lenders of making, funding or maintaining their Term SOFR Advances for such Interest Period, or (ii) any DSS Advances, the Required Lenders notify the Administrative Agent that Daily Simple SOFR will not adequately reflect the cost to such Lenders of making, funding or maintaining their DSS Advances, the Administrative Agent shall forthwith so notify the Borrower and the Lenders, whereupon (A) each such Term SOFR Advance will automatically, on the last day of the then existing Interest Period therefor, or DSS Advance on the next Daily RFR Business Day, as applicable, Convert into a Base Rate Advance and (B) the obligation of the Lenders to make, or to Convert Advances into, Term SOFR Advances or DSS Advances, as applicable, shall be suspended until the Administrative Agent shall notify the Borrower that such Lenders have determined that the circumstances causing such suspension no longer exist.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1" w:name="page52"/>
    <w:bookmarkEnd w:id="51"/>
    <w:p>
      <w:pPr>
        <w:jc w:val="both"/>
        <w:ind w:firstLine="1505"/>
        <w:spacing w:after="0" w:line="239" w:lineRule="auto"/>
        <w:tabs>
          <w:tab w:leader="none" w:pos="1875"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 other provision of this Agreement, if the introduction of or any change in or in the interpretation or application of any law or regulation shall make it unlawful, or any central bank or other Governmental Authority shall assert that it is unlawful, for any Lender or its Applicable Lending Office to perform its obligations hereunder to make Term SOFR Advances or DSS Advances or to continue to fund or maintain Term SOFR Advances or DSS Advances hereunder, then, on notice thereof and demand therefor by such Lender to the Borrower through the Administrative Agent, (i) each Term SOFR Advance or DSS Advance, as applicable, will automatically, upon such demand, Convert into a Base Rate Advance and (ii) the obligation of the Lenders to make, or to Convert Advances into, Term SOFR Advances and DSS Advances shall be suspended until the Administrative Agent shall notify the Borrower that such Lender has determined that the circumstances causing such suspension no longer exist;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before making any such demand, such Lender agrees to use reasonable efforts (consistent with its internal policy and legal and regulatory restrictions) to designate a different Applicable Lending Office if the making of such a designation would allow such Lender or its Applicable Lending Office to continue to perform its obligations to make Term SOFR Advances or DSS Advances or to continue to fund or maintain Term SOFR Advances or DSS Advances and would not, in the reasonable judgment of such Lender, be otherwise disadvantageous to such Lender.</w:t>
      </w:r>
    </w:p>
    <w:p>
      <w:pPr>
        <w:spacing w:after="0" w:line="197"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2.11</w:t>
      </w:r>
      <w:r>
        <w:rPr>
          <w:sz w:val="20"/>
          <w:szCs w:val="20"/>
          <w:color w:val="auto"/>
        </w:rPr>
        <w:tab/>
      </w:r>
      <w:r>
        <w:rPr>
          <w:rFonts w:ascii="Times New Roman" w:cs="Times New Roman" w:eastAsia="Times New Roman" w:hAnsi="Times New Roman"/>
          <w:sz w:val="18"/>
          <w:szCs w:val="18"/>
          <w:u w:val="single" w:color="auto"/>
          <w:color w:val="auto"/>
        </w:rPr>
        <w:t>Payments and Computations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1505"/>
        <w:spacing w:after="0" w:line="221" w:lineRule="exact"/>
        <w:tabs>
          <w:tab w:leader="none" w:pos="1875"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make each payment hereunder and under the Notes, irrespective of any right of counterclaim or set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off (except as otherwise provided in Section 2.13), not later than 12:00 Noon (New York City time) on the day when due in Dollars to the Administrative Agent at the Administrative Agent’s Account in same day funds, with payments being received by the Administrative Agent after such time being deemed to have been received on the next succeeding Business Day. The Administrative Agent shall promptly thereafter cause like funds to be distributed (i) if such payment by the Borrower is in respect of principal, interest, commitment fees or any other Obligation then payable hereunder and under the Notes to more than one Lender, to such Lenders for the account of their respective Applicable Lending Offices ratably in accordance with the amounts of such respective Obligations then payable to such Lenders and (ii) if such payment by the Borrower is in respect of any Obligation then payable hereunder to one Lender, to such Lender for the account of its Applicable Lending Office, in each case to be applied in accordance with the terms of this Agreement. Upon any Acceding Lender becoming a Lender hereunder as a result of a Commitment Increase pursuant to Section 2.17 and upon the Administrative Agent’s receipt of such Lender’s Accession Agreement and recording of information contained therein in the Register, from and after the applicable Increase Date, the Administrative Agent shall make all payments hereunder and under any Notes issued in connection therewith in respect of the interest assumed thereby to such Acceding Lender. Upon its acceptance of an Assignment and Acceptance and recording of the information contained therein in the Register pursuant to Section 9.07(d), from and after the effective date of such Assignment and Acceptance, the Administrative Agent shall make all payments hereunder and under the Notes in respect of the interest assigned thereby to the Lender assignee thereunder, and the parties to such Assignment and Acceptance shall make all appropriate adjustments in such payments for periods prior to such effective date directly between themselves.</w:t>
      </w:r>
    </w:p>
    <w:p>
      <w:pPr>
        <w:spacing w:after="0" w:line="190" w:lineRule="exact"/>
        <w:rPr>
          <w:rFonts w:ascii="Times New Roman" w:cs="Times New Roman" w:eastAsia="Times New Roman" w:hAnsi="Times New Roman"/>
          <w:sz w:val="19"/>
          <w:szCs w:val="19"/>
          <w:color w:val="auto"/>
        </w:rPr>
      </w:pPr>
    </w:p>
    <w:p>
      <w:pPr>
        <w:jc w:val="both"/>
        <w:ind w:firstLine="1505"/>
        <w:spacing w:after="0" w:line="251" w:lineRule="auto"/>
        <w:tabs>
          <w:tab w:leader="none" w:pos="1875"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hereby authorizes each Lender and each of its Affiliates, if and to the extent payment owed to such Lender is not made when due hereunder or, in the case of a Lender, under the Note held by such Lender, to charge from time to time</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to the fullest extent permitted by law, against any or all of the Borrower’s accounts with such Lender any amount so due.</w:t>
      </w:r>
    </w:p>
    <w:p>
      <w:pPr>
        <w:spacing w:after="0" w:line="178" w:lineRule="exact"/>
        <w:rPr>
          <w:rFonts w:ascii="Times New Roman" w:cs="Times New Roman" w:eastAsia="Times New Roman" w:hAnsi="Times New Roman"/>
          <w:sz w:val="19"/>
          <w:szCs w:val="19"/>
          <w:color w:val="auto"/>
        </w:rPr>
      </w:pPr>
    </w:p>
    <w:p>
      <w:pPr>
        <w:jc w:val="both"/>
        <w:ind w:firstLine="1505"/>
        <w:spacing w:after="0" w:line="242" w:lineRule="auto"/>
        <w:tabs>
          <w:tab w:leader="none" w:pos="1875"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computations of interest based on PNC’s Prime Rate shall be made by the Administrative Agent on the basis of a year of 365 or 366 days, as the case may be, and all computations of interest based on the Term SOFR Reference Rate, Daily Simple SOFR, or the Federal Funds Open Rate and of fees shall be made by the Administrative Agent on the basis of a year of 360 days, in each case for the actual number of days (including the first day but excluding the last day) occurring in the period for which such interest, fees or commissions are payable. Each determination by the Administrative Agent of an interest rate, fee or commission hereunder shall be conclusive and binding for all purposes, absent manifest error.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2" w:name="page53"/>
    <w:bookmarkEnd w:id="52"/>
    <w:p>
      <w:pPr>
        <w:jc w:val="both"/>
        <w:ind w:firstLine="1505"/>
        <w:spacing w:after="0" w:line="244" w:lineRule="auto"/>
        <w:tabs>
          <w:tab w:leader="none" w:pos="1875"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Whenever any payment hereunder or under the Notes shall be stated to be due on a day other than a Business Day, such payment shall be made on the next succeeding Business Day, and such extension of time shall in such case be included in the computation of payment of interest or commitment fee, as the case may be;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if such extension would cause payment of interest on or principal of Term SOFR Advances to be made in the next following calendar month, such payment shall be made on the next preceding Business Day.</w:t>
      </w:r>
    </w:p>
    <w:p>
      <w:pPr>
        <w:spacing w:after="0" w:line="185" w:lineRule="exact"/>
        <w:rPr>
          <w:rFonts w:ascii="Times New Roman" w:cs="Times New Roman" w:eastAsia="Times New Roman" w:hAnsi="Times New Roman"/>
          <w:sz w:val="19"/>
          <w:szCs w:val="19"/>
          <w:color w:val="auto"/>
        </w:rPr>
      </w:pPr>
    </w:p>
    <w:p>
      <w:pPr>
        <w:jc w:val="both"/>
        <w:ind w:firstLine="1505"/>
        <w:spacing w:after="0" w:line="242" w:lineRule="auto"/>
        <w:tabs>
          <w:tab w:leader="none" w:pos="1875"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Administrative Agent shall have received notice from the Borrower prior to the date on which any payment is due to any Lender hereunder that the Borrower will not make such payment in full, the Administrative Agent may assume that the Borrower has made such payment in full to the Administrative Agent on such date and the Administrative Agent may, in reliance upon such assumption, cause to be distributed to each such Lender on such due date an amount equal to the amount then due such Lender. If and to the extent the Borrower shall not have so made such payment in full to the Administrative Agent, each such Lender shall repay to the Administrative Agent forthwith on demand such amount distributed to such Lender together with interest thereon, for each day from the date such amount is distributed to such Lender until the date such Lender repays such amount to the Administrative Agent, at the Federal Funds Open Rate.</w:t>
      </w:r>
    </w:p>
    <w:p>
      <w:pPr>
        <w:spacing w:after="0" w:line="185" w:lineRule="exact"/>
        <w:rPr>
          <w:rFonts w:ascii="Times New Roman" w:cs="Times New Roman" w:eastAsia="Times New Roman" w:hAnsi="Times New Roman"/>
          <w:sz w:val="19"/>
          <w:szCs w:val="19"/>
          <w:color w:val="auto"/>
        </w:rPr>
      </w:pPr>
    </w:p>
    <w:p>
      <w:pPr>
        <w:jc w:val="both"/>
        <w:ind w:right="20" w:firstLine="1505"/>
        <w:spacing w:after="0" w:line="246" w:lineRule="auto"/>
        <w:tabs>
          <w:tab w:leader="none" w:pos="1875"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following order of priority:</w:t>
      </w:r>
    </w:p>
    <w:p>
      <w:pPr>
        <w:spacing w:after="0" w:line="180" w:lineRule="exact"/>
        <w:rPr>
          <w:rFonts w:ascii="Times New Roman" w:cs="Times New Roman" w:eastAsia="Times New Roman" w:hAnsi="Times New Roman"/>
          <w:sz w:val="19"/>
          <w:szCs w:val="19"/>
          <w:color w:val="auto"/>
        </w:rPr>
      </w:pPr>
    </w:p>
    <w:p>
      <w:pPr>
        <w:jc w:val="both"/>
        <w:ind w:left="760" w:firstLine="1494"/>
        <w:spacing w:after="0" w:line="248" w:lineRule="auto"/>
        <w:tabs>
          <w:tab w:leader="none" w:pos="2635" w:val="left"/>
        </w:tabs>
        <w:numPr>
          <w:ilvl w:val="1"/>
          <w:numId w:val="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to the payment of all of the fees, indemnification payments, costs and expenses that are due and payable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Administrative Agent (solely in its capacity as the Administrative Agent) under or in respect of this Agreement and the other Loan Documents on such date, ratably based upon the respective aggregate amounts of all such fees, indemnification payments, costs and expenses owing to the Administrative Agent on such date;</w:t>
      </w:r>
    </w:p>
    <w:p>
      <w:pPr>
        <w:spacing w:after="0" w:line="176" w:lineRule="exact"/>
        <w:rPr>
          <w:rFonts w:ascii="Times New Roman" w:cs="Times New Roman" w:eastAsia="Times New Roman" w:hAnsi="Times New Roman"/>
          <w:sz w:val="19"/>
          <w:szCs w:val="19"/>
          <w:color w:val="010000"/>
        </w:rPr>
      </w:pPr>
    </w:p>
    <w:p>
      <w:pPr>
        <w:jc w:val="both"/>
        <w:ind w:left="760" w:firstLine="1494"/>
        <w:spacing w:after="0" w:line="253" w:lineRule="auto"/>
        <w:tabs>
          <w:tab w:leader="none" w:pos="2635" w:val="left"/>
        </w:tabs>
        <w:numPr>
          <w:ilvl w:val="1"/>
          <w:numId w:val="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to the payment of all of the indemnification payments, costs and expenses that are due and payable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Lenders under Section 9.04 and any similar section of any of the other Loan Documents on such date, ratably based upon the respective aggregate amounts of all such indemnification payments, costs and expenses owing to the Lenders on such date;</w:t>
      </w:r>
    </w:p>
    <w:p>
      <w:pPr>
        <w:spacing w:after="0" w:line="173" w:lineRule="exact"/>
        <w:rPr>
          <w:rFonts w:ascii="Times New Roman" w:cs="Times New Roman" w:eastAsia="Times New Roman" w:hAnsi="Times New Roman"/>
          <w:sz w:val="19"/>
          <w:szCs w:val="19"/>
          <w:color w:val="010000"/>
        </w:rPr>
      </w:pPr>
    </w:p>
    <w:p>
      <w:pPr>
        <w:jc w:val="both"/>
        <w:ind w:left="760" w:firstLine="1494"/>
        <w:spacing w:after="0" w:line="253" w:lineRule="auto"/>
        <w:tabs>
          <w:tab w:leader="none" w:pos="2635" w:val="left"/>
        </w:tabs>
        <w:numPr>
          <w:ilvl w:val="1"/>
          <w:numId w:val="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i w:val="1"/>
          <w:iCs w:val="1"/>
          <w:color w:val="auto"/>
        </w:rPr>
        <w:t>third</w:t>
      </w:r>
      <w:r>
        <w:rPr>
          <w:rFonts w:ascii="Times New Roman" w:cs="Times New Roman" w:eastAsia="Times New Roman" w:hAnsi="Times New Roman"/>
          <w:sz w:val="19"/>
          <w:szCs w:val="19"/>
          <w:color w:val="auto"/>
        </w:rPr>
        <w:t>, to the payment of all of the amounts that are due and payable to the Administrative Agent and the Lenders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under Sections 2.10 and 2.12 on such date, ratably based upon the respective aggregate amounts thereof owing to the Administrative Agent and the Lenders on such date;</w:t>
      </w:r>
    </w:p>
    <w:p>
      <w:pPr>
        <w:spacing w:after="0" w:line="173" w:lineRule="exact"/>
        <w:rPr>
          <w:rFonts w:ascii="Times New Roman" w:cs="Times New Roman" w:eastAsia="Times New Roman" w:hAnsi="Times New Roman"/>
          <w:sz w:val="19"/>
          <w:szCs w:val="19"/>
          <w:color w:val="010000"/>
        </w:rPr>
      </w:pPr>
    </w:p>
    <w:p>
      <w:pPr>
        <w:jc w:val="both"/>
        <w:ind w:left="760" w:firstLine="1494"/>
        <w:spacing w:after="0" w:line="253" w:lineRule="auto"/>
        <w:tabs>
          <w:tab w:leader="none" w:pos="2649" w:val="left"/>
        </w:tabs>
        <w:numPr>
          <w:ilvl w:val="1"/>
          <w:numId w:val="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to the payment of all of the accrued and unpaid interest on the Obligations of the Borrower under or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respect of the Loan Documents that is due and payable to the Administrative Agent and the Lenders under Section 2.07(b) on such date, ratably based upon the respective aggregate amounts of all such interest owing to the Administrative Agent and the Lenders on such date;</w:t>
      </w:r>
    </w:p>
    <w:p>
      <w:pPr>
        <w:spacing w:after="0" w:line="173" w:lineRule="exact"/>
        <w:rPr>
          <w:rFonts w:ascii="Times New Roman" w:cs="Times New Roman" w:eastAsia="Times New Roman" w:hAnsi="Times New Roman"/>
          <w:sz w:val="19"/>
          <w:szCs w:val="19"/>
          <w:color w:val="010000"/>
        </w:rPr>
      </w:pPr>
    </w:p>
    <w:p>
      <w:pPr>
        <w:jc w:val="both"/>
        <w:ind w:left="760" w:firstLine="1494"/>
        <w:spacing w:after="0" w:line="248" w:lineRule="auto"/>
        <w:tabs>
          <w:tab w:leader="none" w:pos="2649" w:val="left"/>
        </w:tabs>
        <w:numPr>
          <w:ilvl w:val="1"/>
          <w:numId w:val="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i w:val="1"/>
          <w:iCs w:val="1"/>
          <w:color w:val="auto"/>
        </w:rPr>
        <w:t>fifth</w:t>
      </w:r>
      <w:r>
        <w:rPr>
          <w:rFonts w:ascii="Times New Roman" w:cs="Times New Roman" w:eastAsia="Times New Roman" w:hAnsi="Times New Roman"/>
          <w:sz w:val="19"/>
          <w:szCs w:val="19"/>
          <w:color w:val="auto"/>
        </w:rPr>
        <w:t>, to the payment of all of the accrued and unpaid interest on the Advances that is due and payable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Agent and the Lenders under Section 2.07(a) on such date or any periodic scheduled payments due under any Guaranteed Hedge Agreement of which the Administrative Agent has received not less than five (5) Business Days’ prior written notice, ratably based upon the respective aggregate amounts of all such interest owing to the Administrative Agent and the Lenders on such date;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3" w:name="page54"/>
    <w:bookmarkEnd w:id="53"/>
    <w:p>
      <w:pPr>
        <w:jc w:val="both"/>
        <w:ind w:left="760" w:firstLine="1494"/>
        <w:spacing w:after="0" w:line="253" w:lineRule="auto"/>
        <w:tabs>
          <w:tab w:leader="none" w:pos="2635" w:val="left"/>
        </w:tabs>
        <w:numPr>
          <w:ilvl w:val="0"/>
          <w:numId w:val="3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i w:val="1"/>
          <w:iCs w:val="1"/>
          <w:color w:val="auto"/>
        </w:rPr>
        <w:t>sixth</w:t>
      </w:r>
      <w:r>
        <w:rPr>
          <w:rFonts w:ascii="Times New Roman" w:cs="Times New Roman" w:eastAsia="Times New Roman" w:hAnsi="Times New Roman"/>
          <w:sz w:val="19"/>
          <w:szCs w:val="19"/>
          <w:color w:val="auto"/>
        </w:rPr>
        <w:t>, to the payment of any other accrued and unpaid interest comprising Obligations of the Loan Parties owing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under or in respect of the Loan Documents that is due and payable on such date, ratably based upon the respective aggregate amounts of all such interest owing to the respective obligees thereof on such date;</w:t>
      </w:r>
    </w:p>
    <w:p>
      <w:pPr>
        <w:spacing w:after="0" w:line="173" w:lineRule="exact"/>
        <w:rPr>
          <w:rFonts w:ascii="Times New Roman" w:cs="Times New Roman" w:eastAsia="Times New Roman" w:hAnsi="Times New Roman"/>
          <w:sz w:val="19"/>
          <w:szCs w:val="19"/>
          <w:color w:val="010000"/>
        </w:rPr>
      </w:pPr>
    </w:p>
    <w:p>
      <w:pPr>
        <w:jc w:val="both"/>
        <w:ind w:left="760" w:firstLine="1494"/>
        <w:spacing w:after="0" w:line="248" w:lineRule="auto"/>
        <w:tabs>
          <w:tab w:leader="none" w:pos="2635" w:val="left"/>
        </w:tabs>
        <w:numPr>
          <w:ilvl w:val="0"/>
          <w:numId w:val="3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i w:val="1"/>
          <w:iCs w:val="1"/>
          <w:color w:val="auto"/>
        </w:rPr>
        <w:t>seventh</w:t>
      </w:r>
      <w:r>
        <w:rPr>
          <w:rFonts w:ascii="Times New Roman" w:cs="Times New Roman" w:eastAsia="Times New Roman" w:hAnsi="Times New Roman"/>
          <w:sz w:val="19"/>
          <w:szCs w:val="19"/>
          <w:color w:val="auto"/>
        </w:rPr>
        <w:t>, to the payment of the principal amount of all of the outstanding Advances and any termination payments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due under a Guaranteed Hedge Agreement of which Administrative Agent has received not less than five (5) Business Days’ prior written notice that are due and payable to the Administrative Agent and the Lenders on such date, ratably based upon the respective aggregate amounts of all such Advances and termination payments owing to the Administrative Agent and the Lenders on such date; and</w:t>
      </w:r>
    </w:p>
    <w:p>
      <w:pPr>
        <w:spacing w:after="0" w:line="176" w:lineRule="exact"/>
        <w:rPr>
          <w:rFonts w:ascii="Times New Roman" w:cs="Times New Roman" w:eastAsia="Times New Roman" w:hAnsi="Times New Roman"/>
          <w:sz w:val="19"/>
          <w:szCs w:val="19"/>
          <w:color w:val="010000"/>
        </w:rPr>
      </w:pPr>
    </w:p>
    <w:p>
      <w:pPr>
        <w:jc w:val="both"/>
        <w:ind w:left="760" w:firstLine="1494"/>
        <w:spacing w:after="0" w:line="253" w:lineRule="auto"/>
        <w:tabs>
          <w:tab w:leader="none" w:pos="3027" w:val="left"/>
        </w:tabs>
        <w:numPr>
          <w:ilvl w:val="0"/>
          <w:numId w:val="3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i w:val="1"/>
          <w:iCs w:val="1"/>
          <w:color w:val="auto"/>
        </w:rPr>
        <w:t>eighth</w:t>
      </w:r>
      <w:r>
        <w:rPr>
          <w:rFonts w:ascii="Times New Roman" w:cs="Times New Roman" w:eastAsia="Times New Roman" w:hAnsi="Times New Roman"/>
          <w:sz w:val="19"/>
          <w:szCs w:val="19"/>
          <w:color w:val="auto"/>
        </w:rPr>
        <w:t>, to the payment of all other Obligations of the Loan Parties owing under or in respect of the Loan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Documents that are due and payable to the Administrative Agent and the Lenders on such date, ratably based upon the respective aggregate amounts of all such Obligations owing to the respective obligees thereof on such date.</w:t>
      </w:r>
    </w:p>
    <w:p>
      <w:pPr>
        <w:spacing w:after="0" w:line="177"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2.12</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1505"/>
        <w:spacing w:after="0"/>
        <w:tabs>
          <w:tab w:leader="none" w:pos="1875"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payments by or on account of any Obligation of any Loan Party or the Administrative Agent hereunder or under any Loan Document shall be made, in accordance with Section 2.11 or the applicable provisions of such other Loan Document, if any,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93" w:lineRule="exact"/>
        <w:rPr>
          <w:rFonts w:ascii="Times New Roman" w:cs="Times New Roman" w:eastAsia="Times New Roman" w:hAnsi="Times New Roman"/>
          <w:sz w:val="19"/>
          <w:szCs w:val="19"/>
          <w:color w:val="auto"/>
        </w:rPr>
      </w:pPr>
    </w:p>
    <w:p>
      <w:pPr>
        <w:ind w:right="40" w:firstLine="1505"/>
        <w:spacing w:after="0" w:line="265" w:lineRule="auto"/>
        <w:tabs>
          <w:tab w:leader="none" w:pos="1875"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Loan Party shall timely pay to the relevant Governmental Authority in accordance with applicable law, or at the option of the Administrative Agent timely reimburse it for the payment of, any Other Taxes.</w:t>
      </w:r>
    </w:p>
    <w:p>
      <w:pPr>
        <w:spacing w:after="0" w:line="165" w:lineRule="exact"/>
        <w:rPr>
          <w:rFonts w:ascii="Times New Roman" w:cs="Times New Roman" w:eastAsia="Times New Roman" w:hAnsi="Times New Roman"/>
          <w:sz w:val="19"/>
          <w:szCs w:val="19"/>
          <w:color w:val="auto"/>
        </w:rPr>
      </w:pPr>
    </w:p>
    <w:p>
      <w:pPr>
        <w:jc w:val="both"/>
        <w:ind w:firstLine="1505"/>
        <w:spacing w:after="0" w:line="242" w:lineRule="auto"/>
        <w:tabs>
          <w:tab w:leader="none" w:pos="1875"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duplication of Sections 2.12(a) or 2.12(b), the Loan Parties shall indemnify each Recipient for the full amount of Indemnified Taxes (including Indemnified Taxes imposed or asserted on or attributable to amounts payable under this Section 2.12) payable or paid by such Recipient, or required to be deducted or withheld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Loan Parties by a Lender (with a copy to the Administrative Agent), or by the Administrative Agent on its own behalf or on behalf of a Lender, shall be conclusive absent manifest error. This indemnification shall be made within ten days from the date such Lender or the Administrative Agent (as the case may be) makes written demand therefor.</w:t>
      </w:r>
    </w:p>
    <w:p>
      <w:pPr>
        <w:spacing w:after="0" w:line="185" w:lineRule="exact"/>
        <w:rPr>
          <w:rFonts w:ascii="Times New Roman" w:cs="Times New Roman" w:eastAsia="Times New Roman" w:hAnsi="Times New Roman"/>
          <w:sz w:val="19"/>
          <w:szCs w:val="19"/>
          <w:color w:val="auto"/>
        </w:rPr>
      </w:pPr>
    </w:p>
    <w:p>
      <w:pPr>
        <w:jc w:val="both"/>
        <w:ind w:firstLine="1505"/>
        <w:spacing w:after="0" w:line="244" w:lineRule="auto"/>
        <w:tabs>
          <w:tab w:leader="none" w:pos="1875"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shall severally indemnify the Administrative Agent, within ten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9.07 relating to the maintenance of a Participant Register and (iii) any Excluded Taxes attributable to such Lender, in each case that are payable or paid by the Administrative Agent in connection with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54" w:name="page55"/>
    <w:bookmarkEnd w:id="54"/>
    <w:p>
      <w:pPr>
        <w:jc w:val="both"/>
        <w:spacing w:after="0" w:line="244" w:lineRule="auto"/>
        <w:rPr>
          <w:sz w:val="20"/>
          <w:szCs w:val="20"/>
          <w:color w:val="auto"/>
        </w:rPr>
      </w:pPr>
      <w:r>
        <w:rPr>
          <w:rFonts w:ascii="Times New Roman" w:cs="Times New Roman" w:eastAsia="Times New Roman" w:hAnsi="Times New Roman"/>
          <w:sz w:val="19"/>
          <w:szCs w:val="19"/>
          <w:color w:val="auto"/>
        </w:rPr>
        <w:t>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Section 2.12(d).</w:t>
      </w:r>
    </w:p>
    <w:p>
      <w:pPr>
        <w:spacing w:after="0" w:line="185" w:lineRule="exact"/>
        <w:rPr>
          <w:sz w:val="20"/>
          <w:szCs w:val="20"/>
          <w:color w:val="auto"/>
        </w:rPr>
      </w:pPr>
    </w:p>
    <w:p>
      <w:pPr>
        <w:jc w:val="both"/>
        <w:ind w:firstLine="1505"/>
        <w:spacing w:after="0"/>
        <w:tabs>
          <w:tab w:leader="none" w:pos="1875"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practicable after, but in any case within 30 days after, the date of any payment of Taxes by any Loan Party to a Governmental Authority pursuant to this Section 2.12, such Loan Party shall deliver to the Administrative Agent, at its address referred to in Section 9.02, the original or a certified copy of a receipt issued by such Governmental Authority evidencing such payment, a copy of the return reporting such payment or other evidence of such payment reasonably satisfactory to the Administrative Agent. In the case of any payment hereunder or under the other Loan Documents by or on behalf of a Loan Party through an account or branch outside the United States or by or on behalf of a Loan Party by a payor that is not a U.S. Person, if such Loan Party determines that no Taxes are payable in respect thereof, such Loan Party shall furnish, or shall cause such payor to furnish, to the Administrative Agent, at such address, an opinion of counsel acceptable to the Administrative Agent stating that such payment is exempt from Taxes. For purposes of subsections (e) and (g) of this Section 2.12, the term “</w:t>
      </w:r>
      <w:r>
        <w:rPr>
          <w:rFonts w:ascii="Times New Roman" w:cs="Times New Roman" w:eastAsia="Times New Roman" w:hAnsi="Times New Roman"/>
          <w:sz w:val="19"/>
          <w:szCs w:val="19"/>
          <w:b w:val="1"/>
          <w:bCs w:val="1"/>
          <w:i w:val="1"/>
          <w:iCs w:val="1"/>
          <w:color w:val="auto"/>
        </w:rPr>
        <w:t>United States</w:t>
      </w:r>
      <w:r>
        <w:rPr>
          <w:rFonts w:ascii="Times New Roman" w:cs="Times New Roman" w:eastAsia="Times New Roman" w:hAnsi="Times New Roman"/>
          <w:sz w:val="19"/>
          <w:szCs w:val="19"/>
          <w:color w:val="auto"/>
        </w:rPr>
        <w:t>” shall have the meaning specified in Section 7701(a)(9) of the Internal Revenue Code.</w:t>
      </w:r>
    </w:p>
    <w:p>
      <w:pPr>
        <w:spacing w:after="0" w:line="193" w:lineRule="exact"/>
        <w:rPr>
          <w:rFonts w:ascii="Times New Roman" w:cs="Times New Roman" w:eastAsia="Times New Roman" w:hAnsi="Times New Roman"/>
          <w:sz w:val="19"/>
          <w:szCs w:val="19"/>
          <w:color w:val="auto"/>
        </w:rPr>
      </w:pPr>
    </w:p>
    <w:p>
      <w:pPr>
        <w:jc w:val="both"/>
        <w:ind w:firstLine="1505"/>
        <w:spacing w:after="0"/>
        <w:tabs>
          <w:tab w:leader="none" w:pos="1875"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that is entitled to an exemption from, or reduction of, withholding Taxes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any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2.12(g)(i), (ii) and (iv)) shall not be required if in the applicable Lender’s reasonable judgment such completion, execution or submission would subject such Lender to any material unreimbursed cost or expense or would materially prejudice the legal or commercial position of such Lender.</w:t>
      </w:r>
    </w:p>
    <w:p>
      <w:pPr>
        <w:spacing w:after="0" w:line="191" w:lineRule="exact"/>
        <w:rPr>
          <w:rFonts w:ascii="Times New Roman" w:cs="Times New Roman" w:eastAsia="Times New Roman" w:hAnsi="Times New Roman"/>
          <w:sz w:val="19"/>
          <w:szCs w:val="19"/>
          <w:color w:val="auto"/>
        </w:rPr>
      </w:pPr>
    </w:p>
    <w:p>
      <w:pPr>
        <w:ind w:left="1880" w:hanging="375"/>
        <w:spacing w:after="0"/>
        <w:tabs>
          <w:tab w:leader="none" w:pos="188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generality of Section 2.12(f),</w:t>
      </w:r>
    </w:p>
    <w:p>
      <w:pPr>
        <w:spacing w:after="0" w:line="213" w:lineRule="exact"/>
        <w:rPr>
          <w:rFonts w:ascii="Times New Roman" w:cs="Times New Roman" w:eastAsia="Times New Roman" w:hAnsi="Times New Roman"/>
          <w:sz w:val="19"/>
          <w:szCs w:val="19"/>
          <w:color w:val="auto"/>
        </w:rPr>
      </w:pPr>
    </w:p>
    <w:p>
      <w:pPr>
        <w:jc w:val="both"/>
        <w:ind w:left="760" w:firstLine="1494"/>
        <w:spacing w:after="0" w:line="224" w:lineRule="exact"/>
        <w:tabs>
          <w:tab w:leader="none" w:pos="2635" w:val="left"/>
        </w:tabs>
        <w:numPr>
          <w:ilvl w:val="1"/>
          <w:numId w:val="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Lender that is a U.S. Person shall, on or prior to the date of its execution and delivery of this Agreement in the case of each Initial Lender, and on the date of the Assignment and Acceptance or Accession Agreement pursuant to which it becomes a Lender in the case of each other Lender, and from time to time thereafter as reasonably requested in writing by the Borrower, provide the Administrative Agent and the Borrower with executed originals of Internal Revenue Service Form W</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9 certifying that such Lender is exempt from U.S. federal backup withholding tax;</w:t>
      </w:r>
    </w:p>
    <w:p>
      <w:pPr>
        <w:spacing w:after="0" w:line="183" w:lineRule="exact"/>
        <w:rPr>
          <w:rFonts w:ascii="Times New Roman" w:cs="Times New Roman" w:eastAsia="Times New Roman" w:hAnsi="Times New Roman"/>
          <w:sz w:val="19"/>
          <w:szCs w:val="19"/>
          <w:color w:val="010000"/>
        </w:rPr>
      </w:pPr>
    </w:p>
    <w:p>
      <w:pPr>
        <w:jc w:val="both"/>
        <w:ind w:left="760" w:firstLine="1494"/>
        <w:spacing w:after="0" w:line="248" w:lineRule="auto"/>
        <w:tabs>
          <w:tab w:leader="none" w:pos="2635" w:val="left"/>
        </w:tabs>
        <w:numPr>
          <w:ilvl w:val="1"/>
          <w:numId w:val="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Lender that is not a U.S. Person (a “</w:t>
      </w:r>
      <w:r>
        <w:rPr>
          <w:rFonts w:ascii="Times New Roman" w:cs="Times New Roman" w:eastAsia="Times New Roman" w:hAnsi="Times New Roman"/>
          <w:sz w:val="19"/>
          <w:szCs w:val="19"/>
          <w:b w:val="1"/>
          <w:bCs w:val="1"/>
          <w:i w:val="1"/>
          <w:iCs w:val="1"/>
          <w:color w:val="auto"/>
        </w:rPr>
        <w:t>Foreign Lender</w:t>
      </w:r>
      <w:r>
        <w:rPr>
          <w:rFonts w:ascii="Times New Roman" w:cs="Times New Roman" w:eastAsia="Times New Roman" w:hAnsi="Times New Roman"/>
          <w:sz w:val="19"/>
          <w:szCs w:val="19"/>
          <w:color w:val="auto"/>
        </w:rPr>
        <w:t>”) shall, to the extent it is legally entitled to do so, on or prior to the date of its execution and delivery of this Agreement in the case of each Initial Lender, and on the date of the Assignment and Acceptance or Accession Agreement pursuant to which it becomes a Lender in the case of each other Lender, and from time to time thereafter as reasonably requested in writing by the Borrower (but only so long thereafter as such</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Lender remains lawfully able to do so), provide the Administrative Agent and the Borrower with whichever of the following is applicable:</w:t>
      </w:r>
    </w:p>
    <w:p>
      <w:pPr>
        <w:spacing w:after="0" w:line="225" w:lineRule="exact"/>
        <w:rPr>
          <w:sz w:val="20"/>
          <w:szCs w:val="20"/>
          <w:color w:val="auto"/>
        </w:rPr>
      </w:pPr>
    </w:p>
    <w:p>
      <w:pPr>
        <w:jc w:val="both"/>
        <w:ind w:left="740" w:firstLine="1503"/>
        <w:spacing w:after="0" w:line="225" w:lineRule="exact"/>
        <w:tabs>
          <w:tab w:leader="none" w:pos="2616" w:val="left"/>
        </w:tabs>
        <w:numPr>
          <w:ilvl w:val="1"/>
          <w:numId w:val="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the case of a Foreign Lender claiming the benefits of an income tax treaty to which the United Sates is a party, (x) with respect to payments of interest under any Loan Document, executed originals of Internal Revenue Service Form W</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8BEN or W-8BEN-E, as applicable, establishing an exemption from, or reduction of, U.S. federal withholding Tax pursuant to the “interest” article of such tax treaty and (y) with respect to any other applicable payments under any Loan Document, Internal Revenue Service Form W</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8BEN or W-8BEN-E, as applicable, establishing an exemption from, or reduction of, U.S. federal withholding Tax pursuant to the “business profits” or “other income” article of such tax treaty;</w:t>
      </w:r>
    </w:p>
    <w:p>
      <w:pPr>
        <w:spacing w:after="0" w:line="160" w:lineRule="exact"/>
        <w:rPr>
          <w:rFonts w:ascii="Times New Roman" w:cs="Times New Roman" w:eastAsia="Times New Roman" w:hAnsi="Times New Roman"/>
          <w:sz w:val="19"/>
          <w:szCs w:val="19"/>
          <w:color w:val="010000"/>
        </w:rPr>
      </w:pPr>
    </w:p>
    <w:p>
      <w:pPr>
        <w:ind w:left="2620" w:hanging="377"/>
        <w:spacing w:after="0" w:line="219" w:lineRule="exact"/>
        <w:tabs>
          <w:tab w:leader="none" w:pos="2620" w:val="left"/>
        </w:tabs>
        <w:numPr>
          <w:ilvl w:val="1"/>
          <w:numId w:val="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executed originals of Internal Revenue Service Form W</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8ECI;</w:t>
      </w:r>
    </w:p>
    <w:p>
      <w:pPr>
        <w:spacing w:after="0" w:line="256" w:lineRule="exact"/>
        <w:rPr>
          <w:rFonts w:ascii="Times New Roman" w:cs="Times New Roman" w:eastAsia="Times New Roman" w:hAnsi="Times New Roman"/>
          <w:sz w:val="19"/>
          <w:szCs w:val="19"/>
          <w:color w:val="010000"/>
        </w:rPr>
      </w:pPr>
    </w:p>
    <w:p>
      <w:pPr>
        <w:jc w:val="both"/>
        <w:ind w:left="740" w:firstLine="1503"/>
        <w:spacing w:after="0" w:line="230" w:lineRule="exact"/>
        <w:tabs>
          <w:tab w:leader="none" w:pos="2643" w:val="left"/>
        </w:tabs>
        <w:numPr>
          <w:ilvl w:val="1"/>
          <w:numId w:val="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the case of a Foreign Lender claiming the benefits of the exemption for portfolio interest under Section 881(c) of the Internal Revenue Code (x) a certificate substantially in the form of Exhibit 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hereto to the effect that such Foreign Lender is not (A) a “bank” within the meaning of Section 881(c)(3)(A) of the Internal Revenue Code, (B) a “10 percent shareholder” of any Loan Party within the meaning of Section 881(c)(3)(B) of the Internal Revenue Code, or (C) a “controlled foreign corporation” described in Section 881(c)(3)(C) of the Internal Revenue Code (a “</w:t>
      </w:r>
      <w:r>
        <w:rPr>
          <w:rFonts w:ascii="Times New Roman" w:cs="Times New Roman" w:eastAsia="Times New Roman" w:hAnsi="Times New Roman"/>
          <w:sz w:val="19"/>
          <w:szCs w:val="19"/>
          <w:b w:val="1"/>
          <w:bCs w:val="1"/>
          <w:i w:val="1"/>
          <w:iCs w:val="1"/>
          <w:color w:val="auto"/>
        </w:rPr>
        <w:t>U.S. Tax Compliance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Certificate</w:t>
      </w:r>
      <w:r>
        <w:rPr>
          <w:rFonts w:ascii="Times New Roman" w:cs="Times New Roman" w:eastAsia="Times New Roman" w:hAnsi="Times New Roman"/>
          <w:sz w:val="19"/>
          <w:szCs w:val="19"/>
          <w:color w:val="auto"/>
        </w:rPr>
        <w:t>”) and (y) executed originals of Internal Revenue Service Form W</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8BEN or W-8BEN-E, as applicable; or</w:t>
      </w:r>
    </w:p>
    <w:p>
      <w:pPr>
        <w:spacing w:after="0" w:line="162" w:lineRule="exact"/>
        <w:rPr>
          <w:rFonts w:ascii="Times New Roman" w:cs="Times New Roman" w:eastAsia="Times New Roman" w:hAnsi="Times New Roman"/>
          <w:sz w:val="19"/>
          <w:szCs w:val="19"/>
          <w:color w:val="010000"/>
        </w:rPr>
      </w:pPr>
    </w:p>
    <w:p>
      <w:pPr>
        <w:jc w:val="both"/>
        <w:ind w:left="740" w:firstLine="1503"/>
        <w:spacing w:after="0" w:line="226" w:lineRule="exact"/>
        <w:tabs>
          <w:tab w:leader="none" w:pos="2616" w:val="left"/>
        </w:tabs>
        <w:numPr>
          <w:ilvl w:val="1"/>
          <w:numId w:val="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to the extent that the Foreign Lender is not the beneficial owner, executed originals of Internal Revenue Service Form W</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8IMY, accompanied by Internal Revenue Service Form W</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8BEN or W-8BEN-E, as applicable, a U.S. Tax Compliance Certificate substantially in the form of Exhibit 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 or Exhibit 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3, Internal Revenue Service Form W</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9 and/or other certification documents from each beneficial owner, as applicable;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if the Foreign Lender is a partnership and one or more direct or indirect partners of such Foreign Lender are claiming the portfolio interest exemption, such Foreign Lender may provide a U.S. Tax Compliance Certificate substantially in the form of Exhibit 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4 on behalf of each such direct and indirect partner;</w:t>
      </w:r>
    </w:p>
    <w:p>
      <w:pPr>
        <w:spacing w:after="0" w:line="188" w:lineRule="exact"/>
        <w:rPr>
          <w:rFonts w:ascii="Times New Roman" w:cs="Times New Roman" w:eastAsia="Times New Roman" w:hAnsi="Times New Roman"/>
          <w:sz w:val="19"/>
          <w:szCs w:val="19"/>
          <w:color w:val="010000"/>
        </w:rPr>
      </w:pPr>
    </w:p>
    <w:p>
      <w:pPr>
        <w:jc w:val="both"/>
        <w:ind w:firstLine="1494"/>
        <w:spacing w:after="0" w:line="259" w:lineRule="auto"/>
        <w:tabs>
          <w:tab w:leader="none" w:pos="1916" w:val="left"/>
        </w:tabs>
        <w:numPr>
          <w:ilvl w:val="0"/>
          <w:numId w:val="4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any applicable law as a basis for claiming exemption from or a reduction in U.S. federal withholding Tax, duly completed, together with such supplementary documentation as may be prescribed by any applicable law to permit the Borrower or the Administrative Agent to determine the withholding or deduction required to be made; and</w:t>
      </w:r>
    </w:p>
    <w:p>
      <w:pPr>
        <w:spacing w:after="0" w:line="171" w:lineRule="exact"/>
        <w:rPr>
          <w:rFonts w:ascii="Times New Roman" w:cs="Times New Roman" w:eastAsia="Times New Roman" w:hAnsi="Times New Roman"/>
          <w:sz w:val="18"/>
          <w:szCs w:val="18"/>
          <w:color w:val="010000"/>
        </w:rPr>
      </w:pPr>
    </w:p>
    <w:p>
      <w:pPr>
        <w:jc w:val="both"/>
        <w:ind w:firstLine="1494"/>
        <w:spacing w:after="0" w:line="241" w:lineRule="auto"/>
        <w:tabs>
          <w:tab w:leader="none" w:pos="1902" w:val="left"/>
        </w:tabs>
        <w:numPr>
          <w:ilvl w:val="0"/>
          <w:numId w:val="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482600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56" w:name="page57"/>
    <w:bookmarkEnd w:id="56"/>
    <w:p>
      <w:pPr>
        <w:ind w:left="760"/>
        <w:spacing w:after="0" w:line="265" w:lineRule="auto"/>
        <w:rPr>
          <w:sz w:val="20"/>
          <w:szCs w:val="20"/>
          <w:color w:val="auto"/>
        </w:rPr>
      </w:pPr>
      <w:r>
        <w:rPr>
          <w:rFonts w:ascii="Times New Roman" w:cs="Times New Roman" w:eastAsia="Times New Roman" w:hAnsi="Times New Roman"/>
          <w:sz w:val="19"/>
          <w:szCs w:val="19"/>
          <w:color w:val="auto"/>
        </w:rPr>
        <w:t>or to determine the amount to deduct and withhold from such payment. Solely for the purposes of this subsection (g), “FATCA” shall include any amendments made to FATCA after the date of this Agreement.</w:t>
      </w:r>
    </w:p>
    <w:p>
      <w:pPr>
        <w:spacing w:after="0" w:line="166" w:lineRule="exact"/>
        <w:rPr>
          <w:sz w:val="20"/>
          <w:szCs w:val="20"/>
          <w:color w:val="auto"/>
        </w:rPr>
      </w:pPr>
    </w:p>
    <w:p>
      <w:pPr>
        <w:jc w:val="both"/>
        <w:ind w:left="760" w:firstLine="1494"/>
        <w:spacing w:after="0" w:line="251" w:lineRule="auto"/>
        <w:tabs>
          <w:tab w:leader="none" w:pos="2662" w:val="left"/>
        </w:tabs>
        <w:numPr>
          <w:ilvl w:val="1"/>
          <w:numId w:val="4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78" w:lineRule="exact"/>
        <w:rPr>
          <w:rFonts w:ascii="Times New Roman" w:cs="Times New Roman" w:eastAsia="Times New Roman" w:hAnsi="Times New Roman"/>
          <w:sz w:val="19"/>
          <w:szCs w:val="19"/>
          <w:color w:val="010000"/>
        </w:rPr>
      </w:pPr>
    </w:p>
    <w:p>
      <w:pPr>
        <w:jc w:val="both"/>
        <w:ind w:firstLine="1505"/>
        <w:spacing w:after="0" w:line="220" w:lineRule="exact"/>
        <w:tabs>
          <w:tab w:leader="none" w:pos="1875" w:val="left"/>
        </w:tabs>
        <w:numPr>
          <w:ilvl w:val="0"/>
          <w:numId w:val="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any party determines, in its sole discretion exercised in good faith, that it has received a refund of any Taxes as to which it has received an indemnification payment pursuant to this Section 2.12 (including by the payment of additional amounts pursuant to this Section 2.12), it shall pay to the indemnifying party an amount equal to such refund (but only to the extent of indemnity payments made under this Section with respect to the Taxes giving rise to such refund), net of all out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subsection (h) (plus any penalties, interest or other charges imposed by the relevant Governmental Authority) in the event that such indemnified party is required to repay such refund to such Governmental Authority. Notwithstanding anything to the contrary in this subsection (h), in no event will the indemnified party be required to pay any amount to an indemnifying party pursuant to this subsection (h) if such payment would place the indemnified party in a less favorable net after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indemnified party to make available its Tax returns (or any other information relating to its Taxes that it deems confidential) to the indemnifying party or any other Person. No party shall have any obligation to pursue, or any right to assert, any refund of Indemnified Taxes that may be paid by another party.</w:t>
      </w:r>
    </w:p>
    <w:p>
      <w:pPr>
        <w:spacing w:after="0" w:line="195" w:lineRule="exact"/>
        <w:rPr>
          <w:rFonts w:ascii="Times New Roman" w:cs="Times New Roman" w:eastAsia="Times New Roman" w:hAnsi="Times New Roman"/>
          <w:sz w:val="19"/>
          <w:szCs w:val="19"/>
          <w:color w:val="010000"/>
        </w:rPr>
      </w:pPr>
    </w:p>
    <w:p>
      <w:pPr>
        <w:jc w:val="both"/>
        <w:ind w:firstLine="1505"/>
        <w:spacing w:after="0" w:line="251" w:lineRule="auto"/>
        <w:tabs>
          <w:tab w:leader="none" w:pos="1875" w:val="left"/>
        </w:tabs>
        <w:numPr>
          <w:ilvl w:val="0"/>
          <w:numId w:val="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Should a Lender become subject to Taxes because of its failure to deliver a form or other document required hereunder, the Loan Parties shall take such steps as such Lender shall reasonably request to assist such Lender to recover such Taxes;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expenses incurred by any Loan Party in connection therewith shall be reimbursed by the requesting Lender.</w:t>
      </w:r>
    </w:p>
    <w:p>
      <w:pPr>
        <w:spacing w:after="0" w:line="178" w:lineRule="exact"/>
        <w:rPr>
          <w:rFonts w:ascii="Times New Roman" w:cs="Times New Roman" w:eastAsia="Times New Roman" w:hAnsi="Times New Roman"/>
          <w:sz w:val="19"/>
          <w:szCs w:val="19"/>
          <w:color w:val="010000"/>
        </w:rPr>
      </w:pPr>
    </w:p>
    <w:p>
      <w:pPr>
        <w:jc w:val="both"/>
        <w:ind w:firstLine="1505"/>
        <w:spacing w:after="0" w:line="242" w:lineRule="auto"/>
        <w:tabs>
          <w:tab w:leader="none" w:pos="1875" w:val="left"/>
        </w:tabs>
        <w:numPr>
          <w:ilvl w:val="0"/>
          <w:numId w:val="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Lender claiming any Indemnified Taxes or additional amounts payable to any Lender or any Governmental Authority for the account of any Lender pursuant to this Section 2.12 agrees to use reasonable efforts (consistent with its internal policy and legal and regulatory restrictions) to change the jurisdiction of its Applicable Lending Office or assign its rights and obligations hereunder to another of its offices, branches or Affiliates if the making of such a change would avoid the need for, or reduce the amount of, any such Indemnified Taxes or additional amounts that may thereafter accrue and would not, in the reasonable judgment of such Lender, be otherwise disadvantageous to such Lender.</w:t>
      </w:r>
    </w:p>
    <w:p>
      <w:pPr>
        <w:spacing w:after="0" w:line="190" w:lineRule="exact"/>
        <w:rPr>
          <w:rFonts w:ascii="Times New Roman" w:cs="Times New Roman" w:eastAsia="Times New Roman" w:hAnsi="Times New Roman"/>
          <w:sz w:val="19"/>
          <w:szCs w:val="19"/>
          <w:color w:val="010000"/>
        </w:rPr>
      </w:pPr>
    </w:p>
    <w:p>
      <w:pPr>
        <w:jc w:val="both"/>
        <w:ind w:firstLine="1505"/>
        <w:spacing w:after="0"/>
        <w:tabs>
          <w:tab w:leader="none" w:pos="1875" w:val="left"/>
        </w:tabs>
        <w:numPr>
          <w:ilvl w:val="0"/>
          <w:numId w:val="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the event that an additional payment is made under Section 2.12(a) or (c) for the account of any Lender and such Lender, in its sole discretion, determines that it has finally and irrevocably received or been granted a credit against or release or remission for, or repayment of, any tax paid or payable by it in respect of or calculated with reference to the deduction or withholding giving rise to such payment, such Lender shall, to the extent that it determines that it can do so without prejudice to the retention of the amount of such credit, relief, remission or repayment, pay to the applicable Loan Party such amount as such Lender shall, in its sole discretion, have determined to be attributable to such deduction or withholding and which will leave such Lender (after such payment) in no worse position than it would have been in if the applicable Loan Party had not been required to make such deduction or withholding. Nothing herein contained shall interfere with the right of a Lender to arrange its tax affairs in whatever manner it thinks fit nor oblige any Lender to claim any tax credit or to disclose any information relating to its affairs or any computations in respect thereof, and no Loan Party shall be entitled to review the tax records of any Lender or the Administrative Agent, or require any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Lender to do anything that would prejudice its ability to benefit from any other credits, reliefs, remissions or repayments to which it may be entitled.</w:t>
      </w:r>
    </w:p>
    <w:p>
      <w:pPr>
        <w:spacing w:after="0" w:line="225" w:lineRule="exact"/>
        <w:rPr>
          <w:sz w:val="20"/>
          <w:szCs w:val="20"/>
          <w:color w:val="auto"/>
        </w:rPr>
      </w:pPr>
    </w:p>
    <w:p>
      <w:pPr>
        <w:jc w:val="both"/>
        <w:ind w:firstLine="1505"/>
        <w:spacing w:after="0" w:line="246" w:lineRule="auto"/>
        <w:tabs>
          <w:tab w:leader="none" w:pos="1875" w:val="left"/>
        </w:tabs>
        <w:numPr>
          <w:ilvl w:val="0"/>
          <w:numId w:val="4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Without prejudice to the survival of any other agreement of any party hereunder or under any other Loan Document, the agreements and obligations under this Section 2.12 shall survive the resignation or replacement of the Administrative Agent, the assignment of rights by, or the replacement of, a Lender, the termination of the Commitments and the payment in full of principal, interest and all other amounts payable hereunder and under any of the other Loan Documents.</w:t>
      </w:r>
    </w:p>
    <w:p>
      <w:pPr>
        <w:spacing w:after="0" w:line="184" w:lineRule="exact"/>
        <w:rPr>
          <w:sz w:val="20"/>
          <w:szCs w:val="20"/>
          <w:color w:val="auto"/>
        </w:rPr>
      </w:pPr>
    </w:p>
    <w:p>
      <w:pPr>
        <w:jc w:val="both"/>
        <w:ind w:firstLine="1497"/>
        <w:spacing w:after="0" w:line="219" w:lineRule="exact"/>
        <w:rPr>
          <w:sz w:val="20"/>
          <w:szCs w:val="20"/>
          <w:color w:val="auto"/>
        </w:rPr>
      </w:pPr>
      <w:r>
        <w:rPr>
          <w:rFonts w:ascii="Times New Roman" w:cs="Times New Roman" w:eastAsia="Times New Roman" w:hAnsi="Times New Roman"/>
          <w:sz w:val="19"/>
          <w:szCs w:val="19"/>
          <w:color w:val="010000"/>
        </w:rPr>
        <w:t xml:space="preserve">Section 2.13 </w:t>
      </w:r>
      <w:r>
        <w:rPr>
          <w:rFonts w:ascii="Times New Roman" w:cs="Times New Roman" w:eastAsia="Times New Roman" w:hAnsi="Times New Roman"/>
          <w:sz w:val="19"/>
          <w:szCs w:val="19"/>
          <w:u w:val="single" w:color="auto"/>
          <w:color w:val="000000"/>
        </w:rPr>
        <w:t>Sharing of Payments, Etc.</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Subject to the provisions of Section 2.11(f), if any Lender shall obtain at any time any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payment (whether voluntary, involuntary, through the exercise of any right of set</w:t>
      </w:r>
      <w:r>
        <w:rPr>
          <w:rFonts w:ascii="MS PGothic" w:cs="MS PGothic" w:eastAsia="MS PGothic" w:hAnsi="MS PGothic"/>
          <w:sz w:val="19"/>
          <w:szCs w:val="19"/>
          <w:color w:val="000000"/>
        </w:rPr>
        <w:t>‑</w:t>
      </w:r>
      <w:r>
        <w:rPr>
          <w:rFonts w:ascii="Times New Roman" w:cs="Times New Roman" w:eastAsia="Times New Roman" w:hAnsi="Times New Roman"/>
          <w:sz w:val="19"/>
          <w:szCs w:val="19"/>
          <w:color w:val="000000"/>
        </w:rPr>
        <w:t xml:space="preserve">off, or otherwise, other than as a result of an assignment pursuant to Section 9.07) (a) on account of Obligations due and payable to such Lender hereunder and under the Notes at such time in excess of its ratable share (according to the proportion of (i) the amount of such Obligations due and payable to such Lender at such time to (ii) the aggregate amount of the Obligations due and payable to all Lenders hereunder and under the Notes at such time) of payments on account of the Obligations due and payable to all Lenders hereunder and under the Notes at such time obtained by all the Lenders at such time or (b) on account of Obligations owing (but not due and payable) to such Lender hereunder and under the Notes at such time in excess of its ratable share (according to the proportion of (i) the amount of such Obligations owing to such Lender at such time to (ii) the aggregate amount of the Obligations owing (but not due and payable) to all Lenders hereunder and under the Notes at such time) of payments on account of the Obligations owing (but not due and payable) to all Lenders hereunder and under the Notes at such time obtained by all of the Lenders at such time, such Lender shall forthwith purchase from the other Lenders such interests or participating interests in the Obligations due and payable or owing to them, as the case may be, as shall be necessary to cause such purchasing Lender to share the excess payment ratably with each of them;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i w:val="1"/>
          <w:iCs w:val="1"/>
          <w:color w:val="000000"/>
        </w:rPr>
        <w:t>however</w:t>
      </w:r>
      <w:r>
        <w:rPr>
          <w:rFonts w:ascii="Times New Roman" w:cs="Times New Roman" w:eastAsia="Times New Roman" w:hAnsi="Times New Roman"/>
          <w:sz w:val="19"/>
          <w:szCs w:val="19"/>
          <w:color w:val="000000"/>
        </w:rPr>
        <w:t>, that if all or any portion of such excess payment is thereafter recovered from such purchasing Lender, such purchase from each other Lender shall be rescinded and such other Lender shall repay to the purchasing Lender the purchase price to the extent of such Lender’s ratable share (according to the proportion of (i) the purchase price paid to such Lender to (ii) the aggregate purchase price paid to all Lenders) of such recovery together with an amount equal to such Lender’s ratable share (according to the proportion of (i) the amount of such other Lender’s required repayment to (ii) the total amount so recovered from the purchasing Lender) of any interest or other amount paid or payable by the purchasing Lender in respect of the total amount so recovered. The Borrower agrees that any Lender so purchasing an interest or participating interest from another Lender pursuant to this Section 2.13 may, to the fullest extent permitted by law, exercise all its rights of payment (including the right of set</w:t>
      </w:r>
      <w:r>
        <w:rPr>
          <w:rFonts w:ascii="MS PGothic" w:cs="MS PGothic" w:eastAsia="MS PGothic" w:hAnsi="MS PGothic"/>
          <w:sz w:val="19"/>
          <w:szCs w:val="19"/>
          <w:color w:val="000000"/>
        </w:rPr>
        <w:t>‑</w:t>
      </w:r>
      <w:r>
        <w:rPr>
          <w:rFonts w:ascii="Times New Roman" w:cs="Times New Roman" w:eastAsia="Times New Roman" w:hAnsi="Times New Roman"/>
          <w:sz w:val="19"/>
          <w:szCs w:val="19"/>
          <w:color w:val="000000"/>
        </w:rPr>
        <w:t>off) with respect to such interest or participating interest, as the case may be, as fully as if such Lender were the direct creditor of the Borrower in the amount of such interest or participating interest, as the case may be.</w:t>
      </w:r>
    </w:p>
    <w:p>
      <w:pPr>
        <w:spacing w:after="0" w:line="191"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19"/>
          <w:szCs w:val="19"/>
          <w:color w:val="010000"/>
        </w:rPr>
        <w:t xml:space="preserve">Section 2.14 </w:t>
      </w:r>
      <w:r>
        <w:rPr>
          <w:rFonts w:ascii="Times New Roman" w:cs="Times New Roman" w:eastAsia="Times New Roman" w:hAnsi="Times New Roman"/>
          <w:sz w:val="19"/>
          <w:szCs w:val="19"/>
          <w:u w:val="single" w:color="auto"/>
          <w:color w:val="000000"/>
        </w:rPr>
        <w:t>Use of Proceeds</w:t>
      </w:r>
      <w:r>
        <w:rPr>
          <w:rFonts w:ascii="Times New Roman" w:cs="Times New Roman" w:eastAsia="Times New Roman" w:hAnsi="Times New Roman"/>
          <w:sz w:val="19"/>
          <w:szCs w:val="19"/>
          <w:color w:val="000000"/>
        </w:rPr>
        <w:t>. The proceeds of the Advances shall be available (and the Borrower agrees that it shall use such</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proceeds) solely for (i) general corporate purposes of the Borrower and its Subsidiaries, (ii) the acquisition of assets, (iii) capital expenditures, (iv) working capital expenses, (v) the development and redevelopment of assets, (vi) the repayment in full (or refinancing) of certain Existing Debt, and</w:t>
      </w:r>
    </w:p>
    <w:p>
      <w:pPr>
        <w:spacing w:after="0" w:line="2" w:lineRule="exact"/>
        <w:rPr>
          <w:sz w:val="20"/>
          <w:szCs w:val="20"/>
          <w:color w:val="auto"/>
        </w:rPr>
      </w:pPr>
    </w:p>
    <w:p>
      <w:pPr>
        <w:jc w:val="both"/>
        <w:ind w:firstLine="8"/>
        <w:spacing w:after="0" w:line="224" w:lineRule="exact"/>
        <w:tabs>
          <w:tab w:leader="none" w:pos="375"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payment of fees and expenses related to the Facility and the other transactions not in contravention of the Loan Documents. The Borrower will not directly or indirectly use the proceeds of the Advances, or lend, contribute or otherwise make available to any Subsidiary, joint venture partner or other Person such extensions of credit or proceeds, (A) to fund any activities or businesses of or with any Person, or in any country or territory, that, at the time of such funding, is, or whose government is, the subject or target of Sanctions, or (B) in any other manner that would result in a violation of Sanctions by any Person (including any Person participating in the Facility, whether as Administrative Agent, Lender, underwriter, advisor, investor, or otherwise) or any Anti</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Corruption Laws.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8" w:name="page59"/>
    <w:bookmarkEnd w:id="58"/>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2.15</w:t>
      </w:r>
      <w:r>
        <w:rPr>
          <w:sz w:val="20"/>
          <w:szCs w:val="20"/>
          <w:color w:val="auto"/>
        </w:rPr>
        <w:tab/>
      </w:r>
      <w:r>
        <w:rPr>
          <w:rFonts w:ascii="Times New Roman" w:cs="Times New Roman" w:eastAsia="Times New Roman" w:hAnsi="Times New Roman"/>
          <w:sz w:val="18"/>
          <w:szCs w:val="18"/>
          <w:u w:val="single" w:color="auto"/>
          <w:color w:val="auto"/>
        </w:rPr>
        <w:t>Evidence of Debt</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1505"/>
        <w:spacing w:after="0"/>
        <w:tabs>
          <w:tab w:leader="none" w:pos="1875"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shall maintain in accordance with its usual practice an account or accounts evidencing the indebtedness of the Borrower to such Lender resulting from each Advance owing to such Lender from time to time, including the amounts of principal and interest payable and paid to such Lender from time to time hereunder. The Borrower agrees that upon notice by any Lender to the Borrower (with a copy of such notice to the Administrative Agent) to the effect that a promissory note or other evidence of indebtedness is required or appropriate in order for such Lender to evidence (whether for purposes of pledge, enforcement or otherwise) the Advances owing to, or to be made by, such Lender, the Borrower shall promptly execute and deliver to such Lender, with a copy to the Administrative Agent, a Note, in substantially the form of Exhibit A hereto, payable to the order of such Lender in a principal amount equal to the Commitment of such Lender. All references to Notes in the Loan Documents shall mean Notes, if any, to the extent issued hereunder. To the extent no Note has been issued to a Lender, this Agreement shall be deemed to comprise conclusive evidence for all purposes of the indebtedness resulting from the Advances and extensions of credit hereunder.</w:t>
      </w:r>
    </w:p>
    <w:p>
      <w:pPr>
        <w:spacing w:after="0" w:line="193" w:lineRule="exact"/>
        <w:rPr>
          <w:rFonts w:ascii="Times New Roman" w:cs="Times New Roman" w:eastAsia="Times New Roman" w:hAnsi="Times New Roman"/>
          <w:sz w:val="19"/>
          <w:szCs w:val="19"/>
          <w:color w:val="auto"/>
        </w:rPr>
      </w:pPr>
    </w:p>
    <w:p>
      <w:pPr>
        <w:jc w:val="both"/>
        <w:ind w:firstLine="1505"/>
        <w:spacing w:after="0" w:line="242" w:lineRule="auto"/>
        <w:tabs>
          <w:tab w:leader="none" w:pos="1875"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Register maintained by the Administrative Agent pursuant to Section 9.07(d) shall include a control account, and a subsidiary account for each Lender, in which accounts (taken together) shall be recorded (i) the date and amount of each Borrowing made hereunder, the Type of Advances comprising such Borrowing and, if appropriate, the Interest Period applicable thereto, (ii) the terms of each Assignment and Acceptance delivered to and accepted by it, (iii) the amount of any principal or interest due and payable or to become due and payable from the Borrower to each Lender hereunder, and (iv) the amount of any sum received by the Administrative Agent from the Borrower hereunder and each Lender’s share thereof.</w:t>
      </w:r>
    </w:p>
    <w:p>
      <w:pPr>
        <w:spacing w:after="0" w:line="190" w:lineRule="exact"/>
        <w:rPr>
          <w:rFonts w:ascii="Times New Roman" w:cs="Times New Roman" w:eastAsia="Times New Roman" w:hAnsi="Times New Roman"/>
          <w:sz w:val="19"/>
          <w:szCs w:val="19"/>
          <w:color w:val="auto"/>
        </w:rPr>
      </w:pPr>
    </w:p>
    <w:p>
      <w:pPr>
        <w:jc w:val="both"/>
        <w:ind w:firstLine="1505"/>
        <w:spacing w:after="0" w:line="242" w:lineRule="auto"/>
        <w:tabs>
          <w:tab w:leader="none" w:pos="1875"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Entries made in good faith by the Administrative Agent in the Register pursuant to subsection (b) above, and by each Lender in its account or accounts pursuant to subsection (a) above, shall be </w:t>
      </w:r>
      <w:r>
        <w:rPr>
          <w:rFonts w:ascii="Times New Roman" w:cs="Times New Roman" w:eastAsia="Times New Roman" w:hAnsi="Times New Roman"/>
          <w:sz w:val="19"/>
          <w:szCs w:val="19"/>
          <w:i w:val="1"/>
          <w:iCs w:val="1"/>
          <w:color w:val="auto"/>
        </w:rPr>
        <w:t>prima facie</w:t>
      </w:r>
      <w:r>
        <w:rPr>
          <w:rFonts w:ascii="Times New Roman" w:cs="Times New Roman" w:eastAsia="Times New Roman" w:hAnsi="Times New Roman"/>
          <w:sz w:val="19"/>
          <w:szCs w:val="19"/>
          <w:color w:val="auto"/>
        </w:rPr>
        <w:t xml:space="preserve"> evidence of the amount of principal and interest due and payable or to become due and payable from the Borrower to, in the case of the Register, each Lender and, in the case of such account or accounts, such Lender, under this Agreement, absent manifest error;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failure of the Administrative Agent or such Lender to make an entry, or any finding that an entry is incorrect, in the Register or such account or accounts shall not limit or otherwise affect the obligations of the Borrower under this Agreement.</w:t>
      </w:r>
    </w:p>
    <w:p>
      <w:pPr>
        <w:spacing w:after="0" w:line="190"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2.16</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2.17</w:t>
      </w:r>
      <w:r>
        <w:rPr>
          <w:sz w:val="20"/>
          <w:szCs w:val="20"/>
          <w:color w:val="auto"/>
        </w:rPr>
        <w:tab/>
      </w:r>
      <w:r>
        <w:rPr>
          <w:rFonts w:ascii="Times New Roman" w:cs="Times New Roman" w:eastAsia="Times New Roman" w:hAnsi="Times New Roman"/>
          <w:sz w:val="18"/>
          <w:szCs w:val="18"/>
          <w:u w:val="single" w:color="auto"/>
          <w:color w:val="auto"/>
        </w:rPr>
        <w:t>Increase in the Aggregate Commitments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1505"/>
        <w:spacing w:after="0" w:line="258" w:lineRule="auto"/>
        <w:tabs>
          <w:tab w:leader="none" w:pos="187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at any time by written notice to the Administrative Agent, request an increase in the aggregate amount of the Commitments by not less than $25,000,000 (each such proposed increase, a “</w:t>
      </w:r>
      <w:r>
        <w:rPr>
          <w:rFonts w:ascii="Times New Roman" w:cs="Times New Roman" w:eastAsia="Times New Roman" w:hAnsi="Times New Roman"/>
          <w:sz w:val="18"/>
          <w:szCs w:val="18"/>
          <w:b w:val="1"/>
          <w:bCs w:val="1"/>
          <w:i w:val="1"/>
          <w:iCs w:val="1"/>
          <w:color w:val="auto"/>
        </w:rPr>
        <w:t>Commitment Increase</w:t>
      </w:r>
      <w:r>
        <w:rPr>
          <w:rFonts w:ascii="Times New Roman" w:cs="Times New Roman" w:eastAsia="Times New Roman" w:hAnsi="Times New Roman"/>
          <w:sz w:val="18"/>
          <w:szCs w:val="18"/>
          <w:color w:val="auto"/>
        </w:rPr>
        <w:t>”) to be effective as of a date that is at least 90 days prior to the Maturity Date (the “</w:t>
      </w:r>
      <w:r>
        <w:rPr>
          <w:rFonts w:ascii="Times New Roman" w:cs="Times New Roman" w:eastAsia="Times New Roman" w:hAnsi="Times New Roman"/>
          <w:sz w:val="18"/>
          <w:szCs w:val="18"/>
          <w:b w:val="1"/>
          <w:bCs w:val="1"/>
          <w:i w:val="1"/>
          <w:iCs w:val="1"/>
          <w:color w:val="auto"/>
        </w:rPr>
        <w:t>Increase Date</w:t>
      </w:r>
      <w:r>
        <w:rPr>
          <w:rFonts w:ascii="Times New Roman" w:cs="Times New Roman" w:eastAsia="Times New Roman" w:hAnsi="Times New Roman"/>
          <w:sz w:val="18"/>
          <w:szCs w:val="18"/>
          <w:color w:val="auto"/>
        </w:rPr>
        <w:t xml:space="preserve">”) as specified in the related notice to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ind w:firstLine="8"/>
        <w:spacing w:after="0" w:line="243" w:lineRule="auto"/>
        <w:tabs>
          <w:tab w:leader="none" w:pos="231"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no event shall the aggregate amount of the Facility at any time exceed $250,000,000 and (ii) on the date of any request by the Borrower for a Commitment Increase and on the related Increase Date, the applicable conditions set forth in Article III shall be satisfied.</w:t>
      </w:r>
    </w:p>
    <w:p>
      <w:pPr>
        <w:spacing w:after="0" w:line="185" w:lineRule="exact"/>
        <w:rPr>
          <w:rFonts w:ascii="Times New Roman" w:cs="Times New Roman" w:eastAsia="Times New Roman" w:hAnsi="Times New Roman"/>
          <w:sz w:val="19"/>
          <w:szCs w:val="19"/>
          <w:color w:val="auto"/>
        </w:rPr>
      </w:pPr>
    </w:p>
    <w:p>
      <w:pPr>
        <w:jc w:val="both"/>
        <w:ind w:firstLine="1505"/>
        <w:spacing w:after="0" w:line="241" w:lineRule="auto"/>
        <w:tabs>
          <w:tab w:leader="none" w:pos="1875"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promptly notify the Lenders and such other Eligible Assignees as are designated by the Borrower and are reasonably acceptable to the Administrative Agent of each request by the Borrower for a Commitment Increase, which notice shall include (i) the proposed amount of such Commitment Increase, (ii) the proposed Increase Date and (iii) the date by which Lenders and such other Eligible Assignees wishing to participate in the Commitment Increase must commit to an increase in the amount of their respective Commitments or to establish their Commitments, as applicable (the “</w:t>
      </w:r>
      <w:r>
        <w:rPr>
          <w:rFonts w:ascii="Times New Roman" w:cs="Times New Roman" w:eastAsia="Times New Roman" w:hAnsi="Times New Roman"/>
          <w:sz w:val="19"/>
          <w:szCs w:val="19"/>
          <w:b w:val="1"/>
          <w:bCs w:val="1"/>
          <w:i w:val="1"/>
          <w:iCs w:val="1"/>
          <w:color w:val="auto"/>
        </w:rPr>
        <w:t>Commitment Date</w:t>
      </w:r>
      <w:r>
        <w:rPr>
          <w:rFonts w:ascii="Times New Roman" w:cs="Times New Roman" w:eastAsia="Times New Roman" w:hAnsi="Times New Roman"/>
          <w:sz w:val="19"/>
          <w:szCs w:val="19"/>
          <w:color w:val="auto"/>
        </w:rPr>
        <w:t>”). Each Lender and other Eligible Assignee that is willing to participate in such requested Commitment Increase shall, in its sole discretion, give written notice to the Administrative Agent on or prior to the Commitment Date of the amount by which it is willing to increase or establish, as applicable, its Commitment (each, a “</w:t>
      </w:r>
      <w:r>
        <w:rPr>
          <w:rFonts w:ascii="Times New Roman" w:cs="Times New Roman" w:eastAsia="Times New Roman" w:hAnsi="Times New Roman"/>
          <w:sz w:val="19"/>
          <w:szCs w:val="19"/>
          <w:b w:val="1"/>
          <w:bCs w:val="1"/>
          <w:i w:val="1"/>
          <w:iCs w:val="1"/>
          <w:color w:val="auto"/>
        </w:rPr>
        <w:t>Proposed Increased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Commitment</w:t>
      </w:r>
      <w:r>
        <w:rPr>
          <w:rFonts w:ascii="Times New Roman" w:cs="Times New Roman" w:eastAsia="Times New Roman" w:hAnsi="Times New Roman"/>
          <w:sz w:val="19"/>
          <w:szCs w:val="19"/>
          <w:color w:val="auto"/>
        </w:rPr>
        <w:t>”). If the Lenders and such other Eligible Assignees notify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9" w:name="page60"/>
    <w:bookmarkEnd w:id="59"/>
    <w:p>
      <w:pPr>
        <w:jc w:val="both"/>
        <w:spacing w:after="0" w:line="244" w:lineRule="auto"/>
        <w:rPr>
          <w:sz w:val="20"/>
          <w:szCs w:val="20"/>
          <w:color w:val="auto"/>
        </w:rPr>
      </w:pPr>
      <w:r>
        <w:rPr>
          <w:rFonts w:ascii="Times New Roman" w:cs="Times New Roman" w:eastAsia="Times New Roman" w:hAnsi="Times New Roman"/>
          <w:sz w:val="19"/>
          <w:szCs w:val="19"/>
          <w:color w:val="auto"/>
        </w:rPr>
        <w:t>that they are willing to increase (or establish, as applicable) the amount of their respective Commitments by an aggregate amount that exceeds the amount of the requested Commitment Increase, then the requested Commitment Increase shall be allocated to each Lender and such other Eligible Assignee willing to participate therein in an amount equal to such Commitment Increase multiplied by the ratio of each Lender’s and other Eligible Assignee’s Proposed Increased Commitment to the aggregate amount of all Proposed Increased Commitments. In no event, however, shall any Lender be required to participate in a Commitment Increase.</w:t>
      </w:r>
    </w:p>
    <w:p>
      <w:pPr>
        <w:spacing w:after="0" w:line="185" w:lineRule="exact"/>
        <w:rPr>
          <w:sz w:val="20"/>
          <w:szCs w:val="20"/>
          <w:color w:val="auto"/>
        </w:rPr>
      </w:pPr>
    </w:p>
    <w:p>
      <w:pPr>
        <w:jc w:val="both"/>
        <w:ind w:firstLine="1505"/>
        <w:spacing w:after="0" w:line="246" w:lineRule="auto"/>
        <w:tabs>
          <w:tab w:leader="none" w:pos="1875"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Promptly following each Commitment Date, the Administrative Agent shall notify the Borrower as to the amount, if any, by which the Lenders and other Eligible Assignees are willing to participate in the applicable requested Commitment Increase;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Commitment of each such other Eligible Assignee shall be in an amount not less than $5,000,000 or an integral multiple of $1,000,000 in excess thereof.</w:t>
      </w:r>
    </w:p>
    <w:p>
      <w:pPr>
        <w:spacing w:after="0" w:line="184" w:lineRule="exact"/>
        <w:rPr>
          <w:rFonts w:ascii="Times New Roman" w:cs="Times New Roman" w:eastAsia="Times New Roman" w:hAnsi="Times New Roman"/>
          <w:sz w:val="19"/>
          <w:szCs w:val="19"/>
          <w:color w:val="auto"/>
        </w:rPr>
      </w:pPr>
    </w:p>
    <w:p>
      <w:pPr>
        <w:jc w:val="both"/>
        <w:ind w:firstLine="1505"/>
        <w:spacing w:after="0" w:line="242" w:lineRule="auto"/>
        <w:tabs>
          <w:tab w:leader="none" w:pos="1875"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each Increase Date, (x) each Eligible Assignee other than a Lender that accepts an offer to participate in a requested Commitment Increase in accordance with Section 2.17(b) (an “</w:t>
      </w:r>
      <w:r>
        <w:rPr>
          <w:rFonts w:ascii="Times New Roman" w:cs="Times New Roman" w:eastAsia="Times New Roman" w:hAnsi="Times New Roman"/>
          <w:sz w:val="19"/>
          <w:szCs w:val="19"/>
          <w:b w:val="1"/>
          <w:bCs w:val="1"/>
          <w:i w:val="1"/>
          <w:iCs w:val="1"/>
          <w:color w:val="auto"/>
        </w:rPr>
        <w:t>Acceding Lender</w:t>
      </w:r>
      <w:r>
        <w:rPr>
          <w:rFonts w:ascii="Times New Roman" w:cs="Times New Roman" w:eastAsia="Times New Roman" w:hAnsi="Times New Roman"/>
          <w:sz w:val="19"/>
          <w:szCs w:val="19"/>
          <w:color w:val="auto"/>
        </w:rPr>
        <w:t>”) shall become a Lender party to this Agreement as of such Increase Date and such Acceding Lender’s Commitment shall be governed by the terms and provisions of this Agreement and (y) the applicable Commitment of each Lender that is willing to participate in such requested Commitment Increase (each, an “</w:t>
      </w:r>
      <w:r>
        <w:rPr>
          <w:rFonts w:ascii="Times New Roman" w:cs="Times New Roman" w:eastAsia="Times New Roman" w:hAnsi="Times New Roman"/>
          <w:sz w:val="19"/>
          <w:szCs w:val="19"/>
          <w:b w:val="1"/>
          <w:bCs w:val="1"/>
          <w:i w:val="1"/>
          <w:iCs w:val="1"/>
          <w:color w:val="auto"/>
        </w:rPr>
        <w:t>Increasing Lender</w:t>
      </w:r>
      <w:r>
        <w:rPr>
          <w:rFonts w:ascii="Times New Roman" w:cs="Times New Roman" w:eastAsia="Times New Roman" w:hAnsi="Times New Roman"/>
          <w:sz w:val="19"/>
          <w:szCs w:val="19"/>
          <w:color w:val="auto"/>
        </w:rPr>
        <w:t xml:space="preserve">”) shall be so increased by the amount of such Commitment Increase (or by the amount allocated to such Lender pursuant to the penultimate sentence of Section 2.17(b)) as of such Increase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Administrative Agent shall have received at or before 12:00 Noon (New York City time) on such Increase Date the following, each dated such date:</w:t>
      </w:r>
    </w:p>
    <w:p>
      <w:pPr>
        <w:spacing w:after="0" w:line="185" w:lineRule="exact"/>
        <w:rPr>
          <w:rFonts w:ascii="Times New Roman" w:cs="Times New Roman" w:eastAsia="Times New Roman" w:hAnsi="Times New Roman"/>
          <w:sz w:val="19"/>
          <w:szCs w:val="19"/>
          <w:color w:val="auto"/>
        </w:rPr>
      </w:pPr>
    </w:p>
    <w:p>
      <w:pPr>
        <w:jc w:val="both"/>
        <w:ind w:left="760" w:firstLine="1494"/>
        <w:spacing w:after="0" w:line="251" w:lineRule="auto"/>
        <w:tabs>
          <w:tab w:leader="none" w:pos="2635" w:val="left"/>
        </w:tabs>
        <w:numPr>
          <w:ilvl w:val="1"/>
          <w:numId w:val="4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 accession agreement from each Acceding Lender, if any, in form and substance satisfactory to the Borrower and the Administrative Agent (each, an “</w:t>
      </w:r>
      <w:r>
        <w:rPr>
          <w:rFonts w:ascii="Times New Roman" w:cs="Times New Roman" w:eastAsia="Times New Roman" w:hAnsi="Times New Roman"/>
          <w:sz w:val="19"/>
          <w:szCs w:val="19"/>
          <w:b w:val="1"/>
          <w:bCs w:val="1"/>
          <w:i w:val="1"/>
          <w:iCs w:val="1"/>
          <w:color w:val="auto"/>
        </w:rPr>
        <w:t>Accession Agreement</w:t>
      </w:r>
      <w:r>
        <w:rPr>
          <w:rFonts w:ascii="Times New Roman" w:cs="Times New Roman" w:eastAsia="Times New Roman" w:hAnsi="Times New Roman"/>
          <w:sz w:val="19"/>
          <w:szCs w:val="19"/>
          <w:color w:val="auto"/>
        </w:rPr>
        <w:t>”), duly executed by such Acceding Lender, the Administrative Agent and the Borrower;</w:t>
      </w:r>
    </w:p>
    <w:p>
      <w:pPr>
        <w:spacing w:after="0" w:line="178" w:lineRule="exact"/>
        <w:rPr>
          <w:rFonts w:ascii="Times New Roman" w:cs="Times New Roman" w:eastAsia="Times New Roman" w:hAnsi="Times New Roman"/>
          <w:sz w:val="19"/>
          <w:szCs w:val="19"/>
          <w:color w:val="010000"/>
        </w:rPr>
      </w:pPr>
    </w:p>
    <w:p>
      <w:pPr>
        <w:jc w:val="both"/>
        <w:ind w:left="760" w:firstLine="1494"/>
        <w:spacing w:after="0" w:line="251" w:lineRule="auto"/>
        <w:tabs>
          <w:tab w:leader="none" w:pos="2676" w:val="left"/>
        </w:tabs>
        <w:numPr>
          <w:ilvl w:val="1"/>
          <w:numId w:val="4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confirmation from each Increasing Lender of the increase in the amount of its Commitment in a writing satisfactory to the Borrower and the Administrative Agent, together with an amended Schedule I hereto as may be necessary for such Schedule I to be accurate and complete, certified as correct and complete by a Responsible Officer of the Borrower; and</w:t>
      </w:r>
    </w:p>
    <w:p>
      <w:pPr>
        <w:spacing w:after="0" w:line="178" w:lineRule="exact"/>
        <w:rPr>
          <w:rFonts w:ascii="Times New Roman" w:cs="Times New Roman" w:eastAsia="Times New Roman" w:hAnsi="Times New Roman"/>
          <w:sz w:val="19"/>
          <w:szCs w:val="19"/>
          <w:color w:val="010000"/>
        </w:rPr>
      </w:pPr>
    </w:p>
    <w:p>
      <w:pPr>
        <w:ind w:left="2640" w:hanging="386"/>
        <w:spacing w:after="0"/>
        <w:tabs>
          <w:tab w:leader="none" w:pos="2640" w:val="left"/>
        </w:tabs>
        <w:numPr>
          <w:ilvl w:val="1"/>
          <w:numId w:val="4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such certificates or other information as may be required pursuant to Section 3.02.</w:t>
      </w:r>
    </w:p>
    <w:p>
      <w:pPr>
        <w:spacing w:after="0" w:line="2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On each Increase Date, upon fulfillment of the conditions set forth in the immediately preceding sentence of this Section 2.17(d), the Administrative Agent shall notify the Lenders (including, without limitation, each Acceding Lender) and the Borrower, at or before 1:00 P.M. (New York City time), by posting such notice on an Approved Electronic Platform in accordance with Section 9.02(c), of the occurrence of the Commitment Increase to be effected on such Increase Date and shall record in the Register the relevant information with respect to each Increasing Lender and each Acceding Lender on such date.</w:t>
      </w:r>
    </w:p>
    <w:p>
      <w:pPr>
        <w:spacing w:after="0" w:line="185"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2.18</w:t>
      </w:r>
      <w:r>
        <w:rPr>
          <w:sz w:val="20"/>
          <w:szCs w:val="20"/>
          <w:color w:val="auto"/>
        </w:rPr>
        <w:tab/>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1505"/>
        <w:spacing w:after="0" w:line="228" w:lineRule="exact"/>
        <w:tabs>
          <w:tab w:leader="none" w:pos="1875" w:val="left"/>
        </w:tabs>
        <w:numPr>
          <w:ilvl w:val="0"/>
          <w:numId w:val="5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a Lender becomes, and during the period it remains, a Defaulting Lender, any amount paid by the Borrower or otherwise received by the Administrative Agent for the account of a Defaulting Lender under this Agreement (whether on account of principal, interest, fees, indemnity payments or other amounts) will not be paid or distributed to such Defaulting Lender, but will instead be retained by the Administrative Agent in a segregated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interest bearing account until (subject to Section 2.18(d)) the termination of the Commitments and payment in full of all obligations of the Borrower hereunder and will be applied by the Administrative Agent, to the fullest extent permitted by law, to the making of payments from time to time in the following order of priority: </w:t>
      </w: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xml:space="preserve"> to the payment of any amounts owing by such Defaulting Lender to the Administrative Agent under this Agreement, </w:t>
      </w: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xml:space="preserve"> to the payment of post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default interest and then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0" w:name="page61"/>
    <w:bookmarkEnd w:id="60"/>
    <w:p>
      <w:pPr>
        <w:jc w:val="both"/>
        <w:spacing w:after="0" w:line="226" w:lineRule="exact"/>
        <w:rPr>
          <w:sz w:val="20"/>
          <w:szCs w:val="20"/>
          <w:color w:val="auto"/>
        </w:rPr>
      </w:pPr>
      <w:r>
        <w:rPr>
          <w:rFonts w:ascii="Times New Roman" w:cs="Times New Roman" w:eastAsia="Times New Roman" w:hAnsi="Times New Roman"/>
          <w:sz w:val="19"/>
          <w:szCs w:val="19"/>
          <w:color w:val="auto"/>
        </w:rPr>
        <w:t xml:space="preserve">current interest due and payable to the Lenders hereunder other than Defaulting Lenders, ratably among them in accordance with the amounts of such interest then due and payable to them, </w:t>
      </w:r>
      <w:r>
        <w:rPr>
          <w:rFonts w:ascii="Times New Roman" w:cs="Times New Roman" w:eastAsia="Times New Roman" w:hAnsi="Times New Roman"/>
          <w:sz w:val="19"/>
          <w:szCs w:val="19"/>
          <w:i w:val="1"/>
          <w:iCs w:val="1"/>
          <w:color w:val="auto"/>
        </w:rPr>
        <w:t>third</w:t>
      </w:r>
      <w:r>
        <w:rPr>
          <w:rFonts w:ascii="Times New Roman" w:cs="Times New Roman" w:eastAsia="Times New Roman" w:hAnsi="Times New Roman"/>
          <w:sz w:val="19"/>
          <w:szCs w:val="19"/>
          <w:color w:val="auto"/>
        </w:rPr>
        <w:t xml:space="preserve"> to the payment of fees then due and payable to the Non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Defaulting Lenders hereunder, ratably among them in accordance with the amounts of such fees then due and payable to them, </w:t>
      </w: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xml:space="preserve"> to pay principal then due and payable to the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Defaulting Lenders hereunder ratably in accordance with the amounts thereof then due and payable to them, </w:t>
      </w:r>
      <w:r>
        <w:rPr>
          <w:rFonts w:ascii="Times New Roman" w:cs="Times New Roman" w:eastAsia="Times New Roman" w:hAnsi="Times New Roman"/>
          <w:sz w:val="19"/>
          <w:szCs w:val="19"/>
          <w:i w:val="1"/>
          <w:iCs w:val="1"/>
          <w:color w:val="auto"/>
        </w:rPr>
        <w:t>fifth</w:t>
      </w:r>
      <w:r>
        <w:rPr>
          <w:rFonts w:ascii="Times New Roman" w:cs="Times New Roman" w:eastAsia="Times New Roman" w:hAnsi="Times New Roman"/>
          <w:sz w:val="19"/>
          <w:szCs w:val="19"/>
          <w:color w:val="auto"/>
        </w:rPr>
        <w:t xml:space="preserve"> to the ratable payment of other amounts then due and payable to the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Defaulting Lenders, and </w:t>
      </w:r>
      <w:r>
        <w:rPr>
          <w:rFonts w:ascii="Times New Roman" w:cs="Times New Roman" w:eastAsia="Times New Roman" w:hAnsi="Times New Roman"/>
          <w:sz w:val="19"/>
          <w:szCs w:val="19"/>
          <w:i w:val="1"/>
          <w:iCs w:val="1"/>
          <w:color w:val="auto"/>
        </w:rPr>
        <w:t>sixth</w:t>
      </w:r>
      <w:r>
        <w:rPr>
          <w:rFonts w:ascii="Times New Roman" w:cs="Times New Roman" w:eastAsia="Times New Roman" w:hAnsi="Times New Roman"/>
          <w:sz w:val="19"/>
          <w:szCs w:val="19"/>
          <w:color w:val="auto"/>
        </w:rPr>
        <w:t xml:space="preserve"> after the termination of the Commitments and payment in full of all obligations of the Borrower hereunder, to pay amounts owing under this Agreement to such Defaulting Lender or as a court of competent jurisdiction may otherwise direct.</w:t>
      </w:r>
    </w:p>
    <w:p>
      <w:pPr>
        <w:spacing w:after="0" w:line="188" w:lineRule="exact"/>
        <w:rPr>
          <w:sz w:val="20"/>
          <w:szCs w:val="20"/>
          <w:color w:val="auto"/>
        </w:rPr>
      </w:pPr>
    </w:p>
    <w:p>
      <w:pPr>
        <w:jc w:val="both"/>
        <w:ind w:firstLine="1505"/>
        <w:spacing w:after="0" w:line="241" w:lineRule="auto"/>
        <w:tabs>
          <w:tab w:leader="none" w:pos="1875" w:val="left"/>
        </w:tabs>
        <w:numPr>
          <w:ilvl w:val="0"/>
          <w:numId w:val="5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Anything herein to the contrary notwithstanding, if at any time the Required Lenders determine that the Person serving as the Administrative Agent is (without taking into account any provision in the definition of “Defaulting Lender” requiring notice from the Administrative Agent or any other party) a Defaulting Lender pursuant to clause (iv) of the definition thereof, the Required Lenders (determined after giving effect to Section 9.01) may by notice to the Borrower and such Person remove such Person as the Administrative Agent and appoint a replacement Administrative Agent hereunder, which appointment shall,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Default or Event of Default shall have occurred and be continuing, be subject to the consent of the Borrower, such consent not to be unreasonably withheld, conditioned or delayed. Such removal will, to the fullest extent permitted by applicable law, be effective on the earlier of (i) the date a replacement Agent is appointed and (ii) the date 30 days after the giving of such notice by the Required Lenders (regardless of whether a replacement Agent has been appointed).</w:t>
      </w:r>
    </w:p>
    <w:p>
      <w:pPr>
        <w:spacing w:after="0" w:line="188" w:lineRule="exact"/>
        <w:rPr>
          <w:rFonts w:ascii="Times New Roman" w:cs="Times New Roman" w:eastAsia="Times New Roman" w:hAnsi="Times New Roman"/>
          <w:sz w:val="19"/>
          <w:szCs w:val="19"/>
          <w:color w:val="010000"/>
        </w:rPr>
      </w:pPr>
    </w:p>
    <w:p>
      <w:pPr>
        <w:jc w:val="both"/>
        <w:ind w:firstLine="1505"/>
        <w:spacing w:after="0" w:line="244" w:lineRule="auto"/>
        <w:tabs>
          <w:tab w:leader="none" w:pos="1889" w:val="left"/>
        </w:tabs>
        <w:numPr>
          <w:ilvl w:val="0"/>
          <w:numId w:val="5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Borrower may terminate the unused amount of the Commitment of a Defaulting Lender upon not less than 30 days’ prior notice to the Administrative Agent (which will promptly notify the Lenders thereof), and in such event the provisions of Section 2.18(a) will apply to all amounts thereafter paid by the Borrower for the account of such Defaulting Lender under this Agreement (whether on account of principal, interest, fees, indemnity or other amounts),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termination will not be deemed to be a waiver or release of any claim the Borrower, the Administrative Agent or any Lender may have against such Defaulting Lender.</w:t>
      </w:r>
    </w:p>
    <w:p>
      <w:pPr>
        <w:spacing w:after="0" w:line="185" w:lineRule="exact"/>
        <w:rPr>
          <w:rFonts w:ascii="Times New Roman" w:cs="Times New Roman" w:eastAsia="Times New Roman" w:hAnsi="Times New Roman"/>
          <w:sz w:val="19"/>
          <w:szCs w:val="19"/>
          <w:color w:val="010000"/>
        </w:rPr>
      </w:pPr>
    </w:p>
    <w:p>
      <w:pPr>
        <w:jc w:val="both"/>
        <w:ind w:firstLine="1505"/>
        <w:spacing w:after="0" w:line="221" w:lineRule="exact"/>
        <w:tabs>
          <w:tab w:leader="none" w:pos="1875" w:val="left"/>
        </w:tabs>
        <w:numPr>
          <w:ilvl w:val="0"/>
          <w:numId w:val="5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If the Borrower and the Administrative Agent agree in writing, in their discretion, that a Lender is no longer a Defaulting Lender or a Potential Defaulting Lender, as the case may be, the Administrative Agent will so notify the parties hereto, whereupon as of the effective date specified in such notice and subject to any conditions set forth therein (which may include arrangements with respect to any amounts then held in the segregated account referred to in Section 2.18(a)), such Lender will, to the extent applicable, purchase at par such portion of outstanding Advances of the other Lenders and/or make such other adjustments as the Administrative Agent may determine to be necessary to cause the Facility Exposure of the Lenders to be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in accordance with their respective Commitments, whereupon such Lender will cease to be a Defaulting Lender or Potential Defaulting Lender and will be a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Defaulting Lender (and such Facility Exposure of each Lender will automatically be adjusted on a prospective basis to reflect the foregoing);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no adjustments will be made retroactively with respect to fees accrued or payments made by or on behalf of the Borrower while such Lender was a Defaulting Lender; and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except to the extent otherwise expressly agreed by the affected parties, no change hereunder from Defaulting Lender or Potential Defaulting Lender to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Defaulting Lender will constitute a waiver or release of any claim of any party hereunder arising from such Lender’s having been a Defaulting Lender or Potential Defaulting Lender.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1" w:name="page62"/>
    <w:bookmarkEnd w:id="61"/>
    <w:p>
      <w:pPr>
        <w:jc w:val="both"/>
        <w:ind w:firstLine="1497"/>
        <w:spacing w:after="0"/>
        <w:rPr>
          <w:sz w:val="20"/>
          <w:szCs w:val="20"/>
          <w:color w:val="auto"/>
        </w:rPr>
      </w:pPr>
      <w:r>
        <w:rPr>
          <w:rFonts w:ascii="Times New Roman" w:cs="Times New Roman" w:eastAsia="Times New Roman" w:hAnsi="Times New Roman"/>
          <w:sz w:val="19"/>
          <w:szCs w:val="19"/>
          <w:color w:val="010000"/>
        </w:rPr>
        <w:t xml:space="preserve">Section 2.19 </w:t>
      </w:r>
      <w:r>
        <w:rPr>
          <w:rFonts w:ascii="Times New Roman" w:cs="Times New Roman" w:eastAsia="Times New Roman" w:hAnsi="Times New Roman"/>
          <w:sz w:val="19"/>
          <w:szCs w:val="19"/>
          <w:u w:val="single" w:color="auto"/>
          <w:color w:val="000000"/>
        </w:rPr>
        <w:t>Replacement of Lenders</w:t>
      </w:r>
      <w:r>
        <w:rPr>
          <w:rFonts w:ascii="Times New Roman" w:cs="Times New Roman" w:eastAsia="Times New Roman" w:hAnsi="Times New Roman"/>
          <w:sz w:val="19"/>
          <w:szCs w:val="19"/>
          <w:color w:val="000000"/>
        </w:rPr>
        <w:t>. If any Lender requests compensation under Section 2.10, or if the Borrower is required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to pay any additional amounts to any Lender or any Governmental Authority for the account of any Lender pursuant to Section 2.12 and, in each case, such Lender has declined or is unable to designate a different Applicable Lending Office, or if any Lender is a Defaulting Lender or a Non-Consenting Lender, then the Borrower may, at its sole expense and effort, upon notice to such Lender and the Administrative Agent, require such Lender (a “</w:t>
      </w:r>
      <w:r>
        <w:rPr>
          <w:rFonts w:ascii="Times New Roman" w:cs="Times New Roman" w:eastAsia="Times New Roman" w:hAnsi="Times New Roman"/>
          <w:sz w:val="19"/>
          <w:szCs w:val="19"/>
          <w:b w:val="1"/>
          <w:bCs w:val="1"/>
          <w:i w:val="1"/>
          <w:iCs w:val="1"/>
          <w:color w:val="000000"/>
        </w:rPr>
        <w:t>Departing Lender</w:t>
      </w:r>
      <w:r>
        <w:rPr>
          <w:rFonts w:ascii="Times New Roman" w:cs="Times New Roman" w:eastAsia="Times New Roman" w:hAnsi="Times New Roman"/>
          <w:sz w:val="19"/>
          <w:szCs w:val="19"/>
          <w:color w:val="000000"/>
        </w:rPr>
        <w:t xml:space="preserve">”) to assign and delegate, without recourse (in accordance with and subject to the restrictions contained in, and consents required by, Sections 9.01(b) and 9.07, as applicable, in each case except to the extent provided in this Section 2.19), all of its interests, rights (other than its existing rights to payments pursuant to Section 2.10 or Section 2.12) and obligations under this Agreement and the other Loan Documents to a Replacement Lender that shall assume such obligations (which may be another Lender, if a Lender accepts such assignment), </w:t>
      </w:r>
      <w:r>
        <w:rPr>
          <w:rFonts w:ascii="Times New Roman" w:cs="Times New Roman" w:eastAsia="Times New Roman" w:hAnsi="Times New Roman"/>
          <w:sz w:val="19"/>
          <w:szCs w:val="19"/>
          <w:i w:val="1"/>
          <w:iCs w:val="1"/>
          <w:color w:val="000000"/>
        </w:rPr>
        <w:t xml:space="preserve">provided </w:t>
      </w:r>
      <w:r>
        <w:rPr>
          <w:rFonts w:ascii="Times New Roman" w:cs="Times New Roman" w:eastAsia="Times New Roman" w:hAnsi="Times New Roman"/>
          <w:sz w:val="19"/>
          <w:szCs w:val="19"/>
          <w:color w:val="000000"/>
        </w:rPr>
        <w:t>that:</w:t>
      </w:r>
    </w:p>
    <w:p>
      <w:pPr>
        <w:spacing w:after="0" w:line="194" w:lineRule="exact"/>
        <w:rPr>
          <w:sz w:val="20"/>
          <w:szCs w:val="20"/>
          <w:color w:val="auto"/>
        </w:rPr>
      </w:pPr>
    </w:p>
    <w:p>
      <w:pPr>
        <w:ind w:left="1880" w:hanging="375"/>
        <w:spacing w:after="0"/>
        <w:tabs>
          <w:tab w:leader="none" w:pos="1880" w:val="left"/>
        </w:tabs>
        <w:numPr>
          <w:ilvl w:val="0"/>
          <w:numId w:val="5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shall have paid to the Administrative Agent the assignment fee (if any) specified in Section 9.07;</w:t>
      </w:r>
    </w:p>
    <w:p>
      <w:pPr>
        <w:spacing w:after="0" w:line="213" w:lineRule="exact"/>
        <w:rPr>
          <w:rFonts w:ascii="Times New Roman" w:cs="Times New Roman" w:eastAsia="Times New Roman" w:hAnsi="Times New Roman"/>
          <w:sz w:val="19"/>
          <w:szCs w:val="19"/>
          <w:color w:val="010000"/>
        </w:rPr>
      </w:pPr>
    </w:p>
    <w:p>
      <w:pPr>
        <w:jc w:val="both"/>
        <w:ind w:left="760" w:firstLine="745"/>
        <w:spacing w:after="0" w:line="246" w:lineRule="auto"/>
        <w:tabs>
          <w:tab w:leader="none" w:pos="1914" w:val="left"/>
        </w:tabs>
        <w:numPr>
          <w:ilvl w:val="0"/>
          <w:numId w:val="5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such Departing Lender shall have received payment of an amount equal to the outstanding principal of its Advances, accrued interest thereon, accrued fees and all other amounts payable to it hereunder and under the other Loan Documents from the applicable Replacement Lender (to the extent of such outstanding principal and accrued interest and fees) or the Borrower (in the case of all other amounts);</w:t>
      </w:r>
    </w:p>
    <w:p>
      <w:pPr>
        <w:spacing w:after="0" w:line="184" w:lineRule="exact"/>
        <w:rPr>
          <w:rFonts w:ascii="Times New Roman" w:cs="Times New Roman" w:eastAsia="Times New Roman" w:hAnsi="Times New Roman"/>
          <w:sz w:val="19"/>
          <w:szCs w:val="19"/>
          <w:color w:val="010000"/>
        </w:rPr>
      </w:pPr>
    </w:p>
    <w:p>
      <w:pPr>
        <w:ind w:left="760" w:firstLine="745"/>
        <w:spacing w:after="0" w:line="265" w:lineRule="auto"/>
        <w:tabs>
          <w:tab w:leader="none" w:pos="1887" w:val="left"/>
        </w:tabs>
        <w:numPr>
          <w:ilvl w:val="0"/>
          <w:numId w:val="5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the case of any such assignment resulting from a claim for compensation under Section 2.10 or payments required to be made pursuant to Section 2.12, such assignment will result in a reduction in such compensation or payments thereafter;</w:t>
      </w:r>
    </w:p>
    <w:p>
      <w:pPr>
        <w:spacing w:after="0" w:line="165" w:lineRule="exact"/>
        <w:rPr>
          <w:rFonts w:ascii="Times New Roman" w:cs="Times New Roman" w:eastAsia="Times New Roman" w:hAnsi="Times New Roman"/>
          <w:sz w:val="19"/>
          <w:szCs w:val="19"/>
          <w:color w:val="010000"/>
        </w:rPr>
      </w:pPr>
    </w:p>
    <w:p>
      <w:pPr>
        <w:ind w:left="1880" w:hanging="375"/>
        <w:spacing w:after="0"/>
        <w:tabs>
          <w:tab w:leader="none" w:pos="1880" w:val="left"/>
        </w:tabs>
        <w:numPr>
          <w:ilvl w:val="0"/>
          <w:numId w:val="5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such assignment does not conflict with applicable law; and</w:t>
      </w:r>
    </w:p>
    <w:p>
      <w:pPr>
        <w:spacing w:after="0" w:line="213" w:lineRule="exact"/>
        <w:rPr>
          <w:rFonts w:ascii="Times New Roman" w:cs="Times New Roman" w:eastAsia="Times New Roman" w:hAnsi="Times New Roman"/>
          <w:sz w:val="19"/>
          <w:szCs w:val="19"/>
          <w:color w:val="010000"/>
        </w:rPr>
      </w:pPr>
    </w:p>
    <w:p>
      <w:pPr>
        <w:ind w:left="760" w:firstLine="745"/>
        <w:spacing w:after="0" w:line="265" w:lineRule="auto"/>
        <w:tabs>
          <w:tab w:leader="none" w:pos="1900" w:val="left"/>
        </w:tabs>
        <w:numPr>
          <w:ilvl w:val="0"/>
          <w:numId w:val="5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the case of any assignment resulting from a Lender becoming a Non-Consenting Lender, the applicable Replacement Lender shall have consented to the applicable amendment, waiver or consent.</w:t>
      </w:r>
    </w:p>
    <w:p>
      <w:pPr>
        <w:spacing w:after="0" w:line="16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A Lender shall not be required to make any such assignment or delegation if, prior thereto, as a result of a waiver by such Lender or otherwise, the circumstances entitling the Borrower to require such assignment and delegation cease to apply. Each Departing Lender required to make an assignment pursuant to this Section 2.19 shall promptly execute and deliver an Assignment and Acceptance with the applicable Replacement Lender. If such Departing Lender does not execute and deliver to the Administrative Agent a duly completed Assignment and Acceptance and/or any other documentation necessary to reflect such replacement within a period of time deemed reasonable by the Administrative Agent after the later of (i) the date on which the Replacement Lender executes and delivers such Assignment and Acceptance and/or such other documentation and</w:t>
      </w:r>
    </w:p>
    <w:p>
      <w:pPr>
        <w:spacing w:after="0" w:line="5" w:lineRule="exact"/>
        <w:rPr>
          <w:sz w:val="20"/>
          <w:szCs w:val="20"/>
          <w:color w:val="auto"/>
        </w:rPr>
      </w:pPr>
    </w:p>
    <w:p>
      <w:pPr>
        <w:jc w:val="both"/>
        <w:ind w:firstLine="8"/>
        <w:spacing w:after="0" w:line="239" w:lineRule="auto"/>
        <w:tabs>
          <w:tab w:leader="none" w:pos="285"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on which the Departing Lender receives all payments described in clause (b) of this Section 2.19, then such Departing Lender shall be deemed to have executed and delivered such Assignment and Acceptance and/or such other documentation as of such date and the Borrower shall be entitled (but not obligated) to execute and deliver such Assignment and Acceptance and/or such other documentation on behalf of such Departing Lender.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9"/>
          <w:szCs w:val="19"/>
          <w:b w:val="1"/>
          <w:bCs w:val="1"/>
          <w:color w:val="010000"/>
        </w:rPr>
        <w:t>ARTICLE III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CONDITIONS PRECEDENT TO CLOSING</w:t>
      </w:r>
    </w:p>
    <w:p>
      <w:pPr>
        <w:spacing w:after="0" w:line="218" w:lineRule="exact"/>
        <w:rPr>
          <w:sz w:val="20"/>
          <w:szCs w:val="20"/>
          <w:color w:val="auto"/>
        </w:rPr>
      </w:pPr>
    </w:p>
    <w:p>
      <w:pPr>
        <w:ind w:firstLine="1497"/>
        <w:spacing w:after="0" w:line="265" w:lineRule="auto"/>
        <w:rPr>
          <w:sz w:val="20"/>
          <w:szCs w:val="20"/>
          <w:color w:val="auto"/>
        </w:rPr>
      </w:pPr>
      <w:r>
        <w:rPr>
          <w:rFonts w:ascii="Times New Roman" w:cs="Times New Roman" w:eastAsia="Times New Roman" w:hAnsi="Times New Roman"/>
          <w:sz w:val="19"/>
          <w:szCs w:val="19"/>
          <w:color w:val="010000"/>
        </w:rPr>
        <w:t xml:space="preserve">Section 3.01 </w:t>
      </w:r>
      <w:r>
        <w:rPr>
          <w:rFonts w:ascii="Times New Roman" w:cs="Times New Roman" w:eastAsia="Times New Roman" w:hAnsi="Times New Roman"/>
          <w:sz w:val="19"/>
          <w:szCs w:val="19"/>
          <w:u w:val="single" w:color="auto"/>
          <w:color w:val="000000"/>
        </w:rPr>
        <w:t>Conditions Precedent to Closing</w:t>
      </w:r>
      <w:r>
        <w:rPr>
          <w:rFonts w:ascii="Times New Roman" w:cs="Times New Roman" w:eastAsia="Times New Roman" w:hAnsi="Times New Roman"/>
          <w:sz w:val="19"/>
          <w:szCs w:val="19"/>
          <w:color w:val="000000"/>
        </w:rPr>
        <w:t>. The obligation of each Lender to make its Advances hereunder and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effectiveness of this Agreement is subject to the satisfaction of the following conditions precedent on or before the Closing Date:</w:t>
      </w:r>
    </w:p>
    <w:p>
      <w:pPr>
        <w:spacing w:after="0" w:line="166" w:lineRule="exact"/>
        <w:rPr>
          <w:sz w:val="20"/>
          <w:szCs w:val="20"/>
          <w:color w:val="auto"/>
        </w:rPr>
      </w:pPr>
    </w:p>
    <w:p>
      <w:pPr>
        <w:jc w:val="both"/>
        <w:ind w:left="760" w:firstLine="745"/>
        <w:spacing w:after="0" w:line="251" w:lineRule="auto"/>
        <w:tabs>
          <w:tab w:leader="none" w:pos="1900" w:val="left"/>
        </w:tabs>
        <w:numPr>
          <w:ilvl w:val="0"/>
          <w:numId w:val="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Administrative Agent shall have received on or before the Closing Date the following, each dated such day (unless otherwise specified), in form and substance satisfactory to the Administrative Agent (unless otherwise specified) and (except for the Notes, as to which one original of each shall be sufficient) in sufficient copies for each Lender:</w:t>
      </w:r>
    </w:p>
    <w:p>
      <w:pPr>
        <w:spacing w:after="0" w:line="178" w:lineRule="exact"/>
        <w:rPr>
          <w:rFonts w:ascii="Times New Roman" w:cs="Times New Roman" w:eastAsia="Times New Roman" w:hAnsi="Times New Roman"/>
          <w:sz w:val="19"/>
          <w:szCs w:val="19"/>
          <w:color w:val="010000"/>
        </w:rPr>
      </w:pPr>
    </w:p>
    <w:p>
      <w:pPr>
        <w:ind w:left="2640" w:hanging="386"/>
        <w:spacing w:after="0"/>
        <w:tabs>
          <w:tab w:leader="none" w:pos="2640" w:val="left"/>
        </w:tabs>
        <w:numPr>
          <w:ilvl w:val="1"/>
          <w:numId w:val="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Note duly executed by the Borrower and payable to the order of each Lender that has requested the same.</w:t>
      </w:r>
    </w:p>
    <w:p>
      <w:pPr>
        <w:spacing w:after="0" w:line="213" w:lineRule="exact"/>
        <w:rPr>
          <w:rFonts w:ascii="Times New Roman" w:cs="Times New Roman" w:eastAsia="Times New Roman" w:hAnsi="Times New Roman"/>
          <w:sz w:val="19"/>
          <w:szCs w:val="19"/>
          <w:color w:val="010000"/>
        </w:rPr>
      </w:pPr>
    </w:p>
    <w:p>
      <w:pPr>
        <w:jc w:val="both"/>
        <w:ind w:left="1500" w:firstLine="754"/>
        <w:spacing w:after="0" w:line="246" w:lineRule="auto"/>
        <w:tabs>
          <w:tab w:leader="none" w:pos="2627" w:val="left"/>
        </w:tabs>
        <w:numPr>
          <w:ilvl w:val="1"/>
          <w:numId w:val="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Completed requests for information dated a recent date, including UCC, judgment, tax, litigation and bankruptcy searches with respect to each applicable Loan Party, and, in the case of UCC searches, listing all effective financing statements filed in the jurisdictions specified by the Administrative Agent that name any Loan Party as debtor, together with copies of such financing statements.</w:t>
      </w:r>
    </w:p>
    <w:p>
      <w:pPr>
        <w:spacing w:after="0" w:line="184" w:lineRule="exact"/>
        <w:rPr>
          <w:rFonts w:ascii="Times New Roman" w:cs="Times New Roman" w:eastAsia="Times New Roman" w:hAnsi="Times New Roman"/>
          <w:sz w:val="19"/>
          <w:szCs w:val="19"/>
          <w:color w:val="010000"/>
        </w:rPr>
      </w:pPr>
    </w:p>
    <w:p>
      <w:pPr>
        <w:ind w:left="2640" w:hanging="386"/>
        <w:spacing w:after="0"/>
        <w:tabs>
          <w:tab w:leader="none" w:pos="2640" w:val="left"/>
        </w:tabs>
        <w:numPr>
          <w:ilvl w:val="1"/>
          <w:numId w:val="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This Agreement, duly executed by the Loan Parties and the other parties hereto.</w:t>
      </w:r>
    </w:p>
    <w:p>
      <w:pPr>
        <w:spacing w:after="0" w:line="213" w:lineRule="exact"/>
        <w:rPr>
          <w:rFonts w:ascii="Times New Roman" w:cs="Times New Roman" w:eastAsia="Times New Roman" w:hAnsi="Times New Roman"/>
          <w:sz w:val="19"/>
          <w:szCs w:val="19"/>
          <w:color w:val="010000"/>
        </w:rPr>
      </w:pPr>
    </w:p>
    <w:p>
      <w:pPr>
        <w:jc w:val="both"/>
        <w:ind w:left="1500" w:firstLine="754"/>
        <w:spacing w:after="0" w:line="244" w:lineRule="auto"/>
        <w:tabs>
          <w:tab w:leader="none" w:pos="2640" w:val="left"/>
        </w:tabs>
        <w:numPr>
          <w:ilvl w:val="1"/>
          <w:numId w:val="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Certified copies of the resolutions of the Board of Directors of the Parent on its behalf and on behalf of each Loan Party for which it is the ultimate signatory approving the transactions contemplated by the Loan Documents and each Loan Document to which it or such Loan Party is or is to be a party, and of all documents evidencing other necessary corporate action and governmental and other third party approvals and consents, if any, with respect to the transactions under the Loan Documents and each Loan Document to which it or such Loan Party is or is to be a party.</w:t>
      </w:r>
    </w:p>
    <w:p>
      <w:pPr>
        <w:spacing w:after="0" w:line="185" w:lineRule="exact"/>
        <w:rPr>
          <w:rFonts w:ascii="Times New Roman" w:cs="Times New Roman" w:eastAsia="Times New Roman" w:hAnsi="Times New Roman"/>
          <w:sz w:val="19"/>
          <w:szCs w:val="19"/>
          <w:color w:val="010000"/>
        </w:rPr>
      </w:pPr>
    </w:p>
    <w:p>
      <w:pPr>
        <w:jc w:val="both"/>
        <w:ind w:left="1500" w:firstLine="754"/>
        <w:spacing w:after="0" w:line="239" w:lineRule="auto"/>
        <w:tabs>
          <w:tab w:leader="none" w:pos="2640" w:val="left"/>
        </w:tabs>
        <w:numPr>
          <w:ilvl w:val="1"/>
          <w:numId w:val="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copy of a certificate of the Secretary of State (or equivalent authority) of the jurisdiction of incorporation, organization or formation of each Loan Party and of each general partner or managing member (if any) of each Loan Party, dated reasonably near the Closing Date, certifying, if and to the extent such certification is generally available for entities of the type of such Loan Party, (A) as to a true and correct copy of the charter, certificate of limited partnership, limited liability company agreement or other organizational document of such Loan Party, general partner or managing member, as the case may be, and each amendment thereto on file in such Secretary’s office, (B) that (1) such amendments are the only amendments to the charter, certificate of limited partnership, limited liability company agreement or other organizational document, as applicable, of such Loan Party, general partner or managing member, as the case may be, on file in such Secretary’s office, (2) such Loan Party, general partner or managing member, as the case may be, has paid all franchise taxes to the date of such certificate and (C) such Loan Party, general partner or managing member, as the case may be, is duly incorporated, organized or formed and in good standing or presently subsisting under the laws of the jurisdiction of its incorporation, organization or formation.</w:t>
      </w:r>
    </w:p>
    <w:p>
      <w:pPr>
        <w:spacing w:after="0" w:line="197" w:lineRule="exact"/>
        <w:rPr>
          <w:rFonts w:ascii="Times New Roman" w:cs="Times New Roman" w:eastAsia="Times New Roman" w:hAnsi="Times New Roman"/>
          <w:sz w:val="19"/>
          <w:szCs w:val="19"/>
          <w:color w:val="010000"/>
        </w:rPr>
      </w:pPr>
    </w:p>
    <w:p>
      <w:pPr>
        <w:jc w:val="both"/>
        <w:ind w:left="1500" w:firstLine="754"/>
        <w:spacing w:after="0" w:line="272" w:lineRule="auto"/>
        <w:tabs>
          <w:tab w:leader="none" w:pos="2627" w:val="left"/>
        </w:tabs>
        <w:numPr>
          <w:ilvl w:val="1"/>
          <w:numId w:val="5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copy of a certificate of the Secretary of State (or equivalent authority) of each jurisdiction in which any Loan Party owns or leases property or in which the conduct of its business requires it to qualify or be licensed as a foreign corporation except where the failure to so qualify or be licensed could not reasonably be expected to result in a Material Adverse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63" w:name="page64"/>
    <w:bookmarkEnd w:id="63"/>
    <w:p>
      <w:pPr>
        <w:jc w:val="both"/>
        <w:ind w:left="380"/>
        <w:spacing w:after="0" w:line="251" w:lineRule="auto"/>
        <w:rPr>
          <w:sz w:val="20"/>
          <w:szCs w:val="20"/>
          <w:color w:val="auto"/>
        </w:rPr>
      </w:pPr>
      <w:r>
        <w:rPr>
          <w:rFonts w:ascii="Times New Roman" w:cs="Times New Roman" w:eastAsia="Times New Roman" w:hAnsi="Times New Roman"/>
          <w:sz w:val="19"/>
          <w:szCs w:val="19"/>
          <w:color w:val="auto"/>
        </w:rPr>
        <w:t>Effect, dated reasonably near (but prior to) the Closing Date, stating that such Loan Party is duly qualified and in good standing as a foreign corporation, limited partnership or limited liability company in such State and has, if applicable, filed all annual reports required to be filed to the date of such certificate.</w:t>
      </w:r>
    </w:p>
    <w:p>
      <w:pPr>
        <w:spacing w:after="0" w:line="179" w:lineRule="exact"/>
        <w:rPr>
          <w:sz w:val="20"/>
          <w:szCs w:val="20"/>
          <w:color w:val="auto"/>
        </w:rPr>
      </w:pPr>
    </w:p>
    <w:p>
      <w:pPr>
        <w:jc w:val="both"/>
        <w:ind w:left="380" w:firstLine="754"/>
        <w:spacing w:after="0" w:line="258" w:lineRule="auto"/>
        <w:tabs>
          <w:tab w:leader="none" w:pos="1520" w:val="left"/>
        </w:tabs>
        <w:numPr>
          <w:ilvl w:val="1"/>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certificate of each Loan Party and of each general partner or managing member (if any) of each Loan Party, signed on behalf of such Loan Party, general partner or managing member, as applicable, by its Secretary, Assistant Secretary or Responsible Officer (or those of its general partner or managing member, if applicable) dated the Closing Date, certifying as to</w:t>
      </w:r>
    </w:p>
    <w:p>
      <w:pPr>
        <w:jc w:val="both"/>
        <w:ind w:left="380" w:firstLine="5"/>
        <w:spacing w:after="0" w:line="238" w:lineRule="auto"/>
        <w:tabs>
          <w:tab w:leader="none" w:pos="696"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absence of any amendments to the constitutive documents of such Loan Party, general partner or managing member, as applicable, since the date of the certificate referred to in Section 3.01(a)(v) (or including a copy of such amendment), (B) a true and correct copy of the bylaws, operating agreement, partnership agreement or other governing document of such Loan Party, general partner or managing member, as applicable, as in effect on the date on which the resolutions referred to in Section 3.01(a)(iv) were adopted and on the Closing Date, (C) the due incorporation, organization or formation and good standing or valid existence of such Loan Party, general partner or managing member, as applicable, as a corporation, limited liability company or partnership organized under the laws of the jurisdiction of its incorporation, organization or formation and the absence of any proceeding for the dissolution or liquidation of such Loan Party, general partner or managing member, as applicable, (D) the truth of the representations and warranties contained in the Loan Documents in all material respects (unless qualified as to materiality or Material Adverse Effect, in which case such representations and warranties shall be true and correct in all respects) and (E) the absence of any event occurring and continuing that constitutes a Default.</w:t>
      </w:r>
    </w:p>
    <w:p>
      <w:pPr>
        <w:spacing w:after="0" w:line="188" w:lineRule="exact"/>
        <w:rPr>
          <w:rFonts w:ascii="Times New Roman" w:cs="Times New Roman" w:eastAsia="Times New Roman" w:hAnsi="Times New Roman"/>
          <w:sz w:val="19"/>
          <w:szCs w:val="19"/>
          <w:color w:val="auto"/>
        </w:rPr>
      </w:pPr>
    </w:p>
    <w:p>
      <w:pPr>
        <w:jc w:val="both"/>
        <w:ind w:left="380" w:firstLine="754"/>
        <w:spacing w:after="0" w:line="244" w:lineRule="auto"/>
        <w:tabs>
          <w:tab w:leader="none" w:pos="1898" w:val="left"/>
        </w:tabs>
        <w:numPr>
          <w:ilvl w:val="1"/>
          <w:numId w:val="5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certificate of the Secretary or an Assistant Secretary of each Loan Party (or Responsible Officer of the general partner or managing member of any Loan Party) and of each general partner or managing member (if any) of each Loan Party certifying the names and true signatures of the officers of such Loan Party, or of the general partner or managing member of such Loan Party, authorized to sign each Loan Document to which it is or is to be a party and the other documents to be delivered hereunder and thereunder.</w:t>
      </w:r>
    </w:p>
    <w:p>
      <w:pPr>
        <w:spacing w:after="0" w:line="185" w:lineRule="exact"/>
        <w:rPr>
          <w:rFonts w:ascii="Times New Roman" w:cs="Times New Roman" w:eastAsia="Times New Roman" w:hAnsi="Times New Roman"/>
          <w:sz w:val="19"/>
          <w:szCs w:val="19"/>
          <w:color w:val="010000"/>
        </w:rPr>
      </w:pPr>
    </w:p>
    <w:p>
      <w:pPr>
        <w:jc w:val="both"/>
        <w:ind w:left="380" w:firstLine="754"/>
        <w:spacing w:after="0" w:line="241" w:lineRule="auto"/>
        <w:tabs>
          <w:tab w:leader="none" w:pos="1520" w:val="left"/>
        </w:tabs>
        <w:numPr>
          <w:ilvl w:val="1"/>
          <w:numId w:val="5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Such financial, business and other information regarding each Loan Party and its Subsidiaries as the Lenders shall have reasonably requested, including, without limitation, information as to possible contingent liabilities, tax matters, environmental matters, obligations under Plans, Multiemployer Plans and Welfare Plans, collective bargaining agreements and other arrangements with employees, historical operating statements (if any), audited annual financial statements for the year ending December 31, 2025 of the Parent, interim financial statements dated the end of the most recent fiscal quarter for which financial statements are available (or, in the event the Lenders’ due diligence review reveals material changes since such financial statements, as of a later date within 45 days of the day of the Initial Borrowing) and financial projections for the Parent’s consolidated operations.</w:t>
      </w:r>
    </w:p>
    <w:p>
      <w:pPr>
        <w:spacing w:after="0" w:line="188" w:lineRule="exact"/>
        <w:rPr>
          <w:rFonts w:ascii="Times New Roman" w:cs="Times New Roman" w:eastAsia="Times New Roman" w:hAnsi="Times New Roman"/>
          <w:sz w:val="19"/>
          <w:szCs w:val="19"/>
          <w:color w:val="010000"/>
        </w:rPr>
      </w:pPr>
    </w:p>
    <w:p>
      <w:pPr>
        <w:ind w:left="1520" w:hanging="386"/>
        <w:spacing w:after="0"/>
        <w:tabs>
          <w:tab w:leader="none" w:pos="1520" w:val="left"/>
        </w:tabs>
        <w:numPr>
          <w:ilvl w:val="1"/>
          <w:numId w:val="5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Evidence that all insurance required to be maintained pursuant to the Loan Documents has been obtained and is</w:t>
      </w:r>
    </w:p>
    <w:p>
      <w:pPr>
        <w:spacing w:after="0" w:line="17" w:lineRule="exact"/>
        <w:rPr>
          <w:rFonts w:ascii="Times New Roman" w:cs="Times New Roman" w:eastAsia="Times New Roman" w:hAnsi="Times New Roman"/>
          <w:sz w:val="19"/>
          <w:szCs w:val="19"/>
          <w:color w:val="010000"/>
        </w:rPr>
      </w:pPr>
    </w:p>
    <w:p>
      <w:pPr>
        <w:ind w:left="380"/>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effect.</w:t>
      </w:r>
    </w:p>
    <w:p>
      <w:pPr>
        <w:spacing w:after="0" w:line="193" w:lineRule="exact"/>
        <w:rPr>
          <w:rFonts w:ascii="Times New Roman" w:cs="Times New Roman" w:eastAsia="Times New Roman" w:hAnsi="Times New Roman"/>
          <w:sz w:val="19"/>
          <w:szCs w:val="19"/>
          <w:color w:val="010000"/>
        </w:rPr>
      </w:pPr>
    </w:p>
    <w:p>
      <w:pPr>
        <w:ind w:left="380" w:firstLine="754"/>
        <w:spacing w:after="0" w:line="265" w:lineRule="auto"/>
        <w:tabs>
          <w:tab w:leader="none" w:pos="1507" w:val="left"/>
        </w:tabs>
        <w:numPr>
          <w:ilvl w:val="1"/>
          <w:numId w:val="5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 opinion of Goodwin Procter LLP, counsel for the Loan Parties, in form and substance reasonably satisfactory to the Administrative Agent.</w:t>
      </w:r>
    </w:p>
    <w:p>
      <w:pPr>
        <w:spacing w:after="0" w:line="200" w:lineRule="exact"/>
        <w:rPr>
          <w:sz w:val="20"/>
          <w:szCs w:val="20"/>
          <w:color w:val="auto"/>
        </w:rPr>
      </w:pPr>
    </w:p>
    <w:p>
      <w:pPr>
        <w:spacing w:after="0" w:line="3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482600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64" w:name="page65"/>
    <w:bookmarkEnd w:id="64"/>
    <w:p>
      <w:pPr>
        <w:jc w:val="both"/>
        <w:ind w:left="1500" w:firstLine="754"/>
        <w:spacing w:after="0" w:line="251" w:lineRule="auto"/>
        <w:tabs>
          <w:tab w:leader="none" w:pos="2627" w:val="left"/>
        </w:tabs>
        <w:numPr>
          <w:ilvl w:val="1"/>
          <w:numId w:val="5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certificate signed by a Responsible Officer of the Borrower, dated the Closing Date, stating that the Parent is in compliance with the covenants contained in Section 5.04, together with supporting information in form reasonably satisfactory to the Administrative Agent showing the computations used in determining compliance with such covenants.</w:t>
      </w:r>
    </w:p>
    <w:p>
      <w:pPr>
        <w:spacing w:after="0" w:line="178" w:lineRule="exact"/>
        <w:rPr>
          <w:rFonts w:ascii="Times New Roman" w:cs="Times New Roman" w:eastAsia="Times New Roman" w:hAnsi="Times New Roman"/>
          <w:sz w:val="19"/>
          <w:szCs w:val="19"/>
          <w:color w:val="010000"/>
        </w:rPr>
      </w:pPr>
    </w:p>
    <w:p>
      <w:pPr>
        <w:ind w:left="760" w:firstLine="745"/>
        <w:spacing w:after="0" w:line="265" w:lineRule="auto"/>
        <w:tabs>
          <w:tab w:leader="none" w:pos="1887" w:val="left"/>
        </w:tabs>
        <w:numPr>
          <w:ilvl w:val="0"/>
          <w:numId w:val="5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Evidence that all Existing Debt, other than Surviving Debt, has been (or concurrently therewith is being) prepaid, redeemed or defeased in full or otherwise satisfied and extinguished.</w:t>
      </w:r>
    </w:p>
    <w:p>
      <w:pPr>
        <w:spacing w:after="0" w:line="165" w:lineRule="exact"/>
        <w:rPr>
          <w:rFonts w:ascii="Times New Roman" w:cs="Times New Roman" w:eastAsia="Times New Roman" w:hAnsi="Times New Roman"/>
          <w:sz w:val="19"/>
          <w:szCs w:val="19"/>
          <w:color w:val="010000"/>
        </w:rPr>
      </w:pPr>
    </w:p>
    <w:p>
      <w:pPr>
        <w:ind w:left="1880" w:hanging="375"/>
        <w:spacing w:after="0"/>
        <w:tabs>
          <w:tab w:leader="none" w:pos="1880" w:val="left"/>
        </w:tabs>
        <w:numPr>
          <w:ilvl w:val="0"/>
          <w:numId w:val="5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[Reserved].</w:t>
      </w:r>
    </w:p>
    <w:p>
      <w:pPr>
        <w:spacing w:after="0" w:line="213" w:lineRule="exact"/>
        <w:rPr>
          <w:rFonts w:ascii="Times New Roman" w:cs="Times New Roman" w:eastAsia="Times New Roman" w:hAnsi="Times New Roman"/>
          <w:sz w:val="19"/>
          <w:szCs w:val="19"/>
          <w:color w:val="010000"/>
        </w:rPr>
      </w:pPr>
    </w:p>
    <w:p>
      <w:pPr>
        <w:ind w:left="760" w:firstLine="745"/>
        <w:spacing w:after="0" w:line="265" w:lineRule="auto"/>
        <w:tabs>
          <w:tab w:leader="none" w:pos="1887" w:val="left"/>
        </w:tabs>
        <w:numPr>
          <w:ilvl w:val="0"/>
          <w:numId w:val="5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After giving effect to the transactions contemplated by the Loan Documents, there shall have occurred no Material Adverse Change since December 31, 2025.</w:t>
      </w:r>
    </w:p>
    <w:p>
      <w:pPr>
        <w:spacing w:after="0" w:line="165" w:lineRule="exact"/>
        <w:rPr>
          <w:rFonts w:ascii="Times New Roman" w:cs="Times New Roman" w:eastAsia="Times New Roman" w:hAnsi="Times New Roman"/>
          <w:sz w:val="19"/>
          <w:szCs w:val="19"/>
          <w:color w:val="010000"/>
        </w:rPr>
      </w:pPr>
    </w:p>
    <w:p>
      <w:pPr>
        <w:jc w:val="both"/>
        <w:ind w:left="760" w:firstLine="745"/>
        <w:spacing w:after="0" w:line="242" w:lineRule="auto"/>
        <w:tabs>
          <w:tab w:leader="none" w:pos="1914" w:val="left"/>
        </w:tabs>
        <w:numPr>
          <w:ilvl w:val="0"/>
          <w:numId w:val="5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There shall exist no action, investigation, litigation or proceeding affecting any Loan Party or any of its Subsidiaries pending or threatened before any court, governmental agency or arbitrator that (i) could reasonably be expected to result in a Material Adverse Effect other than the matters described on Schedule 4.01(f) hereto (the “</w:t>
      </w:r>
      <w:r>
        <w:rPr>
          <w:rFonts w:ascii="Times New Roman" w:cs="Times New Roman" w:eastAsia="Times New Roman" w:hAnsi="Times New Roman"/>
          <w:sz w:val="19"/>
          <w:szCs w:val="19"/>
          <w:b w:val="1"/>
          <w:bCs w:val="1"/>
          <w:i w:val="1"/>
          <w:iCs w:val="1"/>
          <w:color w:val="auto"/>
        </w:rPr>
        <w:t>Material Litigation</w:t>
      </w:r>
      <w:r>
        <w:rPr>
          <w:rFonts w:ascii="Times New Roman" w:cs="Times New Roman" w:eastAsia="Times New Roman" w:hAnsi="Times New Roman"/>
          <w:sz w:val="19"/>
          <w:szCs w:val="19"/>
          <w:color w:val="auto"/>
        </w:rPr>
        <w:t>”) or (ii) purports to affect the legality, validity or enforceability of any Loan Document or the consummation of the transactions contemplated thereby, and there shall have been no material adverse change in the status, or financial effect on any Loan Party or any of its Subsidiaries, of the Material Litigation from that described on Schedule 4.01(f) hereto.</w:t>
      </w:r>
    </w:p>
    <w:p>
      <w:pPr>
        <w:spacing w:after="0" w:line="190" w:lineRule="exact"/>
        <w:rPr>
          <w:rFonts w:ascii="Times New Roman" w:cs="Times New Roman" w:eastAsia="Times New Roman" w:hAnsi="Times New Roman"/>
          <w:sz w:val="19"/>
          <w:szCs w:val="19"/>
          <w:color w:val="010000"/>
        </w:rPr>
      </w:pPr>
    </w:p>
    <w:p>
      <w:pPr>
        <w:jc w:val="both"/>
        <w:ind w:left="760" w:firstLine="745"/>
        <w:spacing w:after="0" w:line="246" w:lineRule="auto"/>
        <w:tabs>
          <w:tab w:leader="none" w:pos="1941" w:val="left"/>
        </w:tabs>
        <w:numPr>
          <w:ilvl w:val="0"/>
          <w:numId w:val="5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All material governmental and third party consents and approvals necessary in connection with the transactions contemplated by the Loan Documents shall have been obtained (without the imposition of any conditions that are not acceptable to the Lenders) and shall remain in effect, and no law or regulation shall be applicable in the reasonable judgment of the Lenders that restrains, prevents or imposes materially adverse conditions upon the transactions contemplated by the Loan Documents.</w:t>
      </w:r>
    </w:p>
    <w:p>
      <w:pPr>
        <w:spacing w:after="0" w:line="184" w:lineRule="exact"/>
        <w:rPr>
          <w:rFonts w:ascii="Times New Roman" w:cs="Times New Roman" w:eastAsia="Times New Roman" w:hAnsi="Times New Roman"/>
          <w:sz w:val="19"/>
          <w:szCs w:val="19"/>
          <w:color w:val="010000"/>
        </w:rPr>
      </w:pPr>
    </w:p>
    <w:p>
      <w:pPr>
        <w:ind w:left="760" w:firstLine="745"/>
        <w:spacing w:after="0" w:line="252" w:lineRule="exact"/>
        <w:tabs>
          <w:tab w:leader="none" w:pos="1941" w:val="left"/>
        </w:tabs>
        <w:numPr>
          <w:ilvl w:val="0"/>
          <w:numId w:val="5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shall have paid all accrued fees of the Administrative Agent and the Lenders and all reasonable, out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pocket expenses of the Administrative Agent (including the reasonable fees and expenses of counsel to the Administrative Agent).</w:t>
      </w:r>
    </w:p>
    <w:p>
      <w:pPr>
        <w:spacing w:after="0" w:line="159"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010000"/>
        </w:rPr>
        <w:t xml:space="preserve">Section 3.02 </w:t>
      </w:r>
      <w:r>
        <w:rPr>
          <w:rFonts w:ascii="Times New Roman" w:cs="Times New Roman" w:eastAsia="Times New Roman" w:hAnsi="Times New Roman"/>
          <w:sz w:val="19"/>
          <w:szCs w:val="19"/>
          <w:u w:val="single" w:color="auto"/>
          <w:color w:val="000000"/>
        </w:rPr>
        <w:t>Conditions Precedent to Each Borrowing and Increase</w:t>
      </w:r>
      <w:r>
        <w:rPr>
          <w:rFonts w:ascii="Times New Roman" w:cs="Times New Roman" w:eastAsia="Times New Roman" w:hAnsi="Times New Roman"/>
          <w:sz w:val="19"/>
          <w:szCs w:val="19"/>
          <w:color w:val="000000"/>
        </w:rPr>
        <w:t>. The obligation of each Lender to make an Advance on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occasion of each Borrowing (including the Initial Borrowing) and the right of the Borrower to request a Commitment Increase pursuant to Section 2.17 shall be subject to the satisfaction of the conditions set forth in Section 3.01 (to the extent not previously satisfied pursuant to that Section) and such further conditions precedent that on the date of such Borrowing or increase (i) (A) the Administrative Agent shall have received for the account of such Lender a Notice of Borrowing or a notice requesting a Commitment Increase and (B) the following statements shall be true and the Administrative Agent shall have received for the account of such Lender (to the extent not previously included in an applicable Notice of Borrowing) a certificate signed by a Responsible Officer of the Borrower, dated the date of such Borrowing or increase, stating that:</w:t>
      </w:r>
    </w:p>
    <w:p>
      <w:pPr>
        <w:spacing w:after="0" w:line="186" w:lineRule="exact"/>
        <w:rPr>
          <w:sz w:val="20"/>
          <w:szCs w:val="20"/>
          <w:color w:val="auto"/>
        </w:rPr>
      </w:pPr>
    </w:p>
    <w:p>
      <w:pPr>
        <w:jc w:val="both"/>
        <w:ind w:left="760" w:firstLine="745"/>
        <w:spacing w:after="0" w:line="242" w:lineRule="auto"/>
        <w:tabs>
          <w:tab w:leader="none" w:pos="1900" w:val="left"/>
        </w:tabs>
        <w:numPr>
          <w:ilvl w:val="0"/>
          <w:numId w:val="5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representations and warranties contained in each Loan Document are true and correct on and as of such date in all material respects (unless (i) qualified as to materiality or Material Adverse Effect, in which case such representations and warranties shall be true and correct in all respects and/or (ii) to the extent that the same are no longer true and correct as a result of changes in facts and circumstances that do not constitute, or result from, a breach by the Borrower of any of its covenants and do not otherwise constitute or result in a Default or Event of Default) (and except to the extent any such representation or warranty is stated to relate solely to an earlier date, in which case such representation or warranty shall have been true and correct on and as of such earlier date, and except further to the extent any such representations and warranties that are no longer true and correct as 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5" w:name="page66"/>
    <w:bookmarkEnd w:id="65"/>
    <w:p>
      <w:pPr>
        <w:jc w:val="both"/>
        <w:ind w:left="760"/>
        <w:spacing w:after="0" w:line="246" w:lineRule="auto"/>
        <w:rPr>
          <w:sz w:val="20"/>
          <w:szCs w:val="20"/>
          <w:color w:val="auto"/>
        </w:rPr>
      </w:pPr>
      <w:r>
        <w:rPr>
          <w:rFonts w:ascii="Times New Roman" w:cs="Times New Roman" w:eastAsia="Times New Roman" w:hAnsi="Times New Roman"/>
          <w:sz w:val="19"/>
          <w:szCs w:val="19"/>
          <w:color w:val="auto"/>
        </w:rPr>
        <w:t>result of factual changes since the Closing Date that are permitted under this Agreement), before and after giving effect to (1) such Borrowing or increase, and (2) in the case of any Borrowing, the application of the proceeds therefrom, as though made on and as of such date (except to the extent any such representation or warranty is stated to relate solely to an earlier date, in which case such representation or warranty shall have been true and correct on and as of such earlier date);</w:t>
      </w:r>
    </w:p>
    <w:p>
      <w:pPr>
        <w:spacing w:after="0" w:line="184" w:lineRule="exact"/>
        <w:rPr>
          <w:sz w:val="20"/>
          <w:szCs w:val="20"/>
          <w:color w:val="auto"/>
        </w:rPr>
      </w:pPr>
    </w:p>
    <w:p>
      <w:pPr>
        <w:ind w:left="760" w:right="20" w:firstLine="745"/>
        <w:spacing w:after="0" w:line="265" w:lineRule="auto"/>
        <w:tabs>
          <w:tab w:leader="none" w:pos="1887" w:val="left"/>
        </w:tabs>
        <w:numPr>
          <w:ilvl w:val="0"/>
          <w:numId w:val="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 Default or Event of Default has occurred and is continuing, or would result from (1) such Borrowing or increase or (2) in the case of any Borrowing, from the application of the proceeds therefrom; and</w:t>
      </w:r>
    </w:p>
    <w:p>
      <w:pPr>
        <w:spacing w:after="0" w:line="165" w:lineRule="exact"/>
        <w:rPr>
          <w:rFonts w:ascii="Times New Roman" w:cs="Times New Roman" w:eastAsia="Times New Roman" w:hAnsi="Times New Roman"/>
          <w:sz w:val="19"/>
          <w:szCs w:val="19"/>
          <w:color w:val="010000"/>
        </w:rPr>
      </w:pPr>
    </w:p>
    <w:p>
      <w:pPr>
        <w:jc w:val="both"/>
        <w:ind w:left="760" w:firstLine="745"/>
        <w:spacing w:after="0" w:line="251" w:lineRule="auto"/>
        <w:tabs>
          <w:tab w:leader="none" w:pos="1914" w:val="left"/>
        </w:tabs>
        <w:numPr>
          <w:ilvl w:val="0"/>
          <w:numId w:val="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for each Borrowing or increase, before and after giving effect to such Borrowing or increase, the Parent shall be in compliance with the covenants contained in Section 5.04, together with supporting information in form reasonably satisfactory to the Administrative Agent showing the computations used in determining compliance with such covenants;</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and (ii) the Administrative Agent shall have received such other approvals, opinions or documents as any Lender through the Administrative Agent may reasonably request in order to confirm (A) the accuracy of the Loan Parties’ representations and warranties contained in the Loan Documents,</w:t>
      </w:r>
    </w:p>
    <w:p>
      <w:pPr>
        <w:jc w:val="both"/>
        <w:ind w:firstLine="8"/>
        <w:spacing w:after="0"/>
        <w:tabs>
          <w:tab w:leader="none" w:pos="303"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Parties’ timely compliance with the terms, covenants and agreements set forth in the Loan Documents, (C) the absence of any Default or Event of Default and (D) the rights and remedies of the Administrative Agent or any Lender or the ability of the Loan Parties to perform their Obligations under the Loan Documents.</w:t>
      </w:r>
    </w:p>
    <w:p>
      <w:pPr>
        <w:spacing w:after="0" w:line="189"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010000"/>
        </w:rPr>
        <w:t xml:space="preserve">Section 3.03 </w:t>
      </w:r>
      <w:r>
        <w:rPr>
          <w:rFonts w:ascii="Times New Roman" w:cs="Times New Roman" w:eastAsia="Times New Roman" w:hAnsi="Times New Roman"/>
          <w:sz w:val="19"/>
          <w:szCs w:val="19"/>
          <w:u w:val="single" w:color="auto"/>
          <w:color w:val="000000"/>
        </w:rPr>
        <w:t>Determinations Under Sections 3.01 and 3.02</w:t>
      </w:r>
      <w:r>
        <w:rPr>
          <w:rFonts w:ascii="Times New Roman" w:cs="Times New Roman" w:eastAsia="Times New Roman" w:hAnsi="Times New Roman"/>
          <w:sz w:val="19"/>
          <w:szCs w:val="19"/>
          <w:color w:val="000000"/>
        </w:rPr>
        <w:t>. For purposes of determining compliance with the conditions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specified in Sections 3.01 and 3.02, each Lender shall be deemed to have consented to, approved or accepted or to be satisfied with each document or other matter required thereunder to be consented to or approved by or acceptable or satisfactory to the Lenders unless an officer of the Administrative Agent responsible for the transactions contemplated by the Loan Documents shall have received notice from such Lender prior to the Closing Date (in the case of Section 3.01) or the applicable Borrowing or increase (in the case of Section 3.02) specifying its objection thereto and, in the case of a Borrowing, such Lender shall not have made available to the Administrative Agent such Lender’s ratable portion of such Borrowing.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IV</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REPRESENTATIONS AND WARRANTIES</w:t>
      </w:r>
    </w:p>
    <w:p>
      <w:pPr>
        <w:spacing w:after="0" w:line="218"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4.01</w:t>
      </w:r>
      <w:r>
        <w:rPr>
          <w:sz w:val="20"/>
          <w:szCs w:val="20"/>
          <w:color w:val="auto"/>
        </w:rPr>
        <w:tab/>
      </w:r>
      <w:r>
        <w:rPr>
          <w:rFonts w:ascii="Times New Roman" w:cs="Times New Roman" w:eastAsia="Times New Roman" w:hAnsi="Times New Roman"/>
          <w:sz w:val="18"/>
          <w:szCs w:val="18"/>
          <w:u w:val="single" w:color="auto"/>
          <w:color w:val="auto"/>
        </w:rPr>
        <w:t>Representations and Warranties of the Loan Parties</w:t>
      </w:r>
      <w:r>
        <w:rPr>
          <w:rFonts w:ascii="Times New Roman" w:cs="Times New Roman" w:eastAsia="Times New Roman" w:hAnsi="Times New Roman"/>
          <w:sz w:val="18"/>
          <w:szCs w:val="18"/>
          <w:color w:val="auto"/>
        </w:rPr>
        <w:t>. Each Loan Party represents and warrants as follows:</w:t>
      </w:r>
    </w:p>
    <w:p>
      <w:pPr>
        <w:spacing w:after="0" w:line="214" w:lineRule="exact"/>
        <w:rPr>
          <w:sz w:val="20"/>
          <w:szCs w:val="20"/>
          <w:color w:val="auto"/>
        </w:rPr>
      </w:pPr>
    </w:p>
    <w:p>
      <w:pPr>
        <w:jc w:val="both"/>
        <w:ind w:left="760" w:firstLine="745"/>
        <w:spacing w:after="0" w:line="220" w:lineRule="exact"/>
        <w:tabs>
          <w:tab w:leader="none" w:pos="1887" w:val="left"/>
        </w:tabs>
        <w:numPr>
          <w:ilvl w:val="0"/>
          <w:numId w:val="6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Organization and Powers; Qualifications and Good Standing</w:t>
      </w:r>
      <w:r>
        <w:rPr>
          <w:rFonts w:ascii="Times New Roman" w:cs="Times New Roman" w:eastAsia="Times New Roman" w:hAnsi="Times New Roman"/>
          <w:sz w:val="19"/>
          <w:szCs w:val="19"/>
          <w:color w:val="auto"/>
        </w:rPr>
        <w:t>. Each Loan Party and each of its Restricted Subsidiaries (i) is a corporation, limited liability company or partnership duly incorporated, organized or formed, validly existing and in good standing under the laws of the jurisdiction of its incorporation, organization or formation except, with respect to any Restricted Subsidiary that is not a Necessary Borrower Party, where the failure to do so could not reasonably be expected to result in a Material Adverse Effect, (ii) is duly qualified and in good standing as a foreign corporation, limited liability company or partnership in each other jurisdiction in which it owns or leases property or in which the conduct of its business requires it to so qualify or be licensed except where the failure to so qualify or be licensed could not reasonably be expected to result in a Material Adverse Effect and (iii) has all requisite corporate, limited liability company or partnership power and authority (including, without limitation, all governmental licenses, permits and other approvals) to own or lease and operate its properties and to carry on its business as now conducted and as proposed to be conducted except where the failure to do so could not reasonably be expected to result in a Material Adverse Effect. All of the outstanding Equity Interests in the Borrower have been validly issued, are fully paid and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assessable. As of the Effective Date, the Parent directly owns not less than 59% of the limited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6" w:name="page67"/>
    <w:bookmarkEnd w:id="66"/>
    <w:p>
      <w:pPr>
        <w:jc w:val="both"/>
        <w:spacing w:after="0" w:line="246" w:lineRule="auto"/>
        <w:rPr>
          <w:sz w:val="20"/>
          <w:szCs w:val="20"/>
          <w:color w:val="auto"/>
        </w:rPr>
      </w:pPr>
      <w:r>
        <w:rPr>
          <w:rFonts w:ascii="Times New Roman" w:cs="Times New Roman" w:eastAsia="Times New Roman" w:hAnsi="Times New Roman"/>
          <w:sz w:val="19"/>
          <w:szCs w:val="19"/>
          <w:color w:val="auto"/>
        </w:rPr>
        <w:t>partnership interests in the Borrower. The Parent directly owns all of the general partnership interests in the Borrower. All Equity Interests in the Borrower that are directly or indirectly owned by the Parent are owned free and clear of all Liens. From and after the Effective Date, the Parent qualifies as a REIT and is in compliance with all requirements and conditions imposed under the Internal Revenue Code to allow the Parent to maintain its status as a REIT.</w:t>
      </w:r>
    </w:p>
    <w:p>
      <w:pPr>
        <w:spacing w:after="0" w:line="184" w:lineRule="exact"/>
        <w:rPr>
          <w:sz w:val="20"/>
          <w:szCs w:val="20"/>
          <w:color w:val="auto"/>
        </w:rPr>
      </w:pPr>
    </w:p>
    <w:p>
      <w:pPr>
        <w:jc w:val="both"/>
        <w:ind w:firstLine="745"/>
        <w:spacing w:after="0" w:line="220" w:lineRule="exact"/>
        <w:tabs>
          <w:tab w:leader="none" w:pos="1127" w:val="left"/>
        </w:tabs>
        <w:numPr>
          <w:ilvl w:val="0"/>
          <w:numId w:val="6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Subsidiaries</w:t>
      </w:r>
      <w:r>
        <w:rPr>
          <w:rFonts w:ascii="Times New Roman" w:cs="Times New Roman" w:eastAsia="Times New Roman" w:hAnsi="Times New Roman"/>
          <w:sz w:val="19"/>
          <w:szCs w:val="19"/>
          <w:color w:val="auto"/>
        </w:rPr>
        <w:t>. Set forth on Schedule 4.01(b) hereto (as the same is supplemented or otherwise updated from time to time in accordance with the Loan Documents) is a complete and accurate list of all Subsidiaries of the Parent, showing as of the Closing Date, and as of each other date such Schedule 4.01(b) is supplemented or otherwise updated as and to the extent expressly required hereunder pursuant to Section 5.01(j)(iv) or Section 5.03(i), in each case as to each such Subsidiary, (i) the jurisdiction of its incorporation, organization or formation, (ii) and the address of the principal office of each such Subsidiary, (iii) the percentage of each class of its Equity Interests owned (directly or indirectly) by such Loan Party, (iv) an identification of which such Subsidiaries are Guarantors hereunder, an identification of which Subsidiaries are Restricted Subsidiaries and which are Unrestricted Subsidiaries and (v) an identification of which Unencumbered Assets (if any) are owned by each such Restricted Subsidiary. All of the outstanding Equity Interests in each Necessary Borrower Party and each Necessary Borrower Party’s Subsidiaries has been validly issued, are fully paid and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assessable and to the extent owned by such Loan Party or one or more of its Subsidiaries, are owned by such Loan Party or Subsidiaries free and clear of all Liens (other than Permitted Liens).</w:t>
      </w:r>
    </w:p>
    <w:p>
      <w:pPr>
        <w:spacing w:after="0" w:line="192" w:lineRule="exact"/>
        <w:rPr>
          <w:rFonts w:ascii="Times New Roman" w:cs="Times New Roman" w:eastAsia="Times New Roman" w:hAnsi="Times New Roman"/>
          <w:sz w:val="19"/>
          <w:szCs w:val="19"/>
          <w:color w:val="010000"/>
        </w:rPr>
      </w:pPr>
    </w:p>
    <w:p>
      <w:pPr>
        <w:jc w:val="both"/>
        <w:ind w:firstLine="745"/>
        <w:spacing w:after="0" w:line="239" w:lineRule="auto"/>
        <w:tabs>
          <w:tab w:leader="none" w:pos="1127" w:val="left"/>
        </w:tabs>
        <w:numPr>
          <w:ilvl w:val="0"/>
          <w:numId w:val="6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Due Authorization; No Conflict</w:t>
      </w:r>
      <w:r>
        <w:rPr>
          <w:rFonts w:ascii="Times New Roman" w:cs="Times New Roman" w:eastAsia="Times New Roman" w:hAnsi="Times New Roman"/>
          <w:sz w:val="19"/>
          <w:szCs w:val="19"/>
          <w:color w:val="auto"/>
        </w:rPr>
        <w:t>. The execution and delivery by each Loan Party of each Loan Document to which it is or is to be a party, and the performance of its obligations thereunder and the other transactions contemplated by the Loan Documents, are within the corporate, limited liability company or partnership powers of such Loan Party, general partner or managing member, have been duly authorized by all necessary corporate, limited liability company or partnership action, and do not (i) contravene the charter or bylaws, operating agreement, partnership agreement or other governing document of such Loan Party, general partner or managing member, (ii) violate any law, rule, regulation (including, without limitation, Regulation X of the Board of Governors of the Federal Reserve System), order, writ, judgment, injunction, decree, determination or award to the extent the violation of which could reasonably be expected to result in a Material Adverse Effect, (iii) conflict with or result in the breach of, or constitute a default to be made under, any Material Contract, loan agreement, indenture, mortgage, deed of trust, lease or other instrument binding on or affecting any Loan Party, any of its Subsidiaries or any of their properties, or any general partner or managing member of any Loan Party, except to the extent the same could not reasonably be expected to cause a Material Adverse Change or (iv) except for the Liens created under the Loan Documents, result in or require the creation or imposition of any Lien upon or with respect to any of the properties of any Loan Party or any of its Restricted Subsidiaries. No Loan Party or any of its Subsidiaries is in violation of any such law, rule, regulation, order, writ, judgment, injunction, decree, determination or award or in breach of any such contract, loan agreement, indenture, mortgage, deed of trust, lease or other instrument, the violation or breach of which could reasonably be expected to result in a Material Adverse Effect.</w:t>
      </w:r>
    </w:p>
    <w:p>
      <w:pPr>
        <w:spacing w:after="0" w:line="192" w:lineRule="exact"/>
        <w:rPr>
          <w:rFonts w:ascii="Times New Roman" w:cs="Times New Roman" w:eastAsia="Times New Roman" w:hAnsi="Times New Roman"/>
          <w:sz w:val="19"/>
          <w:szCs w:val="19"/>
          <w:color w:val="010000"/>
        </w:rPr>
      </w:pPr>
    </w:p>
    <w:p>
      <w:pPr>
        <w:jc w:val="both"/>
        <w:ind w:firstLine="745"/>
        <w:spacing w:after="0" w:line="251" w:lineRule="auto"/>
        <w:tabs>
          <w:tab w:leader="none" w:pos="1127" w:val="left"/>
        </w:tabs>
        <w:numPr>
          <w:ilvl w:val="0"/>
          <w:numId w:val="6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Authorizations and Consents</w:t>
      </w:r>
      <w:r>
        <w:rPr>
          <w:rFonts w:ascii="Times New Roman" w:cs="Times New Roman" w:eastAsia="Times New Roman" w:hAnsi="Times New Roman"/>
          <w:sz w:val="19"/>
          <w:szCs w:val="19"/>
          <w:color w:val="auto"/>
        </w:rPr>
        <w:t>. No material authorization or material approval or other material action by, and no material notice to or filing with, any Governmental Authority or regulatory body or any other third party is required for the due execution, delivery, recordation, filing or performance by any Loan Party of any Loan Document to which it is or is to be a party.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482600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67" w:name="page68"/>
    <w:bookmarkEnd w:id="67"/>
    <w:p>
      <w:pPr>
        <w:jc w:val="both"/>
        <w:ind w:left="-360" w:firstLine="745"/>
        <w:spacing w:after="0" w:line="242" w:lineRule="auto"/>
        <w:tabs>
          <w:tab w:leader="none" w:pos="767" w:val="left"/>
        </w:tabs>
        <w:numPr>
          <w:ilvl w:val="0"/>
          <w:numId w:val="6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Binding Obligation</w:t>
      </w:r>
      <w:r>
        <w:rPr>
          <w:rFonts w:ascii="Times New Roman" w:cs="Times New Roman" w:eastAsia="Times New Roman" w:hAnsi="Times New Roman"/>
          <w:sz w:val="19"/>
          <w:szCs w:val="19"/>
          <w:color w:val="auto"/>
        </w:rPr>
        <w:t>. This Agreement has been, and each other Loan Document when delivered hereunder will have been, duly executed and delivered by each Loan Party and general partner or managing member (if any) of each Loan Party party thereto. This Agreement is, and each other Loan Document when delivered hereunder will be, the legal, valid and binding obligation of each Loan Party and general partner or managing member (if any) of each Loan Party party thereto, enforceable against such Loan Party, general partner or managing member, as the case may be, in accordance with its terms, except as such enforceability may be limited by bankruptcy, insolvency, reorganization, receivership, moratorium or other laws affecting creditors’ rights generally and by general principles of equity.</w:t>
      </w:r>
    </w:p>
    <w:p>
      <w:pPr>
        <w:spacing w:after="0" w:line="185" w:lineRule="exact"/>
        <w:rPr>
          <w:rFonts w:ascii="Times New Roman" w:cs="Times New Roman" w:eastAsia="Times New Roman" w:hAnsi="Times New Roman"/>
          <w:sz w:val="19"/>
          <w:szCs w:val="19"/>
          <w:color w:val="010000"/>
        </w:rPr>
      </w:pPr>
    </w:p>
    <w:p>
      <w:pPr>
        <w:jc w:val="both"/>
        <w:ind w:left="-360" w:firstLine="745"/>
        <w:spacing w:after="0" w:line="244" w:lineRule="auto"/>
        <w:tabs>
          <w:tab w:leader="none" w:pos="767" w:val="left"/>
        </w:tabs>
        <w:numPr>
          <w:ilvl w:val="0"/>
          <w:numId w:val="6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Litigation</w:t>
      </w:r>
      <w:r>
        <w:rPr>
          <w:rFonts w:ascii="Times New Roman" w:cs="Times New Roman" w:eastAsia="Times New Roman" w:hAnsi="Times New Roman"/>
          <w:sz w:val="19"/>
          <w:szCs w:val="19"/>
          <w:color w:val="auto"/>
        </w:rPr>
        <w:t>. There is no action, investigation, litigation or proceeding affecting any Loan Party or any of its Subsidiaries or any general partner or managing member (if any) of any Loan Party, including any Environmental Action, pending or, to any Loan Parties’ knowledge, threatened before any court, governmental agency or arbitrator that (i) could reasonably be expected to result in a Material Adverse Effect (other than the Material Litigation) or (ii) could reasonably be expected to affect the legality, validity or enforceability of any Loan Document.</w:t>
      </w:r>
    </w:p>
    <w:p>
      <w:pPr>
        <w:spacing w:after="0" w:line="185" w:lineRule="exact"/>
        <w:rPr>
          <w:rFonts w:ascii="Times New Roman" w:cs="Times New Roman" w:eastAsia="Times New Roman" w:hAnsi="Times New Roman"/>
          <w:sz w:val="19"/>
          <w:szCs w:val="19"/>
          <w:color w:val="010000"/>
        </w:rPr>
      </w:pPr>
    </w:p>
    <w:p>
      <w:pPr>
        <w:jc w:val="both"/>
        <w:ind w:left="-360" w:firstLine="745"/>
        <w:spacing w:after="0" w:line="221" w:lineRule="exact"/>
        <w:tabs>
          <w:tab w:leader="none" w:pos="780" w:val="left"/>
        </w:tabs>
        <w:numPr>
          <w:ilvl w:val="0"/>
          <w:numId w:val="6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Financial Condition</w:t>
      </w:r>
      <w:r>
        <w:rPr>
          <w:rFonts w:ascii="Times New Roman" w:cs="Times New Roman" w:eastAsia="Times New Roman" w:hAnsi="Times New Roman"/>
          <w:sz w:val="19"/>
          <w:szCs w:val="19"/>
          <w:color w:val="auto"/>
        </w:rPr>
        <w:t>. The Consolidated statement of assets, liabilities and capital of the Parent as at December 31, 2025 and the related Consolidated statement of operations and Consolidated statement of cash flows of the Parent for the Fiscal Year then ended, accompanied by unqualified opinions of PricewaterhouseCoopers LLP, independent public accountants, and the Consolidated assets, liabilities and capital of the Parent as at March 31, 2026, and the related Consolidated statement of operations and Consolidated statement of cash flows of the Parent for the three months then ended, copies of which have been furnished to each Lender, fairly present in all material respects, subject, in the case of such assets, liabilities and capital as at March 31, 2026, and such statement of operations and cash flows for the three months then ended, to year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end audit adjustments, the Consolidated financial condition of the Parent as at such dates and the Consolidated results of operations of the Parent for the periods ended on such dates, all in accordance with generally accepted accounting principles applied on a consistent basis. Since December 31, 2025 there has been no Material Adverse Change.</w:t>
      </w:r>
    </w:p>
    <w:p>
      <w:pPr>
        <w:spacing w:after="0" w:line="190" w:lineRule="exact"/>
        <w:rPr>
          <w:rFonts w:ascii="Times New Roman" w:cs="Times New Roman" w:eastAsia="Times New Roman" w:hAnsi="Times New Roman"/>
          <w:sz w:val="19"/>
          <w:szCs w:val="19"/>
          <w:color w:val="010000"/>
        </w:rPr>
      </w:pPr>
    </w:p>
    <w:p>
      <w:pPr>
        <w:jc w:val="both"/>
        <w:ind w:left="-360" w:firstLine="745"/>
        <w:spacing w:after="0" w:line="242" w:lineRule="auto"/>
        <w:tabs>
          <w:tab w:leader="none" w:pos="780" w:val="left"/>
        </w:tabs>
        <w:numPr>
          <w:ilvl w:val="0"/>
          <w:numId w:val="6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Forecasts</w:t>
      </w:r>
      <w:r>
        <w:rPr>
          <w:rFonts w:ascii="Times New Roman" w:cs="Times New Roman" w:eastAsia="Times New Roman" w:hAnsi="Times New Roman"/>
          <w:sz w:val="19"/>
          <w:szCs w:val="19"/>
          <w:color w:val="auto"/>
        </w:rPr>
        <w:t>. The Consolidated forecasted balance sheets, statements of income and statements of cash flows of the Parent and its Subsidiaries delivered to the Lenders pursuant to Section 3.01(a)(ix) or 5.03 were prepared in good faith on the basis of the assumptions stated therein, which assumptions were believed by the Parent to be reasonable at the time (it being understood and agreed that any such Projections and any other forward looking information are subject to uncertainties and contingencies, some of which are or may be beyond your control, that no assurance is given that any particular Projections will be realized, that actual results may differ and that such differences may be material, and that such assumptions may, in retrospect, be deemed to have been unreasonable when made).</w:t>
      </w:r>
    </w:p>
    <w:p>
      <w:pPr>
        <w:spacing w:after="0" w:line="190" w:lineRule="exact"/>
        <w:rPr>
          <w:rFonts w:ascii="Times New Roman" w:cs="Times New Roman" w:eastAsia="Times New Roman" w:hAnsi="Times New Roman"/>
          <w:sz w:val="19"/>
          <w:szCs w:val="19"/>
          <w:color w:val="010000"/>
        </w:rPr>
      </w:pPr>
    </w:p>
    <w:p>
      <w:pPr>
        <w:jc w:val="both"/>
        <w:ind w:left="-360" w:firstLine="745"/>
        <w:spacing w:after="0" w:line="244" w:lineRule="auto"/>
        <w:tabs>
          <w:tab w:leader="none" w:pos="794" w:val="left"/>
        </w:tabs>
        <w:numPr>
          <w:ilvl w:val="0"/>
          <w:numId w:val="6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Full Disclosure</w:t>
      </w:r>
      <w:r>
        <w:rPr>
          <w:rFonts w:ascii="Times New Roman" w:cs="Times New Roman" w:eastAsia="Times New Roman" w:hAnsi="Times New Roman"/>
          <w:sz w:val="19"/>
          <w:szCs w:val="19"/>
          <w:color w:val="auto"/>
        </w:rPr>
        <w:t>. None of the information, exhibit or report furnished by or on behalf of any Borrower Party to the Administrative Agent or any Lender in connection with the negotiation and syndication of the Loan Documents or pursuant to the terms of the Loan Documents (in each case, as modified or supplemented by other information so furnished), at the time so furnished and taken as a whole contained any material misstatement of fact or omitted to state a material fact necessary to make the statements made therein, in light of the circumstances under which they were made, not misleading.</w:t>
      </w:r>
    </w:p>
    <w:p>
      <w:pPr>
        <w:spacing w:after="0" w:line="185" w:lineRule="exact"/>
        <w:rPr>
          <w:rFonts w:ascii="Times New Roman" w:cs="Times New Roman" w:eastAsia="Times New Roman" w:hAnsi="Times New Roman"/>
          <w:sz w:val="19"/>
          <w:szCs w:val="19"/>
          <w:color w:val="010000"/>
        </w:rPr>
      </w:pPr>
    </w:p>
    <w:p>
      <w:pPr>
        <w:jc w:val="both"/>
        <w:ind w:left="-360" w:right="20" w:firstLine="745"/>
        <w:spacing w:after="0" w:line="251" w:lineRule="auto"/>
        <w:tabs>
          <w:tab w:leader="none" w:pos="794" w:val="left"/>
        </w:tabs>
        <w:numPr>
          <w:ilvl w:val="0"/>
          <w:numId w:val="6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Margin Regulations</w:t>
      </w:r>
      <w:r>
        <w:rPr>
          <w:rFonts w:ascii="Times New Roman" w:cs="Times New Roman" w:eastAsia="Times New Roman" w:hAnsi="Times New Roman"/>
          <w:sz w:val="19"/>
          <w:szCs w:val="19"/>
          <w:color w:val="auto"/>
        </w:rPr>
        <w:t>. No Loan Party is engaged in the business of extending credit for the purpose of purchasing or carrying Margin Stock, and no proceeds of any Advance will be used to purchase or carry any Margin Stock or to extend credit to others for the purpose of purchasing or carrying any Margin Stock.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482600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68" w:name="page69"/>
    <w:bookmarkEnd w:id="68"/>
    <w:p>
      <w:pPr>
        <w:jc w:val="both"/>
        <w:ind w:left="760" w:firstLine="745"/>
        <w:spacing w:after="0" w:line="224" w:lineRule="exact"/>
        <w:tabs>
          <w:tab w:leader="none" w:pos="1927" w:val="left"/>
        </w:tabs>
        <w:numPr>
          <w:ilvl w:val="1"/>
          <w:numId w:val="6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Certain Governmental Regulations</w:t>
      </w:r>
      <w:r>
        <w:rPr>
          <w:rFonts w:ascii="Times New Roman" w:cs="Times New Roman" w:eastAsia="Times New Roman" w:hAnsi="Times New Roman"/>
          <w:sz w:val="19"/>
          <w:szCs w:val="19"/>
          <w:color w:val="auto"/>
        </w:rPr>
        <w:t>. Neither any Loan Party nor any of its Subsidiaries nor any general partner or managing member of any Loan Party, as applicable, is an “investment company”, or an “affiliated person” of, or “promoter” or “principal underwriter” for, an “investment company”, as such terms are defined in the Investment Company Act of 1940, as amended. Without limiting the generality of the foregoing, each Loan Party and each of its Subsidiaries and each general partner or managing member of any Loan Party, as applicable: (i) is primarily engaged, directly or through a wholly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owned Subsidiary or Subsidiaries, in a business or businesses other than that of (A) investing, reinvesting, owning, holding or trading in securities or (B) issuing face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amount certificates of the installment type; (ii) is not engaged in, does not propose to engage in and does not hold itself out as being engaged in the business of</w:t>
      </w:r>
    </w:p>
    <w:p>
      <w:pPr>
        <w:spacing w:after="0" w:line="6" w:lineRule="exact"/>
        <w:rPr>
          <w:rFonts w:ascii="Times New Roman" w:cs="Times New Roman" w:eastAsia="Times New Roman" w:hAnsi="Times New Roman"/>
          <w:sz w:val="19"/>
          <w:szCs w:val="19"/>
          <w:color w:val="010000"/>
        </w:rPr>
      </w:pPr>
    </w:p>
    <w:p>
      <w:pPr>
        <w:jc w:val="both"/>
        <w:ind w:left="760" w:hanging="3"/>
        <w:spacing w:after="0" w:line="224" w:lineRule="exact"/>
        <w:tabs>
          <w:tab w:leader="none" w:pos="109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reinvesting, owning, holding or trading in securities or (B) issuing face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amount certificates of the installment type; (iii) does not own or propose to acquire investment securities (as defined in the Investment Company Act of 1940, as amended) having a value exceeding forty percent (40%) of the value of such company’s total assets (exclusive of government securities and cash items) on an unconsolidated basis; (iv) has not in the past been engaged in the business of issuing face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amount certificates of the installment type; and</w:t>
      </w:r>
    </w:p>
    <w:p>
      <w:pPr>
        <w:spacing w:after="0" w:line="2" w:lineRule="exact"/>
        <w:rPr>
          <w:rFonts w:ascii="Times New Roman" w:cs="Times New Roman" w:eastAsia="Times New Roman" w:hAnsi="Times New Roman"/>
          <w:sz w:val="18"/>
          <w:szCs w:val="18"/>
          <w:color w:val="auto"/>
        </w:rPr>
      </w:pPr>
    </w:p>
    <w:p>
      <w:pPr>
        <w:ind w:left="760"/>
        <w:spacing w:after="0" w:line="21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(v) does not have any outstanding face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amount certificates of the installment type.</w:t>
      </w:r>
    </w:p>
    <w:p>
      <w:pPr>
        <w:spacing w:after="0" w:line="193" w:lineRule="exact"/>
        <w:rPr>
          <w:rFonts w:ascii="Times New Roman" w:cs="Times New Roman" w:eastAsia="Times New Roman" w:hAnsi="Times New Roman"/>
          <w:sz w:val="18"/>
          <w:szCs w:val="18"/>
          <w:color w:val="auto"/>
        </w:rPr>
      </w:pPr>
    </w:p>
    <w:p>
      <w:pPr>
        <w:jc w:val="both"/>
        <w:ind w:left="760" w:firstLine="745"/>
        <w:spacing w:after="0" w:line="246" w:lineRule="auto"/>
        <w:tabs>
          <w:tab w:leader="none" w:pos="1900" w:val="left"/>
        </w:tabs>
        <w:numPr>
          <w:ilvl w:val="1"/>
          <w:numId w:val="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Materially Adverse Agreements</w:t>
      </w:r>
      <w:r>
        <w:rPr>
          <w:rFonts w:ascii="Times New Roman" w:cs="Times New Roman" w:eastAsia="Times New Roman" w:hAnsi="Times New Roman"/>
          <w:sz w:val="19"/>
          <w:szCs w:val="19"/>
          <w:color w:val="auto"/>
        </w:rPr>
        <w:t>. Neither any Loan Party nor any of its Subsidiaries is a party to any indenture, loan or credit agreement or any lease or other agreement or instrument or subject to any charter, corporate, partnership, membership or other governing restriction that could reasonably be expected to result in a Material Adverse Effect (absent a material default under a Material Contract).</w:t>
      </w:r>
    </w:p>
    <w:p>
      <w:pPr>
        <w:spacing w:after="0" w:line="184" w:lineRule="exact"/>
        <w:rPr>
          <w:rFonts w:ascii="Times New Roman" w:cs="Times New Roman" w:eastAsia="Times New Roman" w:hAnsi="Times New Roman"/>
          <w:sz w:val="19"/>
          <w:szCs w:val="19"/>
          <w:color w:val="010000"/>
        </w:rPr>
      </w:pPr>
    </w:p>
    <w:p>
      <w:pPr>
        <w:ind w:left="1880" w:hanging="375"/>
        <w:spacing w:after="0"/>
        <w:tabs>
          <w:tab w:leader="none" w:pos="1880" w:val="left"/>
        </w:tabs>
        <w:numPr>
          <w:ilvl w:val="1"/>
          <w:numId w:val="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[Omitted]</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010000"/>
        </w:rPr>
      </w:pPr>
    </w:p>
    <w:p>
      <w:pPr>
        <w:ind w:left="1880" w:hanging="375"/>
        <w:spacing w:after="0"/>
        <w:tabs>
          <w:tab w:leader="none" w:pos="1880" w:val="left"/>
        </w:tabs>
        <w:numPr>
          <w:ilvl w:val="1"/>
          <w:numId w:val="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[Omitted]</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010000"/>
        </w:rPr>
      </w:pPr>
    </w:p>
    <w:p>
      <w:pPr>
        <w:jc w:val="both"/>
        <w:ind w:left="760" w:firstLine="745"/>
        <w:spacing w:after="0" w:line="223" w:lineRule="exact"/>
        <w:tabs>
          <w:tab w:leader="none" w:pos="1887" w:val="left"/>
        </w:tabs>
        <w:numPr>
          <w:ilvl w:val="1"/>
          <w:numId w:val="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Liens</w:t>
      </w:r>
      <w:r>
        <w:rPr>
          <w:rFonts w:ascii="Times New Roman" w:cs="Times New Roman" w:eastAsia="Times New Roman" w:hAnsi="Times New Roman"/>
          <w:sz w:val="19"/>
          <w:szCs w:val="19"/>
          <w:color w:val="auto"/>
        </w:rPr>
        <w:t>. Set forth on Schedule 4.01(o) hereto is a complete and accurate list of (i) all Liens on the property or assets of any Borrower Party securing Debt for borrowed money, and (ii) all Liens on the property or assets of any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Borrower Party Subsidiaries securing Debt for borrowed money; in each case showing as of the date hereof the lienholder thereof, the principal amount of the obligations secured thereby and the property or assets of such Borrower Party or such Subsidiary subject thereto,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easements and other real property restrictions, covenants and conditions of record (exclusive of Liens securing Debt for borrowed money) shall not be listed on Schedule 4.01(o).</w:t>
      </w:r>
    </w:p>
    <w:p>
      <w:pPr>
        <w:spacing w:after="0" w:line="192" w:lineRule="exact"/>
        <w:rPr>
          <w:rFonts w:ascii="Times New Roman" w:cs="Times New Roman" w:eastAsia="Times New Roman" w:hAnsi="Times New Roman"/>
          <w:sz w:val="19"/>
          <w:szCs w:val="19"/>
          <w:color w:val="010000"/>
        </w:rPr>
      </w:pPr>
    </w:p>
    <w:p>
      <w:pPr>
        <w:jc w:val="both"/>
        <w:ind w:left="760" w:firstLine="745"/>
        <w:spacing w:after="0" w:line="242" w:lineRule="auto"/>
        <w:tabs>
          <w:tab w:leader="none" w:pos="1887" w:val="left"/>
        </w:tabs>
        <w:numPr>
          <w:ilvl w:val="1"/>
          <w:numId w:val="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Real Property</w:t>
      </w:r>
      <w:r>
        <w:rPr>
          <w:rFonts w:ascii="Times New Roman" w:cs="Times New Roman" w:eastAsia="Times New Roman" w:hAnsi="Times New Roman"/>
          <w:sz w:val="19"/>
          <w:szCs w:val="19"/>
          <w:color w:val="auto"/>
        </w:rPr>
        <w:t>. Set forth on Part I of Schedule 4.01(p) hereto (as the same is supplemented or otherwise updated from time to time in accordance with the Loan Documents) is a complete and accurate list of all Real Property owned in fee by any Loan Party or any of its Subsidiaries or subject to a Qualified Ground Lease, showing as of the Closing Date, and as of each other date such Schedule 4.01(p) is supplemented or otherwise updated as and to the extent expressly required hereunder pursuant to Section 5.01(j)(iv) or 5.03(i), the street address, state, and the record owner. As of the applicable date, each Necessary Borrower Party that owns any such Real Property has good, marketable and insurable fee simple title to such Real Property, free and clear of all Liens, other than Permitted Liens.</w:t>
      </w:r>
    </w:p>
    <w:p>
      <w:pPr>
        <w:spacing w:after="0" w:line="190"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19"/>
          <w:szCs w:val="19"/>
          <w:color w:val="auto"/>
        </w:rPr>
        <w:t>Set forth on Part II of Schedule 4.01(p) hereto (as the same is supplemented or otherwise updated from time to time in accordance with the Loan Documents) is a complete and accurate list of all leases of Real Property under which any Loan Party or any of its Restricted Subsidiaries is the lessee, showing as of the Closing Date, and as of each other date such Schedule 4.01(p) is supplemented or otherwise updated as and to the extent expressly required hereunder pursuant to Section 5.01(j)(iv) or Section 5.03(i), the street address, state, lessor, lessee, expiration date and annual rental cost thereof. Each such lease is the legal, valid and binding obligation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9" w:name="page70"/>
    <w:bookmarkEnd w:id="69"/>
    <w:p>
      <w:pPr>
        <w:ind w:right="20"/>
        <w:spacing w:after="0" w:line="265" w:lineRule="auto"/>
        <w:rPr>
          <w:sz w:val="20"/>
          <w:szCs w:val="20"/>
          <w:color w:val="auto"/>
        </w:rPr>
      </w:pPr>
      <w:r>
        <w:rPr>
          <w:rFonts w:ascii="Times New Roman" w:cs="Times New Roman" w:eastAsia="Times New Roman" w:hAnsi="Times New Roman"/>
          <w:sz w:val="19"/>
          <w:szCs w:val="19"/>
          <w:color w:val="auto"/>
        </w:rPr>
        <w:t>of the lessor thereof, enforceable in accordance with its terms except as could not, individually or in the aggregate, reasonably be expected to have a Material Adverse Effect.</w:t>
      </w:r>
    </w:p>
    <w:p>
      <w:pPr>
        <w:spacing w:after="0" w:line="166" w:lineRule="exact"/>
        <w:rPr>
          <w:sz w:val="20"/>
          <w:szCs w:val="20"/>
          <w:color w:val="auto"/>
        </w:rPr>
      </w:pPr>
    </w:p>
    <w:p>
      <w:pPr>
        <w:ind w:left="2660" w:hanging="406"/>
        <w:spacing w:after="0"/>
        <w:tabs>
          <w:tab w:leader="none" w:pos="2660" w:val="left"/>
        </w:tabs>
        <w:numPr>
          <w:ilvl w:val="1"/>
          <w:numId w:val="6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Unencumbered Asset owned by a Necessary Borrower Party satisfies all of the Unencumbered Asset</w:t>
      </w:r>
    </w:p>
    <w:p>
      <w:pPr>
        <w:spacing w:after="0" w:line="17" w:lineRule="exact"/>
        <w:rPr>
          <w:rFonts w:ascii="Times New Roman" w:cs="Times New Roman" w:eastAsia="Times New Roman" w:hAnsi="Times New Roman"/>
          <w:sz w:val="19"/>
          <w:szCs w:val="19"/>
          <w:color w:val="010000"/>
        </w:rPr>
      </w:pPr>
    </w:p>
    <w:p>
      <w:pPr>
        <w:ind w:left="1500"/>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Conditions.</w:t>
      </w:r>
    </w:p>
    <w:p>
      <w:pPr>
        <w:spacing w:after="0" w:line="193" w:lineRule="exact"/>
        <w:rPr>
          <w:rFonts w:ascii="Times New Roman" w:cs="Times New Roman" w:eastAsia="Times New Roman" w:hAnsi="Times New Roman"/>
          <w:sz w:val="19"/>
          <w:szCs w:val="19"/>
          <w:color w:val="010000"/>
        </w:rPr>
      </w:pPr>
    </w:p>
    <w:p>
      <w:pPr>
        <w:ind w:left="1880" w:hanging="375"/>
        <w:spacing w:after="0"/>
        <w:tabs>
          <w:tab w:leader="none" w:pos="1880" w:val="left"/>
        </w:tabs>
        <w:numPr>
          <w:ilvl w:val="0"/>
          <w:numId w:val="6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Environmental Matters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010000"/>
        </w:rPr>
      </w:pPr>
    </w:p>
    <w:p>
      <w:pPr>
        <w:jc w:val="both"/>
        <w:ind w:left="760" w:firstLine="1494"/>
        <w:spacing w:after="0" w:line="222" w:lineRule="exact"/>
        <w:tabs>
          <w:tab w:leader="none" w:pos="2635" w:val="left"/>
        </w:tabs>
        <w:numPr>
          <w:ilvl w:val="1"/>
          <w:numId w:val="6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Except as otherwise set forth on Part I of Schedule 4.01(q) hereto or as could not reasonably be expected to have a Material Adverse Effect, the operations and properties of each Loan Party and each of its Subsidiaries comply in all material respects with all applicable Environmental Laws and Environmental Permits, all past material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compliance with such Environmental Laws and Environmental Permits has been resolved without ongoing material obligations or costs, and, to the knowledge of the Borrower, no circumstances exist that could be reasonably likely to (A) form the basis of an Environmental Action against any Loan Party or any of its Subsidiaries or any of their properties or (B) cause any such property to be subject to any restrictions on ownership, occupancy, use or transferability under any Environmental Law.</w:t>
      </w:r>
    </w:p>
    <w:p>
      <w:pPr>
        <w:spacing w:after="0" w:line="193" w:lineRule="exact"/>
        <w:rPr>
          <w:rFonts w:ascii="Times New Roman" w:cs="Times New Roman" w:eastAsia="Times New Roman" w:hAnsi="Times New Roman"/>
          <w:sz w:val="19"/>
          <w:szCs w:val="19"/>
          <w:color w:val="010000"/>
        </w:rPr>
      </w:pPr>
    </w:p>
    <w:p>
      <w:pPr>
        <w:jc w:val="both"/>
        <w:ind w:left="760" w:firstLine="1494"/>
        <w:spacing w:after="0" w:line="222" w:lineRule="exact"/>
        <w:tabs>
          <w:tab w:leader="none" w:pos="2635" w:val="left"/>
        </w:tabs>
        <w:numPr>
          <w:ilvl w:val="1"/>
          <w:numId w:val="6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Except as otherwise set forth on Part II of Schedule 4.01(q) hereto or as could not reasonably be expected to have a Material Adverse Effect, none of the properties currently or formerly owned or operated by any Loan Party or any of its Subsidiaries is listed or, to the knowledge of each Loan Party and its Subsidiaries, proposed for listing on the NPL or on the CERCLIS or any analogous foreign, state or local list or is adjacent to any such listed property; there are no underground or above ground storage tanks or any surface impoundments, septic tanks, pits, sumps or lagoons in which Hazardous Materials are being or have been treated, stored or disposed on any property currently owned or operated by any Loan Party or any of its Subsidiaries; there is no asbestos or asbestos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containing material on any property currently owned or operated by any Loan Party or any of its Subsidiaries except for any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friable asbestos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containing material that is being managed pursuant to, and in compliance with, an operations and maintenance plan and that does not currently require removal, remediation, abatement or encapsulation under Environmental Law; and, to the knowledge of the Borrower, Hazardous Materials have not been released, discharged or disposed of in any material amount or in violation of any Environmental Law or Environmental Permit on any property currently owned or operated by any Loan Party or any of its Subsidiaries or, to the knowledge of each Loan Party and its Subsidiaries, during the period of their ownership or operation thereof, on any property formerly owned or operated by any Loan Party or any of its Subsidiaries.</w:t>
      </w:r>
    </w:p>
    <w:p>
      <w:pPr>
        <w:spacing w:after="0" w:line="188" w:lineRule="exact"/>
        <w:rPr>
          <w:rFonts w:ascii="Times New Roman" w:cs="Times New Roman" w:eastAsia="Times New Roman" w:hAnsi="Times New Roman"/>
          <w:sz w:val="19"/>
          <w:szCs w:val="19"/>
          <w:color w:val="010000"/>
        </w:rPr>
      </w:pPr>
    </w:p>
    <w:p>
      <w:pPr>
        <w:jc w:val="both"/>
        <w:ind w:left="760" w:firstLine="1494"/>
        <w:spacing w:after="0"/>
        <w:tabs>
          <w:tab w:leader="none" w:pos="2649" w:val="left"/>
        </w:tabs>
        <w:numPr>
          <w:ilvl w:val="1"/>
          <w:numId w:val="7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Except as otherwise set forth on Part III of Schedule 4.01(q) hereto or as could not reasonably be expected to have a Material Adverse Effect, neither any Loan Party nor any of its Subsidiaries is undertaking, and has not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or regulatory authority or the requirements of any Environmental Law; all Hazardous Materials generated, used, treated, handled or stored at, or transported to or from, any property currently or formerly owned or operated by any Loan Party or any of its Subsidiaries have been disposed of in compliance with applicable law; and, with respect to any property formerly owned or operated by any Loan Party or any of its Subsidiaries, all Hazardous Materials generated, used, treated, handled, stored or transported by or, to the knowledge of each Loan Party and its Subsidiaries, on behalf of any Loan Party or any of its Subsidiaries have been disposed of in compliance with applicable law.</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0" w:name="page71"/>
    <w:bookmarkEnd w:id="70"/>
    <w:p>
      <w:pPr>
        <w:jc w:val="both"/>
        <w:ind w:left="-360" w:firstLine="745"/>
        <w:spacing w:after="0" w:line="246" w:lineRule="auto"/>
        <w:tabs>
          <w:tab w:leader="none" w:pos="767" w:val="left"/>
        </w:tabs>
        <w:numPr>
          <w:ilvl w:val="0"/>
          <w:numId w:val="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Compliance with Laws</w:t>
      </w:r>
      <w:r>
        <w:rPr>
          <w:rFonts w:ascii="Times New Roman" w:cs="Times New Roman" w:eastAsia="Times New Roman" w:hAnsi="Times New Roman"/>
          <w:sz w:val="19"/>
          <w:szCs w:val="19"/>
          <w:color w:val="auto"/>
        </w:rPr>
        <w:t>. Each Loan Party and each Subsidiary is in compliance with the requirements of all laws, rules and regulations (including, without limitation, the Securities Act and the Securities Exchange Act, and the applicable rules and regulations thereunder, state securities law and “Blue Sky” laws) applicable to it and its business, where the failure to so comply could reasonably be expected to result in a Material Adverse Effect.</w:t>
      </w:r>
    </w:p>
    <w:p>
      <w:pPr>
        <w:spacing w:after="0" w:line="184" w:lineRule="exact"/>
        <w:rPr>
          <w:rFonts w:ascii="Times New Roman" w:cs="Times New Roman" w:eastAsia="Times New Roman" w:hAnsi="Times New Roman"/>
          <w:sz w:val="19"/>
          <w:szCs w:val="19"/>
          <w:color w:val="010000"/>
        </w:rPr>
      </w:pPr>
    </w:p>
    <w:p>
      <w:pPr>
        <w:jc w:val="both"/>
        <w:ind w:left="-360" w:firstLine="745"/>
        <w:spacing w:after="0" w:line="251" w:lineRule="auto"/>
        <w:tabs>
          <w:tab w:leader="none" w:pos="767" w:val="left"/>
        </w:tabs>
        <w:numPr>
          <w:ilvl w:val="0"/>
          <w:numId w:val="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Force Majeure</w:t>
      </w:r>
      <w:r>
        <w:rPr>
          <w:rFonts w:ascii="Times New Roman" w:cs="Times New Roman" w:eastAsia="Times New Roman" w:hAnsi="Times New Roman"/>
          <w:sz w:val="19"/>
          <w:szCs w:val="19"/>
          <w:color w:val="auto"/>
        </w:rPr>
        <w:t>. Neither the business nor the properties of any Loan Party or any of its Subsidiaries are affected by any fire, explosion, accident, strike, lockout or other labor dispute, drought, storm, hail, earthquake, embargo, act of God or of the public enemy or other casualty (whether or not covered by insurance) that could reasonably be expected to result in a Material Adverse Effect.</w:t>
      </w:r>
    </w:p>
    <w:p>
      <w:pPr>
        <w:spacing w:after="0" w:line="178" w:lineRule="exact"/>
        <w:rPr>
          <w:rFonts w:ascii="Times New Roman" w:cs="Times New Roman" w:eastAsia="Times New Roman" w:hAnsi="Times New Roman"/>
          <w:sz w:val="19"/>
          <w:szCs w:val="19"/>
          <w:color w:val="010000"/>
        </w:rPr>
      </w:pPr>
    </w:p>
    <w:p>
      <w:pPr>
        <w:jc w:val="both"/>
        <w:ind w:left="-360" w:firstLine="745"/>
        <w:spacing w:after="0" w:line="242" w:lineRule="auto"/>
        <w:tabs>
          <w:tab w:leader="none" w:pos="767" w:val="left"/>
        </w:tabs>
        <w:numPr>
          <w:ilvl w:val="0"/>
          <w:numId w:val="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Loan Parties’ Credit Decisions</w:t>
      </w:r>
      <w:r>
        <w:rPr>
          <w:rFonts w:ascii="Times New Roman" w:cs="Times New Roman" w:eastAsia="Times New Roman" w:hAnsi="Times New Roman"/>
          <w:sz w:val="19"/>
          <w:szCs w:val="19"/>
          <w:color w:val="auto"/>
        </w:rPr>
        <w:t>. Each Loan Party has, independently and without reliance upon the Administrative Agent or any other Lender and based on such documents and information as it has deemed appropriate, made its own credit analysis and decision to enter into this Agreement (and in the case of the Guarantors, to give the guaranty under this Agreement) and each other Loan Document to which it is or is to be a party, and each Loan Party has established adequate means of obtaining from each other Loan Party on a continuing basis information pertaining to, and is now and on a continuing basis will be completely familiar with, the business, condition (financial or otherwise), operations, performance, properties and prospects of such other Loan Party.</w:t>
      </w:r>
    </w:p>
    <w:p>
      <w:pPr>
        <w:spacing w:after="0" w:line="190" w:lineRule="exact"/>
        <w:rPr>
          <w:rFonts w:ascii="Times New Roman" w:cs="Times New Roman" w:eastAsia="Times New Roman" w:hAnsi="Times New Roman"/>
          <w:sz w:val="19"/>
          <w:szCs w:val="19"/>
          <w:color w:val="010000"/>
        </w:rPr>
      </w:pPr>
    </w:p>
    <w:p>
      <w:pPr>
        <w:ind w:left="760" w:hanging="375"/>
        <w:spacing w:after="0"/>
        <w:tabs>
          <w:tab w:leader="none" w:pos="760" w:val="left"/>
        </w:tabs>
        <w:numPr>
          <w:ilvl w:val="0"/>
          <w:numId w:val="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Solvency</w:t>
      </w:r>
      <w:r>
        <w:rPr>
          <w:rFonts w:ascii="Times New Roman" w:cs="Times New Roman" w:eastAsia="Times New Roman" w:hAnsi="Times New Roman"/>
          <w:sz w:val="19"/>
          <w:szCs w:val="19"/>
          <w:color w:val="auto"/>
        </w:rPr>
        <w:t>. The Loan Parties, taken as a whole and on a Consolidated basis, are Solvent.</w:t>
      </w:r>
    </w:p>
    <w:p>
      <w:pPr>
        <w:spacing w:after="0" w:line="184" w:lineRule="exact"/>
        <w:rPr>
          <w:rFonts w:ascii="Times New Roman" w:cs="Times New Roman" w:eastAsia="Times New Roman" w:hAnsi="Times New Roman"/>
          <w:sz w:val="19"/>
          <w:szCs w:val="19"/>
          <w:color w:val="010000"/>
        </w:rPr>
      </w:pPr>
    </w:p>
    <w:p>
      <w:pPr>
        <w:ind w:left="-360" w:firstLine="745"/>
        <w:spacing w:after="0" w:line="274" w:lineRule="exact"/>
        <w:tabs>
          <w:tab w:leader="none" w:pos="807" w:val="left"/>
        </w:tabs>
        <w:numPr>
          <w:ilvl w:val="0"/>
          <w:numId w:val="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Sarbanes</w:t>
      </w:r>
      <w:r>
        <w:rPr>
          <w:rFonts w:ascii="MS PGothic" w:cs="MS PGothic" w:eastAsia="MS PGothic" w:hAnsi="MS PGothic"/>
          <w:sz w:val="19"/>
          <w:szCs w:val="19"/>
          <w:u w:val="single" w:color="auto"/>
          <w:color w:val="auto"/>
        </w:rPr>
        <w:t>‑</w:t>
      </w:r>
      <w:r>
        <w:rPr>
          <w:rFonts w:ascii="Times New Roman" w:cs="Times New Roman" w:eastAsia="Times New Roman" w:hAnsi="Times New Roman"/>
          <w:sz w:val="19"/>
          <w:szCs w:val="19"/>
          <w:u w:val="single" w:color="auto"/>
          <w:color w:val="auto"/>
        </w:rPr>
        <w:t>Oxley</w:t>
      </w:r>
      <w:r>
        <w:rPr>
          <w:rFonts w:ascii="Times New Roman" w:cs="Times New Roman" w:eastAsia="Times New Roman" w:hAnsi="Times New Roman"/>
          <w:sz w:val="19"/>
          <w:szCs w:val="19"/>
          <w:color w:val="auto"/>
        </w:rPr>
        <w:t>. No Loan Party has made any extension of credit to any of its directors or executive officers in contravention of any applicable restrictions set forth in Section 402(a) of Sarbanes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Oxley.</w:t>
      </w:r>
    </w:p>
    <w:p>
      <w:pPr>
        <w:spacing w:after="0" w:line="158" w:lineRule="exact"/>
        <w:rPr>
          <w:rFonts w:ascii="Times New Roman" w:cs="Times New Roman" w:eastAsia="Times New Roman" w:hAnsi="Times New Roman"/>
          <w:sz w:val="19"/>
          <w:szCs w:val="19"/>
          <w:color w:val="010000"/>
        </w:rPr>
      </w:pPr>
    </w:p>
    <w:p>
      <w:pPr>
        <w:ind w:left="760" w:hanging="375"/>
        <w:spacing w:after="0"/>
        <w:tabs>
          <w:tab w:leader="none" w:pos="760" w:val="left"/>
        </w:tabs>
        <w:numPr>
          <w:ilvl w:val="0"/>
          <w:numId w:val="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ERISA Matters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010000"/>
        </w:rPr>
      </w:pPr>
    </w:p>
    <w:p>
      <w:pPr>
        <w:ind w:left="1520" w:hanging="386"/>
        <w:spacing w:after="0"/>
        <w:tabs>
          <w:tab w:leader="none" w:pos="1520" w:val="left"/>
        </w:tabs>
        <w:numPr>
          <w:ilvl w:val="1"/>
          <w:numId w:val="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Set forth on Schedule 4.01(w) hereto is a complete and accurate list of all Plans and Welfare Plans.</w:t>
      </w:r>
    </w:p>
    <w:p>
      <w:pPr>
        <w:spacing w:after="0" w:line="213" w:lineRule="exact"/>
        <w:rPr>
          <w:rFonts w:ascii="Times New Roman" w:cs="Times New Roman" w:eastAsia="Times New Roman" w:hAnsi="Times New Roman"/>
          <w:sz w:val="19"/>
          <w:szCs w:val="19"/>
          <w:color w:val="010000"/>
        </w:rPr>
      </w:pPr>
    </w:p>
    <w:p>
      <w:pPr>
        <w:ind w:left="-360" w:firstLine="1494"/>
        <w:spacing w:after="0" w:line="265" w:lineRule="auto"/>
        <w:tabs>
          <w:tab w:leader="none" w:pos="1542" w:val="left"/>
        </w:tabs>
        <w:numPr>
          <w:ilvl w:val="1"/>
          <w:numId w:val="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 ERISA Event has occurred within the preceding five plan years or is reasonably expected to occur with respect to any Plan that has resulted in or is reasonably expected to result in a Material Adverse Effect.</w:t>
      </w:r>
    </w:p>
    <w:p>
      <w:pPr>
        <w:spacing w:after="0" w:line="165" w:lineRule="exact"/>
        <w:rPr>
          <w:rFonts w:ascii="Times New Roman" w:cs="Times New Roman" w:eastAsia="Times New Roman" w:hAnsi="Times New Roman"/>
          <w:sz w:val="19"/>
          <w:szCs w:val="19"/>
          <w:color w:val="010000"/>
        </w:rPr>
      </w:pPr>
    </w:p>
    <w:p>
      <w:pPr>
        <w:jc w:val="both"/>
        <w:ind w:left="-360" w:firstLine="1494"/>
        <w:spacing w:after="0" w:line="246" w:lineRule="auto"/>
        <w:tabs>
          <w:tab w:leader="none" w:pos="1515" w:val="left"/>
        </w:tabs>
        <w:numPr>
          <w:ilvl w:val="1"/>
          <w:numId w:val="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Schedule B (Actuarial Information) to the most recent annual report (Form 5500 Series) for each Plan, copies of which have been filed with the Internal Revenue Service and furnished to the Lenders, is complete and accurate and fairly presents the funding status of such Plan as of the date of such Schedule B, and since the date of such Schedule B there has been no material adverse change in such funding status.</w:t>
      </w:r>
    </w:p>
    <w:p>
      <w:pPr>
        <w:spacing w:after="0" w:line="184" w:lineRule="exact"/>
        <w:rPr>
          <w:rFonts w:ascii="Times New Roman" w:cs="Times New Roman" w:eastAsia="Times New Roman" w:hAnsi="Times New Roman"/>
          <w:sz w:val="19"/>
          <w:szCs w:val="19"/>
          <w:color w:val="010000"/>
        </w:rPr>
      </w:pPr>
    </w:p>
    <w:p>
      <w:pPr>
        <w:ind w:left="-360" w:firstLine="1494"/>
        <w:spacing w:after="0" w:line="265" w:lineRule="auto"/>
        <w:tabs>
          <w:tab w:leader="none" w:pos="1515" w:val="left"/>
        </w:tabs>
        <w:numPr>
          <w:ilvl w:val="1"/>
          <w:numId w:val="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any Loan Party nor any ERISA Affiliate has incurred or is reasonably expected to incur any Withdrawal Liability to any Multiemployer Plan, except as could not reasonably be expected to result in a Material Adverse Effect.</w:t>
      </w:r>
    </w:p>
    <w:p>
      <w:pPr>
        <w:spacing w:after="0" w:line="165" w:lineRule="exact"/>
        <w:rPr>
          <w:rFonts w:ascii="Times New Roman" w:cs="Times New Roman" w:eastAsia="Times New Roman" w:hAnsi="Times New Roman"/>
          <w:sz w:val="19"/>
          <w:szCs w:val="19"/>
          <w:color w:val="010000"/>
        </w:rPr>
      </w:pPr>
    </w:p>
    <w:p>
      <w:pPr>
        <w:jc w:val="both"/>
        <w:ind w:left="-360" w:firstLine="1494"/>
        <w:spacing w:after="0" w:line="246" w:lineRule="auto"/>
        <w:tabs>
          <w:tab w:leader="none" w:pos="1515" w:val="left"/>
        </w:tabs>
        <w:numPr>
          <w:ilvl w:val="1"/>
          <w:numId w:val="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any Loan Party nor any ERISA Affiliate has been notified by the sponsor of a Multiemployer Plan that such Multiemployer Plan is in reorganization or has been terminated, within the meaning of Title IV of ERISA, and no such Multiemployer Plan is reasonably expected to be in reorganization or to be terminated, within the meaning of Title IV of ERISA, except as could not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482600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71" w:name="page72"/>
    <w:bookmarkEnd w:id="71"/>
    <w:p>
      <w:pPr>
        <w:jc w:val="both"/>
        <w:ind w:left="3" w:firstLine="745"/>
        <w:spacing w:after="0" w:line="248" w:lineRule="auto"/>
        <w:tabs>
          <w:tab w:leader="none" w:pos="1130" w:val="left"/>
        </w:tabs>
        <w:numPr>
          <w:ilvl w:val="1"/>
          <w:numId w:val="7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OFAC</w:t>
      </w:r>
      <w:r>
        <w:rPr>
          <w:rFonts w:ascii="Times New Roman" w:cs="Times New Roman" w:eastAsia="Times New Roman" w:hAnsi="Times New Roman"/>
          <w:sz w:val="19"/>
          <w:szCs w:val="19"/>
          <w:color w:val="auto"/>
        </w:rPr>
        <w:t>. (i) None of the Parent, the Borrower, any Subsidiary Guarantor, or any of their respective Subsidiaries or, to their knowledge, any director, officer, employee, agent or Affiliate thereof, is a Person that is, or is owned or controlled by Persons that are:</w:t>
      </w:r>
    </w:p>
    <w:p>
      <w:pPr>
        <w:jc w:val="both"/>
        <w:ind w:left="3" w:hanging="3"/>
        <w:spacing w:after="0" w:line="238" w:lineRule="auto"/>
        <w:tabs>
          <w:tab w:leader="none" w:pos="325"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subject or target of any sanctions or trade embargoes or similar restrictions administered or enforced by the U.S. Department of the Treasury’s Office of Foreign Assets Control (“</w:t>
      </w:r>
      <w:r>
        <w:rPr>
          <w:rFonts w:ascii="Times New Roman" w:cs="Times New Roman" w:eastAsia="Times New Roman" w:hAnsi="Times New Roman"/>
          <w:sz w:val="19"/>
          <w:szCs w:val="19"/>
          <w:b w:val="1"/>
          <w:bCs w:val="1"/>
          <w:i w:val="1"/>
          <w:iCs w:val="1"/>
          <w:color w:val="auto"/>
        </w:rPr>
        <w:t>OFAC</w:t>
      </w:r>
      <w:r>
        <w:rPr>
          <w:rFonts w:ascii="Times New Roman" w:cs="Times New Roman" w:eastAsia="Times New Roman" w:hAnsi="Times New Roman"/>
          <w:sz w:val="19"/>
          <w:szCs w:val="19"/>
          <w:color w:val="auto"/>
        </w:rPr>
        <w:t>”), the U.S. Department of State, the United Nations Security Council, the European Union, His Majesty’s Treasury or other relevant sanctions authority (collectively, “</w:t>
      </w:r>
      <w:r>
        <w:rPr>
          <w:rFonts w:ascii="Times New Roman" w:cs="Times New Roman" w:eastAsia="Times New Roman" w:hAnsi="Times New Roman"/>
          <w:sz w:val="19"/>
          <w:szCs w:val="19"/>
          <w:b w:val="1"/>
          <w:bCs w:val="1"/>
          <w:i w:val="1"/>
          <w:iCs w:val="1"/>
          <w:color w:val="auto"/>
        </w:rPr>
        <w:t>Sanctions</w:t>
      </w:r>
      <w:r>
        <w:rPr>
          <w:rFonts w:ascii="Times New Roman" w:cs="Times New Roman" w:eastAsia="Times New Roman" w:hAnsi="Times New Roman"/>
          <w:sz w:val="19"/>
          <w:szCs w:val="19"/>
          <w:color w:val="auto"/>
        </w:rPr>
        <w:t>”), or (B) located, organized or resident in a country or territory that is, or whose government is, the subject or target of Sanctions. Neither the Borrower nor any of its Subsidiaries have within the preceding five years knowingly engaged in, or is now knowingly engaged in, any dealings or transactions with any Person, or in any country or territory, that at the time of the dealing or transaction is or was, or whose government is or was, the subject or target of Sanctions.</w:t>
      </w:r>
    </w:p>
    <w:p>
      <w:pPr>
        <w:spacing w:after="0" w:line="191" w:lineRule="exact"/>
        <w:rPr>
          <w:rFonts w:ascii="Times New Roman" w:cs="Times New Roman" w:eastAsia="Times New Roman" w:hAnsi="Times New Roman"/>
          <w:sz w:val="19"/>
          <w:szCs w:val="19"/>
          <w:color w:val="auto"/>
        </w:rPr>
      </w:pPr>
    </w:p>
    <w:p>
      <w:pPr>
        <w:ind w:left="3" w:right="20" w:firstLine="745"/>
        <w:spacing w:after="0" w:line="265" w:lineRule="auto"/>
        <w:tabs>
          <w:tab w:leader="none" w:pos="1130" w:val="left"/>
        </w:tabs>
        <w:numPr>
          <w:ilvl w:val="1"/>
          <w:numId w:val="7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Patriot Act</w:t>
      </w:r>
      <w:r>
        <w:rPr>
          <w:rFonts w:ascii="Times New Roman" w:cs="Times New Roman" w:eastAsia="Times New Roman" w:hAnsi="Times New Roman"/>
          <w:sz w:val="19"/>
          <w:szCs w:val="19"/>
          <w:color w:val="auto"/>
        </w:rPr>
        <w:t>. Each of the Loan Parties and their Subsidiaries is in compliance in all material respects with the Trading with the Enemy Act and the Patriot Act.</w:t>
      </w:r>
    </w:p>
    <w:p>
      <w:pPr>
        <w:spacing w:after="0" w:line="136" w:lineRule="exact"/>
        <w:rPr>
          <w:rFonts w:ascii="Times New Roman" w:cs="Times New Roman" w:eastAsia="Times New Roman" w:hAnsi="Times New Roman"/>
          <w:sz w:val="19"/>
          <w:szCs w:val="19"/>
          <w:color w:val="010000"/>
        </w:rPr>
      </w:pPr>
    </w:p>
    <w:p>
      <w:pPr>
        <w:jc w:val="both"/>
        <w:ind w:left="3" w:firstLine="745"/>
        <w:spacing w:after="0" w:line="254" w:lineRule="exact"/>
        <w:tabs>
          <w:tab w:leader="none" w:pos="1130" w:val="left"/>
        </w:tabs>
        <w:numPr>
          <w:ilvl w:val="1"/>
          <w:numId w:val="7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Anti</w:t>
      </w:r>
      <w:r>
        <w:rPr>
          <w:rFonts w:ascii="MS PGothic" w:cs="MS PGothic" w:eastAsia="MS PGothic" w:hAnsi="MS PGothic"/>
          <w:sz w:val="19"/>
          <w:szCs w:val="19"/>
          <w:u w:val="single" w:color="auto"/>
          <w:color w:val="auto"/>
        </w:rPr>
        <w:t>‑</w:t>
      </w:r>
      <w:r>
        <w:rPr>
          <w:rFonts w:ascii="Times New Roman" w:cs="Times New Roman" w:eastAsia="Times New Roman" w:hAnsi="Times New Roman"/>
          <w:sz w:val="19"/>
          <w:szCs w:val="19"/>
          <w:u w:val="single" w:color="auto"/>
          <w:color w:val="auto"/>
        </w:rPr>
        <w:t>Corruption Laws</w:t>
      </w:r>
      <w:r>
        <w:rPr>
          <w:rFonts w:ascii="Times New Roman" w:cs="Times New Roman" w:eastAsia="Times New Roman" w:hAnsi="Times New Roman"/>
          <w:sz w:val="19"/>
          <w:szCs w:val="19"/>
          <w:color w:val="auto"/>
        </w:rPr>
        <w:t>. None of the Parent, the Borrower, any Subsidiary Guarantor, or any of their respective Subsidiaries or, to the knowledge the Parent, the Borrower and the Subsidiary Guarantors, any director, officer, employee, agent or Affiliate thereof, is in violation of any Anti</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Corruption Laws.</w:t>
      </w:r>
    </w:p>
    <w:p>
      <w:pPr>
        <w:spacing w:after="0" w:line="159" w:lineRule="exact"/>
        <w:rPr>
          <w:sz w:val="20"/>
          <w:szCs w:val="20"/>
          <w:color w:val="auto"/>
        </w:rPr>
      </w:pPr>
    </w:p>
    <w:p>
      <w:pPr>
        <w:jc w:val="both"/>
        <w:ind w:left="3" w:firstLine="745"/>
        <w:spacing w:after="0" w:line="242" w:lineRule="auto"/>
        <w:tabs>
          <w:tab w:leader="none" w:pos="1130" w:val="left"/>
        </w:tabs>
        <w:numPr>
          <w:ilvl w:val="0"/>
          <w:numId w:val="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The Borrower and its Restricted Subsidiaries have filed all Tax returns which are required to be filed and have paid all Taxes due pursuant to said returns or pursuant to any assessment received by the Borrower or any of such Subsidiaries except (a) such Taxes, if any, that are subject to a Good Faith Contest and (b) to the extent the failure to so file any such returns or to pay any such Taxes could not reasonably be expected to have a Material Adverse Effect. As of the Closing Date, no Tax liens (other than Permitted Liens) have been filed and no claims are being asserted with respect to such Taxes. The charges, accruals and reserves on the books of the Borrower and its Subsidiaries, taken as a whole, in respect of any Taxes, are adequate.</w:t>
      </w:r>
    </w:p>
    <w:p>
      <w:pPr>
        <w:spacing w:after="0" w:line="190" w:lineRule="exact"/>
        <w:rPr>
          <w:rFonts w:ascii="Times New Roman" w:cs="Times New Roman" w:eastAsia="Times New Roman" w:hAnsi="Times New Roman"/>
          <w:sz w:val="19"/>
          <w:szCs w:val="19"/>
          <w:color w:val="010000"/>
        </w:rPr>
      </w:pPr>
    </w:p>
    <w:p>
      <w:pPr>
        <w:ind w:left="1123" w:hanging="375"/>
        <w:spacing w:after="0"/>
        <w:tabs>
          <w:tab w:leader="none" w:pos="1123" w:val="left"/>
        </w:tabs>
        <w:numPr>
          <w:ilvl w:val="0"/>
          <w:numId w:val="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 Except as could not reasonably be expected to have a Material Adverse Effect:</w:t>
      </w:r>
    </w:p>
    <w:p>
      <w:pPr>
        <w:spacing w:after="0" w:line="213" w:lineRule="exact"/>
        <w:rPr>
          <w:rFonts w:ascii="Times New Roman" w:cs="Times New Roman" w:eastAsia="Times New Roman" w:hAnsi="Times New Roman"/>
          <w:sz w:val="19"/>
          <w:szCs w:val="19"/>
          <w:color w:val="010000"/>
        </w:rPr>
      </w:pPr>
    </w:p>
    <w:p>
      <w:pPr>
        <w:jc w:val="both"/>
        <w:ind w:left="743" w:firstLine="754"/>
        <w:spacing w:after="0" w:line="244" w:lineRule="auto"/>
        <w:tabs>
          <w:tab w:leader="none" w:pos="1870" w:val="left"/>
        </w:tabs>
        <w:numPr>
          <w:ilvl w:val="1"/>
          <w:numId w:val="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and each of its Restricted Subsidiaries owns or has the right to use, under valid license agreements or otherwise, all material patents, licenses, franchises, trademarks, trademark rights, trade names, trade name rights, trade secrets and copyrights (collectively, “</w:t>
      </w:r>
      <w:r>
        <w:rPr>
          <w:rFonts w:ascii="Times New Roman" w:cs="Times New Roman" w:eastAsia="Times New Roman" w:hAnsi="Times New Roman"/>
          <w:sz w:val="19"/>
          <w:szCs w:val="19"/>
          <w:b w:val="1"/>
          <w:bCs w:val="1"/>
          <w:i w:val="1"/>
          <w:iCs w:val="1"/>
          <w:color w:val="auto"/>
        </w:rPr>
        <w:t>Intellectual Property</w:t>
      </w:r>
      <w:r>
        <w:rPr>
          <w:rFonts w:ascii="Times New Roman" w:cs="Times New Roman" w:eastAsia="Times New Roman" w:hAnsi="Times New Roman"/>
          <w:sz w:val="19"/>
          <w:szCs w:val="19"/>
          <w:color w:val="auto"/>
        </w:rPr>
        <w:t>”) necessary to the conduct of their respective businesses as now conducted and as contemplated by the Loan Documents, without known conflict with any patent, license, franchise, trademark, trade secret, trade name, copyright, or other proprietary right of any other Person;</w:t>
      </w:r>
    </w:p>
    <w:p>
      <w:pPr>
        <w:spacing w:after="0" w:line="185" w:lineRule="exact"/>
        <w:rPr>
          <w:rFonts w:ascii="Times New Roman" w:cs="Times New Roman" w:eastAsia="Times New Roman" w:hAnsi="Times New Roman"/>
          <w:sz w:val="19"/>
          <w:szCs w:val="19"/>
          <w:color w:val="010000"/>
        </w:rPr>
      </w:pPr>
    </w:p>
    <w:p>
      <w:pPr>
        <w:ind w:left="743" w:firstLine="754"/>
        <w:spacing w:after="0" w:line="265" w:lineRule="auto"/>
        <w:tabs>
          <w:tab w:leader="none" w:pos="1870" w:val="left"/>
        </w:tabs>
        <w:numPr>
          <w:ilvl w:val="1"/>
          <w:numId w:val="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and each of its Restricted Subsidiaries have taken all such steps as they deem reasonably necessary to protect their respective rights under and with respect to such Intellectual Property;</w:t>
      </w:r>
    </w:p>
    <w:p>
      <w:pPr>
        <w:spacing w:after="0" w:line="165" w:lineRule="exact"/>
        <w:rPr>
          <w:rFonts w:ascii="Times New Roman" w:cs="Times New Roman" w:eastAsia="Times New Roman" w:hAnsi="Times New Roman"/>
          <w:sz w:val="19"/>
          <w:szCs w:val="19"/>
          <w:color w:val="010000"/>
        </w:rPr>
      </w:pPr>
    </w:p>
    <w:p>
      <w:pPr>
        <w:ind w:left="743" w:firstLine="754"/>
        <w:spacing w:after="0" w:line="265" w:lineRule="auto"/>
        <w:tabs>
          <w:tab w:leader="none" w:pos="1870" w:val="left"/>
        </w:tabs>
        <w:numPr>
          <w:ilvl w:val="1"/>
          <w:numId w:val="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 claim has been asserted by any Person with respect to the use of any Intellectual Property by the Borrower or any of its Restricted Subsidiaries, or challenging or questioning the validity or effectiveness of any Intellectual Property; and</w:t>
      </w:r>
    </w:p>
    <w:p>
      <w:pPr>
        <w:spacing w:after="0" w:line="165" w:lineRule="exact"/>
        <w:rPr>
          <w:rFonts w:ascii="Times New Roman" w:cs="Times New Roman" w:eastAsia="Times New Roman" w:hAnsi="Times New Roman"/>
          <w:sz w:val="19"/>
          <w:szCs w:val="19"/>
          <w:color w:val="010000"/>
        </w:rPr>
      </w:pPr>
    </w:p>
    <w:p>
      <w:pPr>
        <w:jc w:val="both"/>
        <w:ind w:left="743" w:firstLine="754"/>
        <w:spacing w:after="0" w:line="251" w:lineRule="auto"/>
        <w:tabs>
          <w:tab w:leader="none" w:pos="1870" w:val="left"/>
        </w:tabs>
        <w:numPr>
          <w:ilvl w:val="1"/>
          <w:numId w:val="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use of such Intellectual Property by the Borrower and each of its Restricted Subsidiaries does not infringe on the rights of any Person, subject to such claims and infringements as do not, in the aggregate, give rise to any material liabilities on the part of the Borrower or any of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482600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9" w:right="339" w:bottom="1440" w:gutter="0" w:footer="0" w:header="0"/>
        </w:sectPr>
      </w:pPr>
    </w:p>
    <w:bookmarkStart w:id="72" w:name="page73"/>
    <w:bookmarkEnd w:id="72"/>
    <w:p>
      <w:pPr>
        <w:jc w:val="both"/>
        <w:ind w:left="760" w:firstLine="745"/>
        <w:spacing w:after="0" w:line="251" w:lineRule="auto"/>
        <w:tabs>
          <w:tab w:leader="none" w:pos="1900" w:val="left"/>
        </w:tabs>
        <w:numPr>
          <w:ilvl w:val="0"/>
          <w:numId w:val="7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Beneficial Ownership</w:t>
      </w:r>
      <w:r>
        <w:rPr>
          <w:rFonts w:ascii="Times New Roman" w:cs="Times New Roman" w:eastAsia="Times New Roman" w:hAnsi="Times New Roman"/>
          <w:sz w:val="19"/>
          <w:szCs w:val="19"/>
          <w:color w:val="auto"/>
        </w:rPr>
        <w:t>. The Borrower is in compliance in all material respects with any applicable requirements of the Beneficial Ownership Regulation. The information included in the most recent Beneficial Ownership Certification, if any, delivered by the Borrower is true and correct in all respects.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V</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COVENANTS OF THE LOAN PARTIES</w:t>
      </w:r>
    </w:p>
    <w:p>
      <w:pPr>
        <w:spacing w:after="0" w:line="218" w:lineRule="exact"/>
        <w:rPr>
          <w:sz w:val="20"/>
          <w:szCs w:val="20"/>
          <w:color w:val="auto"/>
        </w:rPr>
      </w:pPr>
    </w:p>
    <w:p>
      <w:pPr>
        <w:ind w:firstLine="1497"/>
        <w:spacing w:after="0" w:line="265" w:lineRule="auto"/>
        <w:rPr>
          <w:sz w:val="20"/>
          <w:szCs w:val="20"/>
          <w:color w:val="auto"/>
        </w:rPr>
      </w:pPr>
      <w:r>
        <w:rPr>
          <w:rFonts w:ascii="Times New Roman" w:cs="Times New Roman" w:eastAsia="Times New Roman" w:hAnsi="Times New Roman"/>
          <w:sz w:val="19"/>
          <w:szCs w:val="19"/>
          <w:color w:val="010000"/>
        </w:rPr>
        <w:t xml:space="preserve">Section 5.01 </w:t>
      </w:r>
      <w:r>
        <w:rPr>
          <w:rFonts w:ascii="Times New Roman" w:cs="Times New Roman" w:eastAsia="Times New Roman" w:hAnsi="Times New Roman"/>
          <w:sz w:val="19"/>
          <w:szCs w:val="19"/>
          <w:u w:val="single" w:color="auto"/>
          <w:color w:val="000000"/>
        </w:rPr>
        <w:t>Affirmative Covenants</w:t>
      </w:r>
      <w:r>
        <w:rPr>
          <w:rFonts w:ascii="Times New Roman" w:cs="Times New Roman" w:eastAsia="Times New Roman" w:hAnsi="Times New Roman"/>
          <w:sz w:val="19"/>
          <w:szCs w:val="19"/>
          <w:color w:val="000000"/>
        </w:rPr>
        <w:t>. So long as any Advance or any other Obligation of any Loan Party under any Loan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Document shall remain unpaid or any Lender shall have any Commitment hereunder, each Loan Party will:</w:t>
      </w:r>
    </w:p>
    <w:p>
      <w:pPr>
        <w:spacing w:after="0" w:line="166" w:lineRule="exact"/>
        <w:rPr>
          <w:sz w:val="20"/>
          <w:szCs w:val="20"/>
          <w:color w:val="auto"/>
        </w:rPr>
      </w:pPr>
    </w:p>
    <w:p>
      <w:pPr>
        <w:jc w:val="both"/>
        <w:ind w:left="760" w:firstLine="745"/>
        <w:spacing w:after="0" w:line="246" w:lineRule="auto"/>
        <w:tabs>
          <w:tab w:leader="none" w:pos="1914" w:val="left"/>
        </w:tabs>
        <w:numPr>
          <w:ilvl w:val="0"/>
          <w:numId w:val="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Compliance with Laws, Etc</w:t>
      </w:r>
      <w:r>
        <w:rPr>
          <w:rFonts w:ascii="Times New Roman" w:cs="Times New Roman" w:eastAsia="Times New Roman" w:hAnsi="Times New Roman"/>
          <w:sz w:val="19"/>
          <w:szCs w:val="19"/>
          <w:color w:val="auto"/>
        </w:rPr>
        <w:t>. Comply, and cause each of its Subsidiaries to comply, in all material respects, with all applicable laws, rules, regulations and orders, such compliance to include, without limitation, compliance with ERISA, the Racketeer Influenced and Corrupt Organizations Chapter of the Organized Crime Control Act of 1970, and all applicable Sanctions and Anti-Corruption Laws, except where such non-compliance could not reasonably be expected to result in a Material Adverse Effect.</w:t>
      </w:r>
    </w:p>
    <w:p>
      <w:pPr>
        <w:spacing w:after="0" w:line="184" w:lineRule="exact"/>
        <w:rPr>
          <w:rFonts w:ascii="Times New Roman" w:cs="Times New Roman" w:eastAsia="Times New Roman" w:hAnsi="Times New Roman"/>
          <w:sz w:val="19"/>
          <w:szCs w:val="19"/>
          <w:color w:val="010000"/>
        </w:rPr>
      </w:pPr>
    </w:p>
    <w:p>
      <w:pPr>
        <w:jc w:val="both"/>
        <w:ind w:left="760" w:firstLine="745"/>
        <w:spacing w:after="0" w:line="246" w:lineRule="auto"/>
        <w:tabs>
          <w:tab w:leader="none" w:pos="1887" w:val="left"/>
        </w:tabs>
        <w:numPr>
          <w:ilvl w:val="0"/>
          <w:numId w:val="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Payment of Taxes, Etc</w:t>
      </w:r>
      <w:r>
        <w:rPr>
          <w:rFonts w:ascii="Times New Roman" w:cs="Times New Roman" w:eastAsia="Times New Roman" w:hAnsi="Times New Roman"/>
          <w:sz w:val="19"/>
          <w:szCs w:val="19"/>
          <w:color w:val="auto"/>
        </w:rPr>
        <w:t xml:space="preserve">. Pay and discharge, and cause each of its Restricted Subsidiaries to pay and discharge, before the same shall become delinquent, (i) all Taxes imposed upon it or upon its property and (ii) all lawful claims that, if unpaid, might by law become a Lien upon its property;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neither the Loan Parties nor any of their Subsidiaries shall be required to pay or discharge any such Tax or claim that is the subject of a Good Faith Contest.</w:t>
      </w:r>
    </w:p>
    <w:p>
      <w:pPr>
        <w:spacing w:after="0" w:line="184" w:lineRule="exact"/>
        <w:rPr>
          <w:rFonts w:ascii="Times New Roman" w:cs="Times New Roman" w:eastAsia="Times New Roman" w:hAnsi="Times New Roman"/>
          <w:sz w:val="19"/>
          <w:szCs w:val="19"/>
          <w:color w:val="010000"/>
        </w:rPr>
      </w:pPr>
    </w:p>
    <w:p>
      <w:pPr>
        <w:jc w:val="both"/>
        <w:ind w:left="760" w:firstLine="745"/>
        <w:spacing w:after="0"/>
        <w:tabs>
          <w:tab w:leader="none" w:pos="1914" w:val="left"/>
        </w:tabs>
        <w:numPr>
          <w:ilvl w:val="0"/>
          <w:numId w:val="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Compliance with Environmental Laws</w:t>
      </w:r>
      <w:r>
        <w:rPr>
          <w:rFonts w:ascii="Times New Roman" w:cs="Times New Roman" w:eastAsia="Times New Roman" w:hAnsi="Times New Roman"/>
          <w:sz w:val="19"/>
          <w:szCs w:val="19"/>
          <w:color w:val="auto"/>
        </w:rPr>
        <w:t xml:space="preserve">. Comply, and cause each of its Subsidiaries and all lessees and other Persons operating or occupying its properties to comply, in all material respects, with all applicable Environmental Laws and Environmental Permits, except where such non-compliance could not reasonably expected to result in a Material Adverse Effect; obtain and renew and cause each of its Subsidiaries to obtain and renew all Environmental Permits necessary for its operations and properties, except where the failure to do so could not reasonably expected to result in a Material Adverse Effect; and conduct, and cause each of its Subsidiaries to conduct, any investigation, study, sampling and testing, and undertake any cleanup, removal, remedial or other action necessary to remove and clean up all Hazardous Materials from any of its properties in material compliance with the requirements of all Environmental Laws, except where the failure to do so could not reasonably expected to result in a Material Adverse Effect;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neither the Loan Parties nor any of their Subsidiaries shall be required to undertake any such cleanup, removal, remedial or other action to the extent that its obligation to do so is the subject of a Good Faith Contest.</w:t>
      </w:r>
    </w:p>
    <w:p>
      <w:pPr>
        <w:spacing w:after="0" w:line="191" w:lineRule="exact"/>
        <w:rPr>
          <w:rFonts w:ascii="Times New Roman" w:cs="Times New Roman" w:eastAsia="Times New Roman" w:hAnsi="Times New Roman"/>
          <w:sz w:val="19"/>
          <w:szCs w:val="19"/>
          <w:color w:val="010000"/>
        </w:rPr>
      </w:pPr>
    </w:p>
    <w:p>
      <w:pPr>
        <w:jc w:val="both"/>
        <w:ind w:left="760" w:firstLine="745"/>
        <w:spacing w:after="0" w:line="242" w:lineRule="auto"/>
        <w:tabs>
          <w:tab w:leader="none" w:pos="1887" w:val="left"/>
        </w:tabs>
        <w:numPr>
          <w:ilvl w:val="0"/>
          <w:numId w:val="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Maintenance of Insurance</w:t>
      </w:r>
      <w:r>
        <w:rPr>
          <w:rFonts w:ascii="Times New Roman" w:cs="Times New Roman" w:eastAsia="Times New Roman" w:hAnsi="Times New Roman"/>
          <w:sz w:val="19"/>
          <w:szCs w:val="19"/>
          <w:color w:val="auto"/>
        </w:rPr>
        <w:t>. Maintain, and cause each of its Restricted Subsidiaries to maintain, insurance with responsible and reputable insurance companies or associations in such amounts and covering such risks as shall be commercially reasonable and in accordance with customary and general practices of companies engaged in similar businesses and owning similar properties in the same general areas in which such Loan Party or such Subsidiaries operate. The Parent and the Borrower shall from time to time deliver to the Administrative Agent upon written request a list in reasonable detail, together with copies of all policies (or other available evidence) of the insurance then in effect, stating the names of the insurance companies, the coverages and amounts of such insurance, the dates of the expiration thereof and the properties and risks covered thereby.</w:t>
      </w:r>
    </w:p>
    <w:p>
      <w:pPr>
        <w:spacing w:after="0" w:line="185" w:lineRule="exact"/>
        <w:rPr>
          <w:rFonts w:ascii="Times New Roman" w:cs="Times New Roman" w:eastAsia="Times New Roman" w:hAnsi="Times New Roman"/>
          <w:sz w:val="19"/>
          <w:szCs w:val="19"/>
          <w:color w:val="010000"/>
        </w:rPr>
      </w:pPr>
    </w:p>
    <w:p>
      <w:pPr>
        <w:jc w:val="both"/>
        <w:ind w:left="760" w:firstLine="745"/>
        <w:spacing w:after="0" w:line="251" w:lineRule="auto"/>
        <w:tabs>
          <w:tab w:leader="none" w:pos="1927" w:val="left"/>
        </w:tabs>
        <w:numPr>
          <w:ilvl w:val="0"/>
          <w:numId w:val="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Preservation of Partnership or Corporate Existence, Etc</w:t>
      </w:r>
      <w:r>
        <w:rPr>
          <w:rFonts w:ascii="Times New Roman" w:cs="Times New Roman" w:eastAsia="Times New Roman" w:hAnsi="Times New Roman"/>
          <w:sz w:val="19"/>
          <w:szCs w:val="19"/>
          <w:color w:val="auto"/>
        </w:rPr>
        <w:t>. Preserve and maintain, and cause each of its Restricted Subsidiaries to preserve and maintain, its existence (corporate or otherwise), legal structure, legal name, rights (charter and statutory), permits, licenses, approvals, privileges and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3" w:name="page74"/>
    <w:bookmarkEnd w:id="73"/>
    <w:p>
      <w:pPr>
        <w:jc w:val="both"/>
        <w:spacing w:after="0" w:line="244" w:lineRule="auto"/>
        <w:rPr>
          <w:sz w:val="20"/>
          <w:szCs w:val="20"/>
          <w:color w:val="auto"/>
        </w:rPr>
      </w:pPr>
      <w:r>
        <w:rPr>
          <w:rFonts w:ascii="Times New Roman" w:cs="Times New Roman" w:eastAsia="Times New Roman" w:hAnsi="Times New Roman"/>
          <w:sz w:val="19"/>
          <w:szCs w:val="19"/>
          <w:color w:val="auto"/>
        </w:rPr>
        <w:t>franchises except, in the case of Restricted Subsidiaries of the Borrower only, if such failure to preserve and maintain such rights or franchises could not reasonably be expected to result in a Material Adverse Effect or cause any Unencumbered Asset to fail to continue to meet the Unencumbered Asset Conditions (it being understood that the foregoing shall not prohibit, or be violated as a result of, any addition or removal of an Unencumbered Asset permitted under Section 5.01(j) below or any transactions by or involving any Loan Party or Subsidiary thereof otherwise permitted under Section 5.02 below).</w:t>
      </w:r>
    </w:p>
    <w:p>
      <w:pPr>
        <w:spacing w:after="0" w:line="185" w:lineRule="exact"/>
        <w:rPr>
          <w:sz w:val="20"/>
          <w:szCs w:val="20"/>
          <w:color w:val="auto"/>
        </w:rPr>
      </w:pPr>
    </w:p>
    <w:p>
      <w:pPr>
        <w:jc w:val="both"/>
        <w:ind w:firstLine="745"/>
        <w:spacing w:after="0" w:line="242" w:lineRule="auto"/>
        <w:tabs>
          <w:tab w:leader="none" w:pos="1140" w:val="left"/>
        </w:tabs>
        <w:numPr>
          <w:ilvl w:val="0"/>
          <w:numId w:val="7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Visitation Rights</w:t>
      </w:r>
      <w:r>
        <w:rPr>
          <w:rFonts w:ascii="Times New Roman" w:cs="Times New Roman" w:eastAsia="Times New Roman" w:hAnsi="Times New Roman"/>
          <w:sz w:val="19"/>
          <w:szCs w:val="19"/>
          <w:color w:val="auto"/>
        </w:rPr>
        <w:t xml:space="preserve">. At any reasonable time and from time to time, permit any of the Administrative Agent or Lenders, or any agent or representatives thereof, upon reasonable prior notice and during regular business hours, to examine and make copies of and abstracts from the records and books of account of, and visit the properties of, any Loan Party and any of its Restricted Subsidiaries, and to discuss the affairs, finances and accounts of any Loan Party and any of its Restricted Subsidiaries with any of their general partners, managing members, officers or directors and with their independent certified public accountants;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so long as no Event of Default shall have occurred and be continuing, the Borrower shall only be responsible for the costs and expenses of one such visit by the Administrative Agent in any Fiscal Year.</w:t>
      </w:r>
    </w:p>
    <w:p>
      <w:pPr>
        <w:spacing w:after="0" w:line="185" w:lineRule="exact"/>
        <w:rPr>
          <w:rFonts w:ascii="Times New Roman" w:cs="Times New Roman" w:eastAsia="Times New Roman" w:hAnsi="Times New Roman"/>
          <w:sz w:val="19"/>
          <w:szCs w:val="19"/>
          <w:color w:val="010000"/>
        </w:rPr>
      </w:pPr>
    </w:p>
    <w:p>
      <w:pPr>
        <w:jc w:val="both"/>
        <w:ind w:firstLine="745"/>
        <w:spacing w:after="0" w:line="251" w:lineRule="auto"/>
        <w:tabs>
          <w:tab w:leader="none" w:pos="1140" w:val="left"/>
        </w:tabs>
        <w:numPr>
          <w:ilvl w:val="0"/>
          <w:numId w:val="7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Keeping of Books</w:t>
      </w:r>
      <w:r>
        <w:rPr>
          <w:rFonts w:ascii="Times New Roman" w:cs="Times New Roman" w:eastAsia="Times New Roman" w:hAnsi="Times New Roman"/>
          <w:sz w:val="19"/>
          <w:szCs w:val="19"/>
          <w:color w:val="auto"/>
        </w:rPr>
        <w:t>. Keep, and cause each of its Restricted Subsidiaries to keep, proper books of record and account, in which full and correct entries shall be made of all financial transactions and the assets and business of such Loan Party and each such Subsidiary in accordance with GAAP.</w:t>
      </w:r>
    </w:p>
    <w:p>
      <w:pPr>
        <w:spacing w:after="0" w:line="178" w:lineRule="exact"/>
        <w:rPr>
          <w:rFonts w:ascii="Times New Roman" w:cs="Times New Roman" w:eastAsia="Times New Roman" w:hAnsi="Times New Roman"/>
          <w:sz w:val="19"/>
          <w:szCs w:val="19"/>
          <w:color w:val="010000"/>
        </w:rPr>
      </w:pPr>
    </w:p>
    <w:p>
      <w:pPr>
        <w:jc w:val="both"/>
        <w:ind w:firstLine="745"/>
        <w:spacing w:after="0" w:line="246" w:lineRule="auto"/>
        <w:tabs>
          <w:tab w:leader="none" w:pos="1154" w:val="left"/>
        </w:tabs>
        <w:numPr>
          <w:ilvl w:val="0"/>
          <w:numId w:val="7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Maintenance of Properties, Etc</w:t>
      </w:r>
      <w:r>
        <w:rPr>
          <w:rFonts w:ascii="Times New Roman" w:cs="Times New Roman" w:eastAsia="Times New Roman" w:hAnsi="Times New Roman"/>
          <w:sz w:val="19"/>
          <w:szCs w:val="19"/>
          <w:color w:val="auto"/>
        </w:rPr>
        <w:t>. Maintain and preserve, and cause each of its Restricted Subsidiaries to maintain and preserve, all of its properties that are used or useful in the conduct of its business in good working order and condition, ordinary wear and tear excepted and will from time to time make or cause to be made all appropriate repairs, renewals and replacement thereof except where failure to do any of the foregoing could not reasonably be expected to result in a Material Adverse Effect.</w:t>
      </w:r>
    </w:p>
    <w:p>
      <w:pPr>
        <w:spacing w:after="0" w:line="184" w:lineRule="exact"/>
        <w:rPr>
          <w:rFonts w:ascii="Times New Roman" w:cs="Times New Roman" w:eastAsia="Times New Roman" w:hAnsi="Times New Roman"/>
          <w:sz w:val="19"/>
          <w:szCs w:val="19"/>
          <w:color w:val="010000"/>
        </w:rPr>
      </w:pPr>
    </w:p>
    <w:p>
      <w:pPr>
        <w:jc w:val="both"/>
        <w:ind w:firstLine="745"/>
        <w:spacing w:after="0" w:line="234" w:lineRule="exact"/>
        <w:tabs>
          <w:tab w:leader="none" w:pos="1127" w:val="left"/>
        </w:tabs>
        <w:numPr>
          <w:ilvl w:val="0"/>
          <w:numId w:val="7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 Conduct, and cause each of its Restricted Subsidiaries to conduct, all transactions otherwise permitted under the Loan Documents with any of their Affiliates (other than transactions exclusively among or between the Borrower and/or one or more of the Guarantors) on terms that are fair and reasonable and no less favorable, when taken as a whole, to such Loan Party or such Subsidiary than it would obtain in a comparable arm’s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length transaction with a Person not an Affiliate.</w:t>
      </w:r>
    </w:p>
    <w:p>
      <w:pPr>
        <w:spacing w:after="0" w:line="157" w:lineRule="exact"/>
        <w:rPr>
          <w:rFonts w:ascii="Times New Roman" w:cs="Times New Roman" w:eastAsia="Times New Roman" w:hAnsi="Times New Roman"/>
          <w:sz w:val="19"/>
          <w:szCs w:val="19"/>
          <w:color w:val="010000"/>
        </w:rPr>
      </w:pPr>
    </w:p>
    <w:p>
      <w:pPr>
        <w:ind w:firstLine="745"/>
        <w:spacing w:after="0" w:line="265" w:lineRule="auto"/>
        <w:tabs>
          <w:tab w:leader="none" w:pos="1127" w:val="left"/>
        </w:tabs>
        <w:numPr>
          <w:ilvl w:val="0"/>
          <w:numId w:val="7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Addition and Removal of Unencumbered Assets; Additional Guarantors</w:t>
      </w:r>
      <w:r>
        <w:rPr>
          <w:rFonts w:ascii="Times New Roman" w:cs="Times New Roman" w:eastAsia="Times New Roman" w:hAnsi="Times New Roman"/>
          <w:sz w:val="19"/>
          <w:szCs w:val="19"/>
          <w:color w:val="auto"/>
        </w:rPr>
        <w:t>. In connection with the addition and removal of Unencumbered Assets, comply with the following provisions:</w:t>
      </w:r>
    </w:p>
    <w:p>
      <w:pPr>
        <w:spacing w:after="0" w:line="165" w:lineRule="exact"/>
        <w:rPr>
          <w:rFonts w:ascii="Times New Roman" w:cs="Times New Roman" w:eastAsia="Times New Roman" w:hAnsi="Times New Roman"/>
          <w:sz w:val="19"/>
          <w:szCs w:val="19"/>
          <w:color w:val="010000"/>
        </w:rPr>
      </w:pPr>
    </w:p>
    <w:p>
      <w:pPr>
        <w:jc w:val="both"/>
        <w:ind w:left="740" w:firstLine="754"/>
        <w:spacing w:after="0"/>
        <w:tabs>
          <w:tab w:leader="none" w:pos="1867" w:val="left"/>
        </w:tabs>
        <w:numPr>
          <w:ilvl w:val="1"/>
          <w:numId w:val="7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If the Borrower elects, in its sole discretion, to add an additional Asset as an Unencumbered Asset, the Borrower shall deliver (A) a certificate to the Administrative Agent, signed by a Responsible Officer of the Borrower, designating such additional Asset as an Unencumbered Asset and dated as of the date of such designation, stating that after giving effect to such designation, the Parent shall be in compliance with the covenants contained in Section 5.04, together with supporting information in form reasonably satisfactory to the Administrative Agent showing the computations used in determining compliance with such covenants and (B) an updated Schedule II listing each Unencumbered Asset as of the date such Asset is added as an Unencumbered Asset hereunder;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no Asset shall be included as an Unencumbered Asset unless such Asset satisfies the Unencumbered Asset Conditions or the Required Lenders have consented in writing to such inclusion.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482600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74" w:name="page75"/>
    <w:bookmarkEnd w:id="74"/>
    <w:p>
      <w:pPr>
        <w:jc w:val="both"/>
        <w:ind w:left="380" w:firstLine="754"/>
        <w:spacing w:after="0"/>
        <w:tabs>
          <w:tab w:leader="none" w:pos="1520" w:val="left"/>
        </w:tabs>
        <w:numPr>
          <w:ilvl w:val="0"/>
          <w:numId w:val="7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anything contained herein to the contrary, to the extent any Asset previously qualifying as an Unencumbered Asset ceases to meet the Unencumbered Asset Conditions (except to the extent such failure to meet the Unencumbered Asset Conditions has been consented to in writing by the Required Lenders), such Asset shall be immediately removed from all financial covenant related calculations contained herein. Any such Asset shall immediately cease to be an “Unencumbered Asset” hereunder and the Borrower shall deliver (A) a certificate to the Administrative Agent, signed by a Responsible Officer of the Borrower, removing such Asset as an Unencumbered Asset and dated as of the date of such designation, stating that after giving effect to such removal, the Parent shall be in compliance with the covenants contained in Section 5.04, together with supporting information in form satisfactory to the Administrative Agent showing the computations used in determining compliance with such covenants and (B) an updated Schedule II listing each Unencumbered Asset as of the date such Asset has been removed as an Unencumbered Asset hereunder.</w:t>
      </w:r>
    </w:p>
    <w:p>
      <w:pPr>
        <w:spacing w:after="0" w:line="191" w:lineRule="exact"/>
        <w:rPr>
          <w:rFonts w:ascii="Times New Roman" w:cs="Times New Roman" w:eastAsia="Times New Roman" w:hAnsi="Times New Roman"/>
          <w:sz w:val="19"/>
          <w:szCs w:val="19"/>
          <w:color w:val="010000"/>
        </w:rPr>
      </w:pPr>
    </w:p>
    <w:p>
      <w:pPr>
        <w:jc w:val="both"/>
        <w:ind w:left="380" w:firstLine="754"/>
        <w:spacing w:after="0" w:line="218" w:lineRule="exact"/>
        <w:tabs>
          <w:tab w:leader="none" w:pos="1534" w:val="left"/>
        </w:tabs>
        <w:numPr>
          <w:ilvl w:val="0"/>
          <w:numId w:val="7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may voluntarily designate, by giving written notice thereof to the Administrative Agent (such designation to be effective upon receipt by the Administrative Agent of such written notice), any Unencumbered Asset as a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Unencumbered Asset, including, without limitation, as permitted by Section 5.02(e)(ii), and the Borrower shall deliver (A) a certificate to the Administrative Agent, signed by a Responsible Officer of the Borrower, designating such Unencumbered Asset as a non-Unencumbered Asset, and dated as of the date of such designation, stating that after giving effect to such designation, the Parent shall be in compliance with the covenants contained in Section 5.04, together with supporting information in form reasonably satisfactory to the Administrative Agent showing the computations used in determining compliance with such covenants and (B) an updated Schedule II listing each Unencumbered Asset as of the date such Asset has been removed as an Unencumbered Asset hereunder;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the Borrower shall be deemed to have voluntarily designated any applicable Unencumbered Asset as a non-Unencumbered Asset hereunder upon (I) receipt by the Administrative Agent of an Early Release Request with respect to the Subsidiary Guarantor that owns such Unencumbered Asset in accordance with Section 9.14(b) or (II) receipt by the Administrative Agent of a Designation Notice with respect to the Subsidiary Guarantor that owns such Unencumbered Asset, designating or redesignating such Subsidiary Guarantor as an Unrestricted Subsidiary, in accordance with Section 5.01(n). Further, if after giving effect to the designation by the Borrower of any Unencumbered Asset as a non-Unencumbered Asset pursuant to this clause (iii), the Guarantor that directly owns or leases such Unencumbered Asset does not own or lease any other Unencumbered Asset, the Administrative Agent shall, upon the request of the Borrower and at the Borrower’s expense, promptly release such Guarantor from the Guaranty, so long as such release will not result in the Obligations of the Loan Parties under the Loan Documents to fail to be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with any Pari Passu Obligations of the Loan Parties.</w:t>
      </w:r>
    </w:p>
    <w:p>
      <w:pPr>
        <w:spacing w:after="0" w:line="199" w:lineRule="exact"/>
        <w:rPr>
          <w:rFonts w:ascii="Times New Roman" w:cs="Times New Roman" w:eastAsia="Times New Roman" w:hAnsi="Times New Roman"/>
          <w:sz w:val="19"/>
          <w:szCs w:val="19"/>
          <w:color w:val="010000"/>
        </w:rPr>
      </w:pPr>
    </w:p>
    <w:p>
      <w:pPr>
        <w:jc w:val="both"/>
        <w:ind w:left="380" w:firstLine="754"/>
        <w:spacing w:after="0"/>
        <w:tabs>
          <w:tab w:leader="none" w:pos="1507" w:val="left"/>
        </w:tabs>
        <w:numPr>
          <w:ilvl w:val="0"/>
          <w:numId w:val="7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Subject to Section 9.14 and as a condition to the addition of an Asset as an Unencumbered Asset hereunder, (x) concurrently with the delivery of a certificate adding an Unencumbered Asset directly owned or leased by a Subsidiary of a Loan Party pursuant to clause (i) above, or, (y) within ten days after the formation or acquisition of any new direct or indirect Subsidiary of a Loan Party that directly owns or leases an Unencumbered Asset, the Borrower shall cause each such Subsidiary to (A) duly execute and deliver to the Administrative Agent a Guaranty Supplement in substantially the form of Exhibit C hereto, or such other guaranty supplement in form and substance reasonably satisfactory to the Administrative Agent, guaranteeing the other Loan Parties’ Obligations under the Loan Documents and (B) deliver to the Administrative Agent supplements to Schedules 4.01(b) or 4.01(p) (or the factual information needed to update such Schedules) solely to the extent necessary due to any changes in factual matters specifically related to the addition of such</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482600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75" w:name="page76"/>
    <w:bookmarkEnd w:id="75"/>
    <w:p>
      <w:pPr>
        <w:ind w:left="380" w:right="20"/>
        <w:spacing w:after="0" w:line="265" w:lineRule="auto"/>
        <w:rPr>
          <w:sz w:val="20"/>
          <w:szCs w:val="20"/>
          <w:color w:val="auto"/>
        </w:rPr>
      </w:pPr>
      <w:r>
        <w:rPr>
          <w:rFonts w:ascii="Times New Roman" w:cs="Times New Roman" w:eastAsia="Times New Roman" w:hAnsi="Times New Roman"/>
          <w:sz w:val="19"/>
          <w:szCs w:val="19"/>
          <w:color w:val="auto"/>
        </w:rPr>
        <w:t>Subsidiary or Subsidiaries as a Subsidiary Guarantor or the addition of such Asset (so long as such changes in factual matters shall in no event comprise a Default or an Event of Default).</w:t>
      </w:r>
    </w:p>
    <w:p>
      <w:pPr>
        <w:spacing w:after="0" w:line="166" w:lineRule="exact"/>
        <w:rPr>
          <w:sz w:val="20"/>
          <w:szCs w:val="20"/>
          <w:color w:val="auto"/>
        </w:rPr>
      </w:pPr>
    </w:p>
    <w:p>
      <w:pPr>
        <w:jc w:val="both"/>
        <w:ind w:left="380" w:firstLine="754"/>
        <w:spacing w:after="0" w:line="244" w:lineRule="auto"/>
        <w:tabs>
          <w:tab w:leader="none" w:pos="1507" w:val="left"/>
        </w:tabs>
        <w:numPr>
          <w:ilvl w:val="1"/>
          <w:numId w:val="7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Subsidiary of the Parent that becomes a guarantor or borrower in respect of any of the Obligations under a Senior Financing Transaction shall be required to become a Guarantor hereunder and shall promptly execute and deliver to the Administrative Agent a Guaranty Supplement in substantially the form of Exhibit C hereto, or such other guaranty supplement in form and substance reasonably satisfactory to the Administrative Agent, guaranteeing the other Loan Parties’ Obligations under the Loan Documents.</w:t>
      </w:r>
    </w:p>
    <w:p>
      <w:pPr>
        <w:spacing w:after="0" w:line="185" w:lineRule="exact"/>
        <w:rPr>
          <w:rFonts w:ascii="Times New Roman" w:cs="Times New Roman" w:eastAsia="Times New Roman" w:hAnsi="Times New Roman"/>
          <w:sz w:val="19"/>
          <w:szCs w:val="19"/>
          <w:color w:val="010000"/>
        </w:rPr>
      </w:pPr>
    </w:p>
    <w:p>
      <w:pPr>
        <w:ind w:left="760" w:hanging="375"/>
        <w:spacing w:after="0"/>
        <w:tabs>
          <w:tab w:leader="none" w:pos="760" w:val="left"/>
        </w:tabs>
        <w:numPr>
          <w:ilvl w:val="0"/>
          <w:numId w:val="8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010000"/>
        </w:rPr>
      </w:pPr>
    </w:p>
    <w:p>
      <w:pPr>
        <w:jc w:val="both"/>
        <w:ind w:left="-360" w:firstLine="1494"/>
        <w:spacing w:after="0" w:line="251" w:lineRule="auto"/>
        <w:tabs>
          <w:tab w:leader="none" w:pos="1529" w:val="left"/>
        </w:tabs>
        <w:numPr>
          <w:ilvl w:val="1"/>
          <w:numId w:val="8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Promptly upon request by the Administrative Agent, or any Lender through the Administrative Agent, correct, and cause each Loan Party to promptly correct, any material defect or error that may be discovered in any Loan Document or in the execution, acknowledgment, filing or recordation thereof.</w:t>
      </w:r>
    </w:p>
    <w:p>
      <w:pPr>
        <w:spacing w:after="0" w:line="178" w:lineRule="exact"/>
        <w:rPr>
          <w:rFonts w:ascii="Times New Roman" w:cs="Times New Roman" w:eastAsia="Times New Roman" w:hAnsi="Times New Roman"/>
          <w:sz w:val="19"/>
          <w:szCs w:val="19"/>
          <w:color w:val="010000"/>
        </w:rPr>
      </w:pPr>
    </w:p>
    <w:p>
      <w:pPr>
        <w:jc w:val="both"/>
        <w:ind w:left="-360" w:firstLine="1494"/>
        <w:spacing w:after="0" w:line="222" w:lineRule="exact"/>
        <w:tabs>
          <w:tab w:leader="none" w:pos="1542" w:val="left"/>
        </w:tabs>
        <w:numPr>
          <w:ilvl w:val="1"/>
          <w:numId w:val="8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Promptly upon request by the Administrative Agent, or any Lender through the Administrative Agent, do, execute, acknowledge, deliver, record, re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record, file, re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file, register and re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register any and all such further acts, termination statements, notices of assignment, transfers, certificates, assurances and other instruments as the Administrative Agent, or any Lender through the Administrative Agent, may reasonably require from time to time in order (A) to carry out more effectively the purposes of the Loan Documents, (B) to maintain the validity and effectiveness of any of the Loan Documents and (C) to assure, convey, grant, assign, transfer, preserve, protect and confirm more effectively unto the Lenders the rights granted or now or hereafter intended to be granted to the Lenders under any Loan Document or under any other instrument executed in connection with any Loan Document to which any Loan Party or any of its Restricted Subsidiaries is or is to be a party, and cause each of its Restricted Subsidiaries to do so.</w:t>
      </w:r>
    </w:p>
    <w:p>
      <w:pPr>
        <w:spacing w:after="0" w:line="187" w:lineRule="exact"/>
        <w:rPr>
          <w:rFonts w:ascii="Times New Roman" w:cs="Times New Roman" w:eastAsia="Times New Roman" w:hAnsi="Times New Roman"/>
          <w:sz w:val="19"/>
          <w:szCs w:val="19"/>
          <w:color w:val="010000"/>
        </w:rPr>
      </w:pPr>
    </w:p>
    <w:p>
      <w:pPr>
        <w:jc w:val="both"/>
        <w:ind w:left="-360" w:firstLine="745"/>
        <w:spacing w:after="0" w:line="242" w:lineRule="auto"/>
        <w:tabs>
          <w:tab w:leader="none" w:pos="780" w:val="left"/>
        </w:tabs>
        <w:numPr>
          <w:ilvl w:val="0"/>
          <w:numId w:val="8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Performance of Material Contracts</w:t>
      </w:r>
      <w:r>
        <w:rPr>
          <w:rFonts w:ascii="Times New Roman" w:cs="Times New Roman" w:eastAsia="Times New Roman" w:hAnsi="Times New Roman"/>
          <w:sz w:val="19"/>
          <w:szCs w:val="19"/>
          <w:color w:val="auto"/>
        </w:rPr>
        <w:t>. Perform and observe, and cause each of its Restricted Subsidiaries to perform and observe, in all material respects, all the terms and provisions of each Material Contract to be performed or observed by it, maintain each such Material Contract in full force and effect, enforce each such Material Contract in accordance with its terms, take all such action to such end as may be from time to time requested by the Administrative Agent, and, upon request of the Administrative Agent, make to each other party to each such Material Contract such demands and requests for information and reports or for action as any Loan Party or any of its Restricted Subsidiaries is entitled to make under such Material Contract, and cause each of its Subsidiaries to do so, except to the extent the failure to do so could not reasonably be expected to have a Material Adverse Effect.</w:t>
      </w:r>
    </w:p>
    <w:p>
      <w:pPr>
        <w:spacing w:after="0" w:line="185" w:lineRule="exact"/>
        <w:rPr>
          <w:rFonts w:ascii="Times New Roman" w:cs="Times New Roman" w:eastAsia="Times New Roman" w:hAnsi="Times New Roman"/>
          <w:sz w:val="19"/>
          <w:szCs w:val="19"/>
          <w:color w:val="010000"/>
        </w:rPr>
      </w:pPr>
    </w:p>
    <w:p>
      <w:pPr>
        <w:jc w:val="both"/>
        <w:ind w:left="-360" w:firstLine="745"/>
        <w:spacing w:after="0" w:line="244" w:lineRule="auto"/>
        <w:tabs>
          <w:tab w:leader="none" w:pos="767" w:val="left"/>
        </w:tabs>
        <w:numPr>
          <w:ilvl w:val="0"/>
          <w:numId w:val="8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Compliance with Leases</w:t>
      </w:r>
      <w:r>
        <w:rPr>
          <w:rFonts w:ascii="Times New Roman" w:cs="Times New Roman" w:eastAsia="Times New Roman" w:hAnsi="Times New Roman"/>
          <w:sz w:val="19"/>
          <w:szCs w:val="19"/>
          <w:color w:val="auto"/>
        </w:rPr>
        <w:t>. Make all payments and otherwise perform all obligations in respect of all leases of real property to which the Borrower or any of its Restricted Subsidiaries is a party, keep such leases in full force and effect and not allow such leases to lapse or be terminated or any rights to renew such leases to be forfeited or cancelled (except if such failure to maintain such lease in full force and effect or prevent such lapse, termination, forfeiture or cancellation is not in respect of a Qualified Ground Lease of an Unencumbered Asset and could not otherwise reasonably be expected to result in a Material Adverse Effect).</w:t>
      </w:r>
    </w:p>
    <w:p>
      <w:pPr>
        <w:spacing w:after="0" w:line="185" w:lineRule="exact"/>
        <w:rPr>
          <w:rFonts w:ascii="Times New Roman" w:cs="Times New Roman" w:eastAsia="Times New Roman" w:hAnsi="Times New Roman"/>
          <w:sz w:val="19"/>
          <w:szCs w:val="19"/>
          <w:color w:val="010000"/>
        </w:rPr>
      </w:pPr>
    </w:p>
    <w:p>
      <w:pPr>
        <w:jc w:val="both"/>
        <w:ind w:left="-360" w:firstLine="745"/>
        <w:spacing w:after="0" w:line="244" w:lineRule="auto"/>
        <w:tabs>
          <w:tab w:leader="none" w:pos="767" w:val="left"/>
        </w:tabs>
        <w:numPr>
          <w:ilvl w:val="0"/>
          <w:numId w:val="8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Designation and Redesignation of Subsidiaries</w:t>
      </w:r>
      <w:r>
        <w:rPr>
          <w:rFonts w:ascii="Times New Roman" w:cs="Times New Roman" w:eastAsia="Times New Roman" w:hAnsi="Times New Roman"/>
          <w:sz w:val="19"/>
          <w:szCs w:val="19"/>
          <w:color w:val="auto"/>
        </w:rPr>
        <w:t>. So long as no Default or Event of Default exists or would result from such designation or redesignation, the Borrower may, at any time upon written notice to the Administrative Agent (a “</w:t>
      </w:r>
      <w:r>
        <w:rPr>
          <w:rFonts w:ascii="Times New Roman" w:cs="Times New Roman" w:eastAsia="Times New Roman" w:hAnsi="Times New Roman"/>
          <w:sz w:val="19"/>
          <w:szCs w:val="19"/>
          <w:b w:val="1"/>
          <w:bCs w:val="1"/>
          <w:i w:val="1"/>
          <w:iCs w:val="1"/>
          <w:color w:val="auto"/>
        </w:rPr>
        <w:t>Designation Notice</w:t>
      </w:r>
      <w:r>
        <w:rPr>
          <w:rFonts w:ascii="Times New Roman" w:cs="Times New Roman" w:eastAsia="Times New Roman" w:hAnsi="Times New Roman"/>
          <w:sz w:val="19"/>
          <w:szCs w:val="19"/>
          <w:color w:val="auto"/>
        </w:rPr>
        <w:t>”), (i) designate or redesignate any Restricted Subsidiary as an Unrestricted Subsidiary, (ii) designate or redesignate any Unrestricted Subsidiary as a Restricted Subsidiary or (iii) designate any newly created or acquired Subsidiary as an Unrestricted Subsidiary (and in the absence of such designation, such Subsidiary will be a Restricted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482600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76" w:name="page77"/>
    <w:bookmarkEnd w:id="76"/>
    <w:p>
      <w:pPr>
        <w:jc w:val="both"/>
        <w:ind w:left="760"/>
        <w:spacing w:after="0" w:line="244" w:lineRule="auto"/>
        <w:rPr>
          <w:sz w:val="20"/>
          <w:szCs w:val="20"/>
          <w:color w:val="auto"/>
        </w:rPr>
      </w:pPr>
      <w:r>
        <w:rPr>
          <w:rFonts w:ascii="Times New Roman" w:cs="Times New Roman" w:eastAsia="Times New Roman" w:hAnsi="Times New Roman"/>
          <w:sz w:val="19"/>
          <w:szCs w:val="19"/>
          <w:color w:val="auto"/>
        </w:rPr>
        <w:t>Subsidiary). Together with any Designation Notice designating or redesignating a Restricted Subsidiary as an Unrestricted Subsidiary, the Borrower will deliver a certificate to the Administrative Agent, signed by a Responsible Officer of the Borrower, dated as of the date of such designation or redesignation, stating that after giving effect to the applicable designation or redesignation, the Parent shall be in compliance with the covenants contained in Section 5.04. As of the Effective Date, Schedule 4.01(b) lists all Subsidiaries of the Parent and categorizes them as Restricted or Unrestricted.</w:t>
      </w:r>
    </w:p>
    <w:p>
      <w:pPr>
        <w:spacing w:after="0" w:line="185" w:lineRule="exact"/>
        <w:rPr>
          <w:sz w:val="20"/>
          <w:szCs w:val="20"/>
          <w:color w:val="auto"/>
        </w:rPr>
      </w:pPr>
    </w:p>
    <w:p>
      <w:pPr>
        <w:ind w:left="760" w:firstLine="745"/>
        <w:spacing w:after="0" w:line="265" w:lineRule="auto"/>
        <w:tabs>
          <w:tab w:leader="none" w:pos="1887" w:val="left"/>
        </w:tabs>
        <w:numPr>
          <w:ilvl w:val="0"/>
          <w:numId w:val="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Maintenance of REIT Status</w:t>
      </w:r>
      <w:r>
        <w:rPr>
          <w:rFonts w:ascii="Times New Roman" w:cs="Times New Roman" w:eastAsia="Times New Roman" w:hAnsi="Times New Roman"/>
          <w:sz w:val="19"/>
          <w:szCs w:val="19"/>
          <w:color w:val="auto"/>
        </w:rPr>
        <w:t>. In the case of the Parent, at all times, conduct its affairs and the affairs of its Subsidiaries in a manner so as to continue to qualify as a REIT and elect to be treated as a REIT under all applicable laws, rules and regulations.</w:t>
      </w:r>
    </w:p>
    <w:p>
      <w:pPr>
        <w:spacing w:after="0" w:line="165" w:lineRule="exact"/>
        <w:rPr>
          <w:rFonts w:ascii="Times New Roman" w:cs="Times New Roman" w:eastAsia="Times New Roman" w:hAnsi="Times New Roman"/>
          <w:sz w:val="19"/>
          <w:szCs w:val="19"/>
          <w:color w:val="010000"/>
        </w:rPr>
      </w:pPr>
    </w:p>
    <w:p>
      <w:pPr>
        <w:ind w:left="760" w:firstLine="745"/>
        <w:spacing w:after="0" w:line="265" w:lineRule="auto"/>
        <w:tabs>
          <w:tab w:leader="none" w:pos="1900" w:val="left"/>
        </w:tabs>
        <w:numPr>
          <w:ilvl w:val="0"/>
          <w:numId w:val="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Exchange Listing</w:t>
      </w:r>
      <w:r>
        <w:rPr>
          <w:rFonts w:ascii="Times New Roman" w:cs="Times New Roman" w:eastAsia="Times New Roman" w:hAnsi="Times New Roman"/>
          <w:sz w:val="19"/>
          <w:szCs w:val="19"/>
          <w:color w:val="auto"/>
        </w:rPr>
        <w:t>. In the case of the Parent, at all times (i) cause its common shares to be duly listed on the New York Stock Exchange, NYSE American or NASDAQ and (ii) timely file all reports required to be filed by it in connection therewith.</w:t>
      </w:r>
    </w:p>
    <w:p>
      <w:pPr>
        <w:spacing w:after="0" w:line="136" w:lineRule="exact"/>
        <w:rPr>
          <w:rFonts w:ascii="Times New Roman" w:cs="Times New Roman" w:eastAsia="Times New Roman" w:hAnsi="Times New Roman"/>
          <w:sz w:val="19"/>
          <w:szCs w:val="19"/>
          <w:color w:val="010000"/>
        </w:rPr>
      </w:pPr>
    </w:p>
    <w:p>
      <w:pPr>
        <w:ind w:left="760" w:firstLine="745"/>
        <w:spacing w:after="0" w:line="274" w:lineRule="exact"/>
        <w:tabs>
          <w:tab w:leader="none" w:pos="1927" w:val="left"/>
        </w:tabs>
        <w:numPr>
          <w:ilvl w:val="0"/>
          <w:numId w:val="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Sarbanes</w:t>
      </w:r>
      <w:r>
        <w:rPr>
          <w:rFonts w:ascii="MS PGothic" w:cs="MS PGothic" w:eastAsia="MS PGothic" w:hAnsi="MS PGothic"/>
          <w:sz w:val="19"/>
          <w:szCs w:val="19"/>
          <w:u w:val="single" w:color="auto"/>
          <w:color w:val="auto"/>
        </w:rPr>
        <w:t>‑</w:t>
      </w:r>
      <w:r>
        <w:rPr>
          <w:rFonts w:ascii="Times New Roman" w:cs="Times New Roman" w:eastAsia="Times New Roman" w:hAnsi="Times New Roman"/>
          <w:sz w:val="19"/>
          <w:szCs w:val="19"/>
          <w:u w:val="single" w:color="auto"/>
          <w:color w:val="auto"/>
        </w:rPr>
        <w:t>Oxley</w:t>
      </w:r>
      <w:r>
        <w:rPr>
          <w:rFonts w:ascii="Times New Roman" w:cs="Times New Roman" w:eastAsia="Times New Roman" w:hAnsi="Times New Roman"/>
          <w:sz w:val="19"/>
          <w:szCs w:val="19"/>
          <w:color w:val="auto"/>
        </w:rPr>
        <w:t>. Comply at all times in all material respects with all applicable provisions of Section 402(a) of Sarbanes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Oxley, except where the failure to do so could not reasonably be expected to have a Material Adverse Effect.</w:t>
      </w:r>
    </w:p>
    <w:p>
      <w:pPr>
        <w:spacing w:after="0" w:line="158" w:lineRule="exact"/>
        <w:rPr>
          <w:rFonts w:ascii="Times New Roman" w:cs="Times New Roman" w:eastAsia="Times New Roman" w:hAnsi="Times New Roman"/>
          <w:sz w:val="19"/>
          <w:szCs w:val="19"/>
          <w:color w:val="010000"/>
        </w:rPr>
      </w:pPr>
    </w:p>
    <w:p>
      <w:pPr>
        <w:ind w:left="760" w:firstLine="745"/>
        <w:spacing w:after="0" w:line="252" w:lineRule="exact"/>
        <w:tabs>
          <w:tab w:leader="none" w:pos="1900" w:val="left"/>
        </w:tabs>
        <w:numPr>
          <w:ilvl w:val="0"/>
          <w:numId w:val="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OFAC</w:t>
      </w:r>
      <w:r>
        <w:rPr>
          <w:rFonts w:ascii="Times New Roman" w:cs="Times New Roman" w:eastAsia="Times New Roman" w:hAnsi="Times New Roman"/>
          <w:sz w:val="19"/>
          <w:szCs w:val="19"/>
          <w:color w:val="auto"/>
        </w:rPr>
        <w:t>. Provide to the Administrative Agent and the Lenders any information that the Administrative Agent or Lender deems reasonably necessary from time to time in order to ensure compliance with all applicable Sanctions and Anti</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Corruption Laws.</w:t>
      </w:r>
    </w:p>
    <w:p>
      <w:pPr>
        <w:spacing w:after="0" w:line="159" w:lineRule="exact"/>
        <w:rPr>
          <w:sz w:val="20"/>
          <w:szCs w:val="20"/>
          <w:color w:val="auto"/>
        </w:rPr>
      </w:pPr>
    </w:p>
    <w:p>
      <w:pPr>
        <w:ind w:firstLine="1497"/>
        <w:spacing w:after="0" w:line="265" w:lineRule="auto"/>
        <w:rPr>
          <w:sz w:val="20"/>
          <w:szCs w:val="20"/>
          <w:color w:val="auto"/>
        </w:rPr>
      </w:pPr>
      <w:r>
        <w:rPr>
          <w:rFonts w:ascii="Times New Roman" w:cs="Times New Roman" w:eastAsia="Times New Roman" w:hAnsi="Times New Roman"/>
          <w:sz w:val="19"/>
          <w:szCs w:val="19"/>
          <w:color w:val="010000"/>
        </w:rPr>
        <w:t xml:space="preserve">Section 5.02 </w:t>
      </w:r>
      <w:r>
        <w:rPr>
          <w:rFonts w:ascii="Times New Roman" w:cs="Times New Roman" w:eastAsia="Times New Roman" w:hAnsi="Times New Roman"/>
          <w:sz w:val="19"/>
          <w:szCs w:val="19"/>
          <w:u w:val="single" w:color="auto"/>
          <w:color w:val="000000"/>
        </w:rPr>
        <w:t>Negative Covenants</w:t>
      </w:r>
      <w:r>
        <w:rPr>
          <w:rFonts w:ascii="Times New Roman" w:cs="Times New Roman" w:eastAsia="Times New Roman" w:hAnsi="Times New Roman"/>
          <w:sz w:val="19"/>
          <w:szCs w:val="19"/>
          <w:color w:val="000000"/>
        </w:rPr>
        <w:t>. So long as any Advance or any other Obligation of any Loan Party under any Loan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Document shall remain unpaid or any Lender shall have any Commitment hereunder, no Loan Party will, at any time:</w:t>
      </w:r>
    </w:p>
    <w:p>
      <w:pPr>
        <w:spacing w:after="0" w:line="166" w:lineRule="exact"/>
        <w:rPr>
          <w:sz w:val="20"/>
          <w:szCs w:val="20"/>
          <w:color w:val="auto"/>
        </w:rPr>
      </w:pPr>
    </w:p>
    <w:p>
      <w:pPr>
        <w:jc w:val="both"/>
        <w:ind w:left="760" w:firstLine="745"/>
        <w:spacing w:after="0" w:line="251" w:lineRule="auto"/>
        <w:tabs>
          <w:tab w:leader="none" w:pos="1887" w:val="left"/>
        </w:tabs>
        <w:numPr>
          <w:ilvl w:val="0"/>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Liens, Etc</w:t>
      </w:r>
      <w:r>
        <w:rPr>
          <w:rFonts w:ascii="Times New Roman" w:cs="Times New Roman" w:eastAsia="Times New Roman" w:hAnsi="Times New Roman"/>
          <w:sz w:val="19"/>
          <w:szCs w:val="19"/>
          <w:color w:val="auto"/>
        </w:rPr>
        <w:t>. Create, incur, assume or suffer to exist, or permit any of its Restricted Subsidiaries to create, incur, assume or suffer to exist, any Lien on or with respect to any of its assets of any character (including, without limitation, accounts) whether now owned or hereafter acquired, except, in the case of the Loan Parties (other than the Parent) and their respective Restricted Subsidiaries:</w:t>
      </w:r>
    </w:p>
    <w:p>
      <w:pPr>
        <w:spacing w:after="0" w:line="178" w:lineRule="exact"/>
        <w:rPr>
          <w:rFonts w:ascii="Times New Roman" w:cs="Times New Roman" w:eastAsia="Times New Roman" w:hAnsi="Times New Roman"/>
          <w:sz w:val="19"/>
          <w:szCs w:val="19"/>
          <w:color w:val="010000"/>
        </w:rPr>
      </w:pPr>
    </w:p>
    <w:p>
      <w:pPr>
        <w:ind w:left="2640" w:hanging="386"/>
        <w:spacing w:after="0"/>
        <w:tabs>
          <w:tab w:leader="none" w:pos="2640" w:val="left"/>
        </w:tabs>
        <w:numPr>
          <w:ilvl w:val="1"/>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Liens created under the Loan Documents;</w:t>
      </w:r>
    </w:p>
    <w:p>
      <w:pPr>
        <w:spacing w:after="0" w:line="213" w:lineRule="exact"/>
        <w:rPr>
          <w:rFonts w:ascii="Times New Roman" w:cs="Times New Roman" w:eastAsia="Times New Roman" w:hAnsi="Times New Roman"/>
          <w:sz w:val="19"/>
          <w:szCs w:val="19"/>
          <w:color w:val="010000"/>
        </w:rPr>
      </w:pPr>
    </w:p>
    <w:p>
      <w:pPr>
        <w:ind w:left="2640" w:hanging="386"/>
        <w:spacing w:after="0"/>
        <w:tabs>
          <w:tab w:leader="none" w:pos="2640" w:val="left"/>
        </w:tabs>
        <w:numPr>
          <w:ilvl w:val="1"/>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Permitted Liens;</w:t>
      </w:r>
    </w:p>
    <w:p>
      <w:pPr>
        <w:spacing w:after="0" w:line="213" w:lineRule="exact"/>
        <w:rPr>
          <w:rFonts w:ascii="Times New Roman" w:cs="Times New Roman" w:eastAsia="Times New Roman" w:hAnsi="Times New Roman"/>
          <w:sz w:val="19"/>
          <w:szCs w:val="19"/>
          <w:color w:val="010000"/>
        </w:rPr>
      </w:pPr>
    </w:p>
    <w:p>
      <w:pPr>
        <w:ind w:left="2640" w:hanging="386"/>
        <w:spacing w:after="0"/>
        <w:tabs>
          <w:tab w:leader="none" w:pos="2640" w:val="left"/>
        </w:tabs>
        <w:numPr>
          <w:ilvl w:val="1"/>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Liens described on Schedule 4.01(o) hereto;</w:t>
      </w:r>
    </w:p>
    <w:p>
      <w:pPr>
        <w:spacing w:after="0" w:line="213" w:lineRule="exact"/>
        <w:rPr>
          <w:rFonts w:ascii="Times New Roman" w:cs="Times New Roman" w:eastAsia="Times New Roman" w:hAnsi="Times New Roman"/>
          <w:sz w:val="19"/>
          <w:szCs w:val="19"/>
          <w:color w:val="010000"/>
        </w:rPr>
      </w:pPr>
    </w:p>
    <w:p>
      <w:pPr>
        <w:jc w:val="both"/>
        <w:ind w:left="1500" w:firstLine="754"/>
        <w:spacing w:after="0" w:line="244" w:lineRule="auto"/>
        <w:tabs>
          <w:tab w:leader="none" w:pos="2654" w:val="left"/>
        </w:tabs>
        <w:numPr>
          <w:ilvl w:val="1"/>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purchase money Liens upon or in equipment acquired or held by such Loan Party or any of its Restricted Subsidiaries in the ordinary course of business to secure the purchase price of such equipment or to secure Debt incurred solely for the purpose of financing the acquisition of any such equipment to be subject to such Liens, or Liens existing on any such equipment at the time of acquisition, or extensions, renewals or replacements of any of the foregoing for the same or a lesser amount;</w:t>
      </w:r>
    </w:p>
    <w:p>
      <w:pPr>
        <w:spacing w:after="0" w:line="185" w:lineRule="exact"/>
        <w:rPr>
          <w:rFonts w:ascii="Times New Roman" w:cs="Times New Roman" w:eastAsia="Times New Roman" w:hAnsi="Times New Roman"/>
          <w:sz w:val="19"/>
          <w:szCs w:val="19"/>
          <w:color w:val="010000"/>
        </w:rPr>
      </w:pPr>
    </w:p>
    <w:p>
      <w:pPr>
        <w:ind w:left="2640" w:hanging="386"/>
        <w:spacing w:after="0"/>
        <w:tabs>
          <w:tab w:leader="none" w:pos="2640" w:val="left"/>
        </w:tabs>
        <w:numPr>
          <w:ilvl w:val="1"/>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Liens arising in connection with Capitalized Leases permitted under Section 5.02(b);</w:t>
      </w:r>
    </w:p>
    <w:p>
      <w:pPr>
        <w:spacing w:after="0" w:line="213" w:lineRule="exact"/>
        <w:rPr>
          <w:rFonts w:ascii="Times New Roman" w:cs="Times New Roman" w:eastAsia="Times New Roman" w:hAnsi="Times New Roman"/>
          <w:sz w:val="19"/>
          <w:szCs w:val="19"/>
          <w:color w:val="010000"/>
        </w:rPr>
      </w:pPr>
    </w:p>
    <w:p>
      <w:pPr>
        <w:ind w:left="1500" w:firstLine="754"/>
        <w:spacing w:after="0" w:line="265" w:lineRule="auto"/>
        <w:tabs>
          <w:tab w:leader="none" w:pos="2627" w:val="left"/>
        </w:tabs>
        <w:numPr>
          <w:ilvl w:val="1"/>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Liens on property of a Person existing at the time such Person is acquired by, merged into or consolidated with any Loan Party or any Restricted Subsidiary of any Loan Party or becomes a Restricted Subsidiary of any Loan Party;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7" w:name="page78"/>
    <w:bookmarkEnd w:id="77"/>
    <w:p>
      <w:pPr>
        <w:jc w:val="both"/>
        <w:ind w:left="380" w:firstLine="754"/>
        <w:spacing w:after="0" w:line="240" w:lineRule="exact"/>
        <w:tabs>
          <w:tab w:leader="none" w:pos="1507" w:val="left"/>
        </w:tabs>
        <w:numPr>
          <w:ilvl w:val="1"/>
          <w:numId w:val="8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Liens securing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Recourse Debt permitted under Section 5.02(b) and Recourse Debt permitted under Section 5.02(b),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such Lien shall extend to or cover any Unencumbered Asset that is owned by a Necessary Borrower Party;</w:t>
      </w:r>
    </w:p>
    <w:p>
      <w:pPr>
        <w:spacing w:after="0" w:line="188" w:lineRule="exact"/>
        <w:rPr>
          <w:rFonts w:ascii="Times New Roman" w:cs="Times New Roman" w:eastAsia="Times New Roman" w:hAnsi="Times New Roman"/>
          <w:sz w:val="19"/>
          <w:szCs w:val="19"/>
          <w:color w:val="010000"/>
        </w:rPr>
      </w:pPr>
    </w:p>
    <w:p>
      <w:pPr>
        <w:ind w:left="380" w:firstLine="754"/>
        <w:spacing w:after="0" w:line="265" w:lineRule="auto"/>
        <w:tabs>
          <w:tab w:leader="none" w:pos="1912" w:val="left"/>
        </w:tabs>
        <w:numPr>
          <w:ilvl w:val="1"/>
          <w:numId w:val="8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replacement, extension or renewal of any Lien permitted by clause (iii) above upon or in the same property theretofore subject thereto in connection with any Refinancing Debt permitted under Section 5.02(b); and</w:t>
      </w:r>
    </w:p>
    <w:p>
      <w:pPr>
        <w:spacing w:after="0" w:line="165" w:lineRule="exact"/>
        <w:rPr>
          <w:rFonts w:ascii="Times New Roman" w:cs="Times New Roman" w:eastAsia="Times New Roman" w:hAnsi="Times New Roman"/>
          <w:sz w:val="19"/>
          <w:szCs w:val="19"/>
          <w:color w:val="010000"/>
        </w:rPr>
      </w:pPr>
    </w:p>
    <w:p>
      <w:pPr>
        <w:ind w:left="380" w:firstLine="754"/>
        <w:spacing w:after="0" w:line="265" w:lineRule="auto"/>
        <w:tabs>
          <w:tab w:leader="none" w:pos="1547" w:val="left"/>
        </w:tabs>
        <w:numPr>
          <w:ilvl w:val="1"/>
          <w:numId w:val="8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Liens, other than Liens described in subsections (i) through (viii) above, arising in connection with Debt permitted hereunder to the extent such Liens will not result in a Default or Event of Default.</w:t>
      </w:r>
    </w:p>
    <w:p>
      <w:pPr>
        <w:spacing w:after="0" w:line="165" w:lineRule="exact"/>
        <w:rPr>
          <w:rFonts w:ascii="Times New Roman" w:cs="Times New Roman" w:eastAsia="Times New Roman" w:hAnsi="Times New Roman"/>
          <w:sz w:val="19"/>
          <w:szCs w:val="19"/>
          <w:color w:val="010000"/>
        </w:rPr>
      </w:pPr>
    </w:p>
    <w:p>
      <w:pPr>
        <w:jc w:val="both"/>
        <w:ind w:left="-360" w:firstLine="745"/>
        <w:spacing w:after="0"/>
        <w:tabs>
          <w:tab w:leader="none" w:pos="767" w:val="left"/>
        </w:tabs>
        <w:numPr>
          <w:ilvl w:val="0"/>
          <w:numId w:val="8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Debt</w:t>
      </w:r>
      <w:r>
        <w:rPr>
          <w:rFonts w:ascii="Times New Roman" w:cs="Times New Roman" w:eastAsia="Times New Roman" w:hAnsi="Times New Roman"/>
          <w:sz w:val="19"/>
          <w:szCs w:val="19"/>
          <w:color w:val="auto"/>
        </w:rPr>
        <w:t xml:space="preserve">. Create, incur, assume or suffer to exist, or permit any of its Restricted Subsidiaries to create, incur, assume or suffer to exist, any Debt (other than Debt exclusively among the Loan Parties and their respective Subsidiaries), unless (i) no Event of Default has occurred and is continuing immediately before and immediately after the incurrence of such Debt and (ii) immediately after giving effect to the incurrence of such Debt, the Borrower will be in compliance,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with the provisions of Section 5.04;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however</w:t>
      </w:r>
      <w:r>
        <w:rPr>
          <w:rFonts w:ascii="Times New Roman" w:cs="Times New Roman" w:eastAsia="Times New Roman" w:hAnsi="Times New Roman"/>
          <w:sz w:val="19"/>
          <w:szCs w:val="19"/>
          <w:color w:val="auto"/>
        </w:rPr>
        <w:t>, that notwithstanding the foregoing, (A) in no event shall any owner of an Unencumbered Asset be a borrower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guarantor of, or otherwise obligated in respect of, any Recourse Debt unless it is a Guarantor hereunder and (B) in no event shall any Loan Party or any Restricted Subsidiary be a borrower or guarantor of, or otherwise obligated in respect of, any Debt (disregarding for this purpose clause (ii) of the second proviso in the definition thereof) of any Unrestricted Subsidiary except for Customary Carveout Agreements.</w:t>
      </w:r>
    </w:p>
    <w:p>
      <w:pPr>
        <w:spacing w:after="0" w:line="193" w:lineRule="exact"/>
        <w:rPr>
          <w:rFonts w:ascii="Times New Roman" w:cs="Times New Roman" w:eastAsia="Times New Roman" w:hAnsi="Times New Roman"/>
          <w:sz w:val="19"/>
          <w:szCs w:val="19"/>
          <w:color w:val="010000"/>
        </w:rPr>
      </w:pPr>
    </w:p>
    <w:p>
      <w:pPr>
        <w:jc w:val="both"/>
        <w:ind w:left="-360" w:firstLine="745"/>
        <w:spacing w:after="0" w:line="246" w:lineRule="auto"/>
        <w:tabs>
          <w:tab w:leader="none" w:pos="780" w:val="left"/>
        </w:tabs>
        <w:numPr>
          <w:ilvl w:val="0"/>
          <w:numId w:val="8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Change in Nature of Business</w:t>
      </w:r>
      <w:r>
        <w:rPr>
          <w:rFonts w:ascii="Times New Roman" w:cs="Times New Roman" w:eastAsia="Times New Roman" w:hAnsi="Times New Roman"/>
          <w:sz w:val="19"/>
          <w:szCs w:val="19"/>
          <w:color w:val="auto"/>
        </w:rPr>
        <w:t>. Make, or permit any of its Restricted Subsidiaries to make, any material change in the nature of its business as carried at the Closing Date; or engage in, or permit any of its Restricted Subsidiaries to engage in, any material line of business substantially different from those lines of business conducted by the Parent and its Subsidiaries on the Closing Date or any business activities substantially related or incidental thereto.</w:t>
      </w:r>
    </w:p>
    <w:p>
      <w:pPr>
        <w:spacing w:after="0" w:line="184" w:lineRule="exact"/>
        <w:rPr>
          <w:rFonts w:ascii="Times New Roman" w:cs="Times New Roman" w:eastAsia="Times New Roman" w:hAnsi="Times New Roman"/>
          <w:sz w:val="19"/>
          <w:szCs w:val="19"/>
          <w:color w:val="010000"/>
        </w:rPr>
      </w:pPr>
    </w:p>
    <w:p>
      <w:pPr>
        <w:jc w:val="both"/>
        <w:ind w:left="-360" w:firstLine="745"/>
        <w:spacing w:after="0" w:line="239" w:lineRule="auto"/>
        <w:tabs>
          <w:tab w:leader="none" w:pos="780" w:val="left"/>
        </w:tabs>
        <w:numPr>
          <w:ilvl w:val="0"/>
          <w:numId w:val="8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Mergers, Etc</w:t>
      </w:r>
      <w:r>
        <w:rPr>
          <w:rFonts w:ascii="Times New Roman" w:cs="Times New Roman" w:eastAsia="Times New Roman" w:hAnsi="Times New Roman"/>
          <w:sz w:val="19"/>
          <w:szCs w:val="19"/>
          <w:color w:val="auto"/>
        </w:rPr>
        <w:t xml:space="preserve">. Merge or consolidate with or into, or convey, transfer (except as permitted by Section 5.02(e)), lease or otherwise dispose of (whether in one transaction or in a series of transactions or pursuant to a Division) all or substantially all of its assets (whether now owned or hereafter acquired) to, any Person, or Divide, or permit any of its Restricted Subsidiaries to do so;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 any Restricted Subsidiary of a Loan Party may merge or consolidate with or into, or dispose of assets to (including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pursuant to a Division), any other Subsidiary of such Loan Party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if one or more of such Subsidiaries is also a Loan Party, a Loan Party shall be the surviving entity and, in the case of a Division, the assets of such dividing Loan Party shall be held by a Loan Party or an entity which shall contemporaneously with such Division become a Loan Party or (B) if one or more of such Subsidiaries is an Unrestricted Subsidiary, a Restricted Subsidiary shall be the surviving entity) or any other Loan Party other than the Parent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Loan Party or, in the case of any Loan Party other than the Borrower, another Loan Party shall be the surviving entity and, in the case of a Division, the assets of such dividing Loan Party shall be held by a Loan Party or an entity which shall contemporaneously with such Division become a Loan Party), and (ii) any Loan Party may merge with any Person that is not a Loan Party so long as such Loan Party is the surviving entity or (except in the case of a merger with the Borrower or the Parent, which shall always be the surviving entity) such other Person is the surviving entity and shall promptly become a Loan Party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the Parent shall not merge with a Person that is not a Loan Party unless such merger is with a Person that would be in compliance with Section 5.01(p), and which is the general partner or other owner of a Person simultaneously merging with Borrower or a Subsidiary of Borrower, and the Parent shall be the surviving entity),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in each case, that no Default shall have occurred and be continuing at the time of such proposed transaction or would result therefrom. Notwithstanding any other provision of this Agreement, (y) any Restricted Subsidiary of a Loan Party (other than the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482600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80" w:right="339" w:bottom="1440" w:gutter="0" w:footer="0" w:header="0"/>
        </w:sectPr>
      </w:pPr>
    </w:p>
    <w:bookmarkStart w:id="78" w:name="page79"/>
    <w:bookmarkEnd w:id="78"/>
    <w:p>
      <w:pPr>
        <w:jc w:val="both"/>
        <w:spacing w:after="0"/>
        <w:rPr>
          <w:sz w:val="20"/>
          <w:szCs w:val="20"/>
          <w:color w:val="auto"/>
        </w:rPr>
      </w:pPr>
      <w:r>
        <w:rPr>
          <w:rFonts w:ascii="Times New Roman" w:cs="Times New Roman" w:eastAsia="Times New Roman" w:hAnsi="Times New Roman"/>
          <w:sz w:val="19"/>
          <w:szCs w:val="19"/>
          <w:color w:val="auto"/>
        </w:rPr>
        <w:t xml:space="preserve">Borrower and any Subsidiary that is the direct owner of an Unencumbered Asset) may liquidate, dissolve or Divide if the Borrower determines in good faith that such liquidation, dissolution or Division is in the best interests of the Borrower and the assets or proceeds from the liquidation, dissolution or Division of such Restricted Subsidiary are transferred to the Borrower or a Restricted Subsidiary,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no Default or Event of Default shall have occurred and be continuing at the time of such proposed transaction or would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result therefrom, and (z) any Loan Party or Restricted Subsidiary of a Loan Party shall be permitted to effect any Transfer of assets through the sale or transfer of direct or indirect Equity Interests in the Person (other than the Borrower or the Parent) that owns such assets so long as Section 5.02(e) would otherwise permit the Transfer of all assets owned by such Person at the time of such sale or transfer of such Equity Interests. Upon the sale or transfer of Equity Interests in any Person that is a Guarantor permitted under clause (z) above, the Administrative Agent shall, upon the request of the Borrower and at the Borrower’s expense (but not in limitation of the provisions of Section 9.14(b)), release such Guarantor from the Guaranty in accordance with Section 9.14(b).</w:t>
      </w:r>
    </w:p>
    <w:p>
      <w:pPr>
        <w:spacing w:after="0" w:line="191" w:lineRule="exact"/>
        <w:rPr>
          <w:sz w:val="20"/>
          <w:szCs w:val="20"/>
          <w:color w:val="auto"/>
        </w:rPr>
      </w:pPr>
    </w:p>
    <w:p>
      <w:pPr>
        <w:jc w:val="both"/>
        <w:ind w:firstLine="745"/>
        <w:spacing w:after="0" w:line="239" w:lineRule="auto"/>
        <w:tabs>
          <w:tab w:leader="none" w:pos="1140" w:val="left"/>
        </w:tabs>
        <w:numPr>
          <w:ilvl w:val="0"/>
          <w:numId w:val="8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Sales, Etc. of Assets</w:t>
      </w:r>
      <w:r>
        <w:rPr>
          <w:rFonts w:ascii="Times New Roman" w:cs="Times New Roman" w:eastAsia="Times New Roman" w:hAnsi="Times New Roman"/>
          <w:sz w:val="19"/>
          <w:szCs w:val="19"/>
          <w:color w:val="auto"/>
        </w:rPr>
        <w:t>. (i) In the case of the Parent, sell, lease, transfer or otherwise dispose of (including pursuant to a Division), or grant any option or other right to purchase, lease or otherwise acquire any asset or assets and (ii) in the case of the Loan Parties (other than the Parent), sell, lease (other than by entering into Tenancy Leases), transfer or otherwise dispose of (including pursuant to a Division), or grant any option or other right to purchase, lease (other than any option or other right to enter into Tenancy Leases) or otherwise acquire, or permit any of its Restricted Subsidiaries to sell, lease, transfer or otherwise dispose of (including pursuant to a Division), or grant any option or other right to purchase, lease or otherwise acquire (each action described in clauses (i) and (ii) of this subsection (e), including, without limitation, any Sale and Leaseback Transaction, being a “</w:t>
      </w:r>
      <w:r>
        <w:rPr>
          <w:rFonts w:ascii="Times New Roman" w:cs="Times New Roman" w:eastAsia="Times New Roman" w:hAnsi="Times New Roman"/>
          <w:sz w:val="19"/>
          <w:szCs w:val="19"/>
          <w:b w:val="1"/>
          <w:bCs w:val="1"/>
          <w:i w:val="1"/>
          <w:iCs w:val="1"/>
          <w:color w:val="auto"/>
        </w:rPr>
        <w:t>Transfer</w:t>
      </w:r>
      <w:r>
        <w:rPr>
          <w:rFonts w:ascii="Times New Roman" w:cs="Times New Roman" w:eastAsia="Times New Roman" w:hAnsi="Times New Roman"/>
          <w:sz w:val="19"/>
          <w:szCs w:val="19"/>
          <w:color w:val="auto"/>
        </w:rPr>
        <w:t xml:space="preserve">”), any asset or assets (or any direct or indirect Equity Interests in the owner thereof), in each case unless (w) no Event of Default shall have occurred and be continuing immediately before and after such Transfer, (x) the Loan Parties shall be in compliance with the covenants contained in Section 5.04 on a </w:t>
      </w:r>
      <w:r>
        <w:rPr>
          <w:rFonts w:ascii="Times New Roman" w:cs="Times New Roman" w:eastAsia="Times New Roman" w:hAnsi="Times New Roman"/>
          <w:sz w:val="19"/>
          <w:szCs w:val="19"/>
          <w:i w:val="1"/>
          <w:iCs w:val="1"/>
          <w:color w:val="auto"/>
        </w:rPr>
        <w:t xml:space="preserve">pro forma </w:t>
      </w:r>
      <w:r>
        <w:rPr>
          <w:rFonts w:ascii="Times New Roman" w:cs="Times New Roman" w:eastAsia="Times New Roman" w:hAnsi="Times New Roman"/>
          <w:sz w:val="19"/>
          <w:szCs w:val="19"/>
          <w:color w:val="auto"/>
        </w:rPr>
        <w:t>basis immediately after giving effect to such Transfer and (y) if applicable, the Borrower shall have provided notice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Agent as required by Section 5.01(j)(iii). Upon any such Transfer, if applicable, the Administrative Agent shall, upon the request of the Borrower and at the Borrower’s expense (but not in limitation of the provisions of Section 9.14(b)), release the applicable Subsidiary Guarantor from the Guaranty in accordance with Section 9.14(b).</w:t>
      </w:r>
    </w:p>
    <w:p>
      <w:pPr>
        <w:spacing w:after="0" w:line="195" w:lineRule="exact"/>
        <w:rPr>
          <w:rFonts w:ascii="Times New Roman" w:cs="Times New Roman" w:eastAsia="Times New Roman" w:hAnsi="Times New Roman"/>
          <w:sz w:val="19"/>
          <w:szCs w:val="19"/>
          <w:color w:val="010000"/>
        </w:rPr>
      </w:pPr>
    </w:p>
    <w:p>
      <w:pPr>
        <w:jc w:val="both"/>
        <w:ind w:firstLine="745"/>
        <w:spacing w:after="0" w:line="242" w:lineRule="auto"/>
        <w:tabs>
          <w:tab w:leader="none" w:pos="1154" w:val="left"/>
        </w:tabs>
        <w:numPr>
          <w:ilvl w:val="0"/>
          <w:numId w:val="8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Restriction on Investments in Unrestricted Subsidiaries and Development Assets</w:t>
      </w:r>
      <w:r>
        <w:rPr>
          <w:rFonts w:ascii="Times New Roman" w:cs="Times New Roman" w:eastAsia="Times New Roman" w:hAnsi="Times New Roman"/>
          <w:sz w:val="19"/>
          <w:szCs w:val="19"/>
          <w:color w:val="auto"/>
        </w:rPr>
        <w:t>. Make or hold, or permit any of its Subsidiaries to make or hold, any Investment (including pursuant to a Division) in an Unrestricted Subsidiary or a Development Asset, except to the extent that (i) the aggregate amount of all Investments (including pursuant to a Division) in Unrestricted Subsidiaries outstanding does not exceed, at any time, 25% of Total Asset Value at such time and (ii) the aggregate amount of all Investments (including pursuant to a Division) in Unrestricted Subsidiaries and Development Assets outstanding does not exceed, at any time, 40% of Total Asset Value at such time.</w:t>
      </w:r>
    </w:p>
    <w:p>
      <w:pPr>
        <w:spacing w:after="0" w:line="190" w:lineRule="exact"/>
        <w:rPr>
          <w:rFonts w:ascii="Times New Roman" w:cs="Times New Roman" w:eastAsia="Times New Roman" w:hAnsi="Times New Roman"/>
          <w:sz w:val="19"/>
          <w:szCs w:val="19"/>
          <w:color w:val="010000"/>
        </w:rPr>
      </w:pPr>
    </w:p>
    <w:p>
      <w:pPr>
        <w:jc w:val="both"/>
        <w:ind w:firstLine="745"/>
        <w:spacing w:after="0" w:line="242" w:lineRule="auto"/>
        <w:tabs>
          <w:tab w:leader="none" w:pos="1127" w:val="left"/>
        </w:tabs>
        <w:numPr>
          <w:ilvl w:val="0"/>
          <w:numId w:val="8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Restricted Payments</w:t>
      </w:r>
      <w:r>
        <w:rPr>
          <w:rFonts w:ascii="Times New Roman" w:cs="Times New Roman" w:eastAsia="Times New Roman" w:hAnsi="Times New Roman"/>
          <w:sz w:val="19"/>
          <w:szCs w:val="19"/>
          <w:color w:val="auto"/>
        </w:rPr>
        <w:t xml:space="preserve">. In the case of the Parent and the Borrower, without the prior consent of the Required Lenders, make any Restricted Payments;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the Parent may make Restricted Payments only so long as (i) no Event of Default shall have occurred and be continuing, and (ii) immediately before and after giving effect to the payment of any such Restricted Payment the Parent shall be in compliance with Section 5.04(a)(v);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in all cases, the Parent shall be permitted to make Restricted Payments not to exceed the minimum amount necessary for the Parent to maintain its status as a REIT and to avoid the imposition of income and excise taxes on the Parent under the Internal Revenue Code.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482600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79" w:name="page80"/>
    <w:bookmarkEnd w:id="79"/>
    <w:p>
      <w:pPr>
        <w:jc w:val="both"/>
        <w:ind w:left="-360" w:firstLine="745"/>
        <w:spacing w:after="0" w:line="251" w:lineRule="auto"/>
        <w:tabs>
          <w:tab w:leader="none" w:pos="767" w:val="left"/>
        </w:tabs>
        <w:numPr>
          <w:ilvl w:val="0"/>
          <w:numId w:val="8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Amendments of Constitutive Documents</w:t>
      </w:r>
      <w:r>
        <w:rPr>
          <w:rFonts w:ascii="Times New Roman" w:cs="Times New Roman" w:eastAsia="Times New Roman" w:hAnsi="Times New Roman"/>
          <w:sz w:val="19"/>
          <w:szCs w:val="19"/>
          <w:color w:val="auto"/>
        </w:rPr>
        <w:t>. Amend, or permit any of its Restricted Subsidiaries to amend, in each case to the extent the same would have a Material Adverse Effect, its limited liability company agreement, partnership agreement, certificate of incorporation or bylaws or other constitutive documents without the prior written consent of the Required Lenders.</w:t>
      </w:r>
    </w:p>
    <w:p>
      <w:pPr>
        <w:spacing w:after="0" w:line="178" w:lineRule="exact"/>
        <w:rPr>
          <w:rFonts w:ascii="Times New Roman" w:cs="Times New Roman" w:eastAsia="Times New Roman" w:hAnsi="Times New Roman"/>
          <w:sz w:val="19"/>
          <w:szCs w:val="19"/>
          <w:color w:val="010000"/>
        </w:rPr>
      </w:pPr>
    </w:p>
    <w:p>
      <w:pPr>
        <w:ind w:left="-360" w:firstLine="745"/>
        <w:spacing w:after="0" w:line="265" w:lineRule="auto"/>
        <w:tabs>
          <w:tab w:leader="none" w:pos="780" w:val="left"/>
        </w:tabs>
        <w:numPr>
          <w:ilvl w:val="0"/>
          <w:numId w:val="8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Accounting Changes</w:t>
      </w:r>
      <w:r>
        <w:rPr>
          <w:rFonts w:ascii="Times New Roman" w:cs="Times New Roman" w:eastAsia="Times New Roman" w:hAnsi="Times New Roman"/>
          <w:sz w:val="19"/>
          <w:szCs w:val="19"/>
          <w:color w:val="auto"/>
        </w:rPr>
        <w:t>. Make or permit, or permit any of its Subsidiaries to make or permit, any change in (i) accounting policies or reporting practices, except as required or permitted by generally accepted accounting principles, or (ii) Fiscal Year.</w:t>
      </w:r>
    </w:p>
    <w:p>
      <w:pPr>
        <w:spacing w:after="0" w:line="165" w:lineRule="exact"/>
        <w:rPr>
          <w:rFonts w:ascii="Times New Roman" w:cs="Times New Roman" w:eastAsia="Times New Roman" w:hAnsi="Times New Roman"/>
          <w:sz w:val="19"/>
          <w:szCs w:val="19"/>
          <w:color w:val="010000"/>
        </w:rPr>
      </w:pPr>
    </w:p>
    <w:p>
      <w:pPr>
        <w:ind w:left="-360" w:firstLine="745"/>
        <w:spacing w:after="0" w:line="265" w:lineRule="auto"/>
        <w:tabs>
          <w:tab w:leader="none" w:pos="780" w:val="left"/>
        </w:tabs>
        <w:numPr>
          <w:ilvl w:val="0"/>
          <w:numId w:val="8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Speculative Transactions</w:t>
      </w:r>
      <w:r>
        <w:rPr>
          <w:rFonts w:ascii="Times New Roman" w:cs="Times New Roman" w:eastAsia="Times New Roman" w:hAnsi="Times New Roman"/>
          <w:sz w:val="19"/>
          <w:szCs w:val="19"/>
          <w:color w:val="auto"/>
        </w:rPr>
        <w:t>. Engage, or permit any of its Restricted Subsidiaries to engage, in any transaction involving commodity options or futures contracts or any similar speculative transactions.</w:t>
      </w:r>
    </w:p>
    <w:p>
      <w:pPr>
        <w:spacing w:after="0" w:line="165" w:lineRule="exact"/>
        <w:rPr>
          <w:rFonts w:ascii="Times New Roman" w:cs="Times New Roman" w:eastAsia="Times New Roman" w:hAnsi="Times New Roman"/>
          <w:sz w:val="19"/>
          <w:szCs w:val="19"/>
          <w:color w:val="010000"/>
        </w:rPr>
      </w:pPr>
    </w:p>
    <w:p>
      <w:pPr>
        <w:jc w:val="both"/>
        <w:ind w:left="-360" w:firstLine="745"/>
        <w:spacing w:after="0" w:line="255" w:lineRule="auto"/>
        <w:tabs>
          <w:tab w:leader="none" w:pos="794" w:val="left"/>
        </w:tabs>
        <w:numPr>
          <w:ilvl w:val="0"/>
          <w:numId w:val="8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Payment Restrictions Affecting Subsidiaries</w:t>
      </w:r>
      <w:r>
        <w:rPr>
          <w:rFonts w:ascii="Times New Roman" w:cs="Times New Roman" w:eastAsia="Times New Roman" w:hAnsi="Times New Roman"/>
          <w:sz w:val="18"/>
          <w:szCs w:val="18"/>
          <w:color w:val="auto"/>
        </w:rPr>
        <w:t xml:space="preserve">. Directly or indirectly, enter into or suffer to exist, or permit any of its Restricted Subsidiaries to enter into or suffer to exist, any agreement or arrangement limiting the ability of any of its Restricted Subsidiaries to declare or pay dividends or other distributions in respect of its Equity Interests or repay or prepay any Debt owed to, make loans or advances to, or otherwise transfer assets to or invest in, the Borrower or any Restricted Subsidiary of the Borrower (whether through a covenant restricting dividends, loans, asset transfers or investments, a financial covenant or otherwise), except (i) the Loan Documents, (ii) any agreement or instrument evidencing Debt permitted under Section 5.02(b),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terms of such Debt, and of such agreement or instrument, do not restrict distributions in respect of Equity Interests in Subsidiaries directly or indirectly owning Unencumbered Assets, and (iii) any agreement in effect at the time such Restricted Subsidiary becomes a Subsidiary of the Borrower, so long as such agreement was not entered into solely in contemplation of such Person becoming a Subsidiary of the Borrower.</w:t>
      </w:r>
    </w:p>
    <w:p>
      <w:pPr>
        <w:spacing w:after="0" w:line="180" w:lineRule="exact"/>
        <w:rPr>
          <w:rFonts w:ascii="Times New Roman" w:cs="Times New Roman" w:eastAsia="Times New Roman" w:hAnsi="Times New Roman"/>
          <w:sz w:val="18"/>
          <w:szCs w:val="18"/>
          <w:color w:val="010000"/>
        </w:rPr>
      </w:pPr>
    </w:p>
    <w:p>
      <w:pPr>
        <w:jc w:val="both"/>
        <w:ind w:left="-360" w:firstLine="745"/>
        <w:spacing w:after="0"/>
        <w:tabs>
          <w:tab w:leader="none" w:pos="767" w:val="left"/>
        </w:tabs>
        <w:numPr>
          <w:ilvl w:val="0"/>
          <w:numId w:val="8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Amendment, Etc. of Material Contracts</w:t>
      </w:r>
      <w:r>
        <w:rPr>
          <w:rFonts w:ascii="Times New Roman" w:cs="Times New Roman" w:eastAsia="Times New Roman" w:hAnsi="Times New Roman"/>
          <w:sz w:val="19"/>
          <w:szCs w:val="19"/>
          <w:color w:val="auto"/>
        </w:rPr>
        <w:t>. Except as and to the extent the same could not reasonably be expected to have a Material Adverse Effect, cancel or terminate any Material Contract or consent to or accept any cancellation or termination thereof, amend or otherwise modify any Material Contract or give any consent, waiver or approval thereunder, waive any default under or breach of any Material Contract, agree in any manner to any other amendment, modification or change of any term or condition of any Material Contract or take any other action in connection with any Material Contract that would impair in any material respect the value of the interest or rights of any Borrower Party thereunder or that would impair or otherwise adversely affect in any material respect the interest or rights, if any, of the Administrative Agent or any Lender, or permit any of its Restricted Subsidiaries to do any of the foregoing in each case taking into account the effect of any agreements that supplement or serve to substitute for, in whole or in part, such Material Contract.</w:t>
      </w:r>
    </w:p>
    <w:p>
      <w:pPr>
        <w:spacing w:after="0" w:line="193" w:lineRule="exact"/>
        <w:rPr>
          <w:rFonts w:ascii="Times New Roman" w:cs="Times New Roman" w:eastAsia="Times New Roman" w:hAnsi="Times New Roman"/>
          <w:sz w:val="19"/>
          <w:szCs w:val="19"/>
          <w:color w:val="010000"/>
        </w:rPr>
      </w:pPr>
    </w:p>
    <w:p>
      <w:pPr>
        <w:jc w:val="both"/>
        <w:ind w:left="-360" w:firstLine="745"/>
        <w:spacing w:after="0" w:line="242" w:lineRule="auto"/>
        <w:tabs>
          <w:tab w:leader="none" w:pos="767" w:val="left"/>
        </w:tabs>
        <w:numPr>
          <w:ilvl w:val="0"/>
          <w:numId w:val="8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Negative Pledge</w:t>
      </w:r>
      <w:r>
        <w:rPr>
          <w:rFonts w:ascii="Times New Roman" w:cs="Times New Roman" w:eastAsia="Times New Roman" w:hAnsi="Times New Roman"/>
          <w:sz w:val="19"/>
          <w:szCs w:val="19"/>
          <w:color w:val="auto"/>
        </w:rPr>
        <w:t>. Enter into or be subject to any agreement, or permit any of its Restricted Subsidiaries to enter into or be subject to any agreement, governing any Debt which constitutes a Negative Pledge, other than (i) restrictions on further subordinate Liens on Assets encumbered by a mortgage, deed to secure debt or deed of trust securing such Debt or (ii) Negative Pledges with respect to any Asset that is not an Unencumbered Asset (it being agreed that an Asset that is included as an Unencumbered Asset that becomes subject to a Negative Pledge not otherwise permitted under clause (vi) of the definition of the term “Unencumbered Asset Conditions” shall be deemed removed as an Unencumbered Asset in accordance with Section 5.01(j)(ii) and the Borrower shall comply with the requirements of such Section).</w:t>
      </w:r>
    </w:p>
    <w:p>
      <w:pPr>
        <w:spacing w:after="0" w:line="185" w:lineRule="exact"/>
        <w:rPr>
          <w:rFonts w:ascii="Times New Roman" w:cs="Times New Roman" w:eastAsia="Times New Roman" w:hAnsi="Times New Roman"/>
          <w:sz w:val="19"/>
          <w:szCs w:val="19"/>
          <w:color w:val="010000"/>
        </w:rPr>
      </w:pPr>
    </w:p>
    <w:p>
      <w:pPr>
        <w:jc w:val="both"/>
        <w:ind w:left="-360" w:firstLine="745"/>
        <w:spacing w:after="0" w:line="246" w:lineRule="auto"/>
        <w:tabs>
          <w:tab w:leader="none" w:pos="780" w:val="left"/>
        </w:tabs>
        <w:numPr>
          <w:ilvl w:val="0"/>
          <w:numId w:val="8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Parent as Holding Company</w:t>
      </w:r>
      <w:r>
        <w:rPr>
          <w:rFonts w:ascii="Times New Roman" w:cs="Times New Roman" w:eastAsia="Times New Roman" w:hAnsi="Times New Roman"/>
          <w:sz w:val="19"/>
          <w:szCs w:val="19"/>
          <w:color w:val="auto"/>
        </w:rPr>
        <w:t>. In the case of the Parent, not directly or indirectly enter into or conduct any business, or engage in any activity (including, without limitation, any action or transaction that is required or restricted with respect to the Borrower and its Subsidiaries under Sections 5.01 and 5.02 without regard to any of the enumerated exceptions to such covenants), other than (i) the ownership, acquisition and disposition of Equity Interests of the Borrower, (ii) the management of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482600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80" w:name="page81"/>
    <w:bookmarkEnd w:id="80"/>
    <w:p>
      <w:pPr>
        <w:jc w:val="both"/>
        <w:ind w:left="760"/>
        <w:spacing w:after="0" w:line="239" w:lineRule="auto"/>
        <w:rPr>
          <w:sz w:val="20"/>
          <w:szCs w:val="20"/>
          <w:color w:val="auto"/>
        </w:rPr>
      </w:pPr>
      <w:r>
        <w:rPr>
          <w:rFonts w:ascii="Times New Roman" w:cs="Times New Roman" w:eastAsia="Times New Roman" w:hAnsi="Times New Roman"/>
          <w:sz w:val="19"/>
          <w:szCs w:val="19"/>
          <w:color w:val="auto"/>
        </w:rPr>
        <w:t xml:space="preserve">business of the Borrower, and such activities as are incidental thereto, all of which shall be solely in furtherance of the business of the Borrower, (iii) the ownership of (A) assets that have been distributed to the Parent by its Subsidiaries and that are held by the Parent pending further distribution to equity holders of the Parent, (B) assets received by the Parent from third parties (including the net cash proceeds from any issuance and sale by the Parent of any of its Equity Interests), that are held pending contribution of the same to the Borrower, (C) such bank accounts or similar instruments as the Parent deems necessary to carry out its responsibilities under the organization documents of the Borrower and (D) other tangible and intangible assets that, taken as a whole, are </w:t>
      </w:r>
      <w:r>
        <w:rPr>
          <w:rFonts w:ascii="Times New Roman" w:cs="Times New Roman" w:eastAsia="Times New Roman" w:hAnsi="Times New Roman"/>
          <w:sz w:val="19"/>
          <w:szCs w:val="19"/>
          <w:i w:val="1"/>
          <w:iCs w:val="1"/>
          <w:color w:val="auto"/>
        </w:rPr>
        <w:t>de minimis</w:t>
      </w:r>
      <w:r>
        <w:rPr>
          <w:rFonts w:ascii="Times New Roman" w:cs="Times New Roman" w:eastAsia="Times New Roman" w:hAnsi="Times New Roman"/>
          <w:sz w:val="19"/>
          <w:szCs w:val="19"/>
          <w:color w:val="auto"/>
        </w:rPr>
        <w:t xml:space="preserve"> in relation to the net assets of the Parent and its Subsidiaries, but which shall in no event include any Equity Interests other than those permitted in clauses (iii)(A) and (B) of this sentence, (iv) the maintenance of its legal existence (including the ability to incur fees, costs and expenses relating to such maintenance), (v) the performance of its obligations with respect to the Loan Documents, (vi) any public offering of its common stock or any other issuance or sale of its Equity Interests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100% of the net cash proceeds of such issuance or sale shall be contributed to the Borrower), (vii) subject to Sections 5.02(g) and 5.04(a)(v), the payment of dividends, (viii) making contributions to the capital of the Borrower, (ix) participating in tax, accounting and other administrative matters as a member of the Consolidated Group, (x) providing indemnification to officers, managers and directors, (xi) any activities incidental to compliance with the provisions of the Securities Act of 1933, as amended, the Exchange Act of 1934, as amended, any rules and regulations promulgated thereunder, and the rules of national securities exchanges, in each case, as applicable to the Parent, as well as activities incidental to investor relations, shareholder meetings and reports to shareholders or debt holders, (xii) the incurrence of Debt, to the extent such incurrence would not result in a Default or Event of Default under Section 5.02(b) or Section 5.04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100% of the net cash proceeds of such incurrence of Debt shall be contributed to the Borrower) and (xiii) any activities incidental to the foregoing.</w:t>
      </w:r>
    </w:p>
    <w:p>
      <w:pPr>
        <w:spacing w:after="0" w:line="188" w:lineRule="exact"/>
        <w:rPr>
          <w:sz w:val="20"/>
          <w:szCs w:val="20"/>
          <w:color w:val="auto"/>
        </w:rPr>
      </w:pPr>
    </w:p>
    <w:p>
      <w:pPr>
        <w:ind w:left="760" w:firstLine="745"/>
        <w:spacing w:after="0" w:line="265" w:lineRule="auto"/>
        <w:tabs>
          <w:tab w:leader="none" w:pos="1887" w:val="left"/>
        </w:tabs>
        <w:numPr>
          <w:ilvl w:val="0"/>
          <w:numId w:val="8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OFAC. Knowingly engage in, or permit any Subsidiary to engage in, any dealings or transactions with any Person, or in any country or territory, that at the time of the dealing or transaction is, or whose government is, the subject or target of Sanctions.</w:t>
      </w:r>
    </w:p>
    <w:p>
      <w:pPr>
        <w:spacing w:after="0" w:line="165" w:lineRule="exact"/>
        <w:rPr>
          <w:rFonts w:ascii="Times New Roman" w:cs="Times New Roman" w:eastAsia="Times New Roman" w:hAnsi="Times New Roman"/>
          <w:sz w:val="19"/>
          <w:szCs w:val="19"/>
          <w:color w:val="010000"/>
        </w:rPr>
      </w:pPr>
    </w:p>
    <w:p>
      <w:pPr>
        <w:ind w:left="760" w:firstLine="745"/>
        <w:spacing w:after="0" w:line="265" w:lineRule="auto"/>
        <w:tabs>
          <w:tab w:leader="none" w:pos="1914" w:val="left"/>
        </w:tabs>
        <w:numPr>
          <w:ilvl w:val="0"/>
          <w:numId w:val="8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Senior Financing Transactions</w:t>
      </w:r>
      <w:r>
        <w:rPr>
          <w:rFonts w:ascii="Times New Roman" w:cs="Times New Roman" w:eastAsia="Times New Roman" w:hAnsi="Times New Roman"/>
          <w:sz w:val="19"/>
          <w:szCs w:val="19"/>
          <w:color w:val="auto"/>
        </w:rPr>
        <w:t>. Permit any Subsidiary that is not a Subsidiary Guarantor to become a guarantor or borrower of any Obligations under any Senior Financing Transaction.</w:t>
      </w:r>
    </w:p>
    <w:p>
      <w:pPr>
        <w:spacing w:after="0" w:line="166"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9"/>
          <w:szCs w:val="19"/>
          <w:color w:val="010000"/>
        </w:rPr>
        <w:t xml:space="preserve">Section 5.03 </w:t>
      </w:r>
      <w:r>
        <w:rPr>
          <w:rFonts w:ascii="Times New Roman" w:cs="Times New Roman" w:eastAsia="Times New Roman" w:hAnsi="Times New Roman"/>
          <w:sz w:val="19"/>
          <w:szCs w:val="19"/>
          <w:u w:val="single" w:color="auto"/>
          <w:color w:val="000000"/>
        </w:rPr>
        <w:t>Reporting Requirements</w:t>
      </w:r>
      <w:r>
        <w:rPr>
          <w:rFonts w:ascii="Times New Roman" w:cs="Times New Roman" w:eastAsia="Times New Roman" w:hAnsi="Times New Roman"/>
          <w:sz w:val="19"/>
          <w:szCs w:val="19"/>
          <w:color w:val="000000"/>
        </w:rPr>
        <w:t>. So long as any Advance or any other Obligation of any Loan Party under any Loan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Document shall remain unpaid or any Lender shall have any Commitment hereunder, the Borrower will furnish to the Administrative Agent and the Lenders in accordance with Section 9.02(b):</w:t>
      </w:r>
    </w:p>
    <w:p>
      <w:pPr>
        <w:spacing w:after="0" w:line="179" w:lineRule="exact"/>
        <w:rPr>
          <w:sz w:val="20"/>
          <w:szCs w:val="20"/>
          <w:color w:val="auto"/>
        </w:rPr>
      </w:pPr>
    </w:p>
    <w:p>
      <w:pPr>
        <w:jc w:val="both"/>
        <w:ind w:left="760" w:firstLine="745"/>
        <w:spacing w:after="0" w:line="244" w:lineRule="auto"/>
        <w:tabs>
          <w:tab w:leader="none" w:pos="1914" w:val="left"/>
        </w:tabs>
        <w:numPr>
          <w:ilvl w:val="0"/>
          <w:numId w:val="9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Default Notice</w:t>
      </w:r>
      <w:r>
        <w:rPr>
          <w:rFonts w:ascii="Times New Roman" w:cs="Times New Roman" w:eastAsia="Times New Roman" w:hAnsi="Times New Roman"/>
          <w:sz w:val="19"/>
          <w:szCs w:val="19"/>
          <w:color w:val="auto"/>
        </w:rPr>
        <w:t>. As soon as possible and in any event within two Business Days after a Responsible Officer obtains knowledge of the occurrence of each Default or any event, development or occurrence reasonably expected to result in a Material Adverse Effect continuing on the date of such statement, a statement of the Chief Financial Officer (or other Responsible Officer) of the Parent setting forth details of such Default or such event, development or occurrence and the action that the Parent has taken and proposes to take with respect thereto.</w:t>
      </w:r>
    </w:p>
    <w:p>
      <w:pPr>
        <w:spacing w:after="0" w:line="185" w:lineRule="exact"/>
        <w:rPr>
          <w:rFonts w:ascii="Times New Roman" w:cs="Times New Roman" w:eastAsia="Times New Roman" w:hAnsi="Times New Roman"/>
          <w:sz w:val="19"/>
          <w:szCs w:val="19"/>
          <w:color w:val="010000"/>
        </w:rPr>
      </w:pPr>
    </w:p>
    <w:p>
      <w:pPr>
        <w:jc w:val="both"/>
        <w:ind w:left="760" w:firstLine="745"/>
        <w:spacing w:after="0" w:line="242" w:lineRule="auto"/>
        <w:tabs>
          <w:tab w:leader="none" w:pos="1887" w:val="left"/>
        </w:tabs>
        <w:numPr>
          <w:ilvl w:val="0"/>
          <w:numId w:val="9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Annual Financials</w:t>
      </w:r>
      <w:r>
        <w:rPr>
          <w:rFonts w:ascii="Times New Roman" w:cs="Times New Roman" w:eastAsia="Times New Roman" w:hAnsi="Times New Roman"/>
          <w:sz w:val="19"/>
          <w:szCs w:val="19"/>
          <w:color w:val="auto"/>
        </w:rPr>
        <w:t>. As soon as available and in any event within 90 days after the end of each Fiscal Year, a copy of the annual audit report for such year for the Parent and its Subsidiaries, including therein Consolidated balance sheets of the Parent and its Subsidiaries as of the end of such Fiscal Year and Consolidated statements of income and a Consolidated statement of cash flows of the Parent and its Subsidiaries for such Fiscal Year (it being acknowledged that a copy of the annual audit report filed by the Parent with the Securities and Exchange Commission shall satisfy the foregoing requirements), in each case accompanied by (x) an opinion acceptable to the Required Lenders of PricewaterhouseCoopers LLP or other independent public accountants of recognized standing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1" w:name="page82"/>
    <w:bookmarkEnd w:id="81"/>
    <w:p>
      <w:pPr>
        <w:jc w:val="both"/>
        <w:ind w:left="3"/>
        <w:spacing w:after="0" w:line="220" w:lineRule="exact"/>
        <w:rPr>
          <w:sz w:val="20"/>
          <w:szCs w:val="20"/>
          <w:color w:val="auto"/>
        </w:rPr>
      </w:pPr>
      <w:r>
        <w:rPr>
          <w:rFonts w:ascii="Times New Roman" w:cs="Times New Roman" w:eastAsia="Times New Roman" w:hAnsi="Times New Roman"/>
          <w:sz w:val="19"/>
          <w:szCs w:val="19"/>
          <w:color w:val="auto"/>
        </w:rPr>
        <w:t>reasonably acceptable to the Required Lenders, which opinion shall be prepared in accordance with generally accepted auditing standards and shall not be subject to any “going concern” or like qualification or exception or any qualification or exception as to the scope of such audit, and (y) if applicable and if the Parent and its Subsidiaries are subject to the requirements of Section 404 of the Sarbanes-Oxley Act of 2002, a report of such independent public accountants as to the internal controls of the Parent and its Subsidiaries required under Section 404 of the Sarbanes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Oxley Act of 2002, in each case certified in a manner to which the Required Lenders have not objected, in their reasonable discretion, together with (i) a schedule in form reasonably satisfactory to the Administrative Agent of the computations used by the Parent in determining, as of the end of such Fiscal Year, compliance with the covenants contained in Section 5.04,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the event of any change in GAAP used in the preparation of such financial statements, the Parent shall also provide, if necessary for the determination of compliance with Section 5.04, a statement of reconciliation conforming such financial statements to GAAP and</w:t>
      </w:r>
    </w:p>
    <w:p>
      <w:pPr>
        <w:spacing w:after="0" w:line="3" w:lineRule="exact"/>
        <w:rPr>
          <w:sz w:val="20"/>
          <w:szCs w:val="20"/>
          <w:color w:val="auto"/>
        </w:rPr>
      </w:pPr>
    </w:p>
    <w:p>
      <w:pPr>
        <w:jc w:val="both"/>
        <w:ind w:left="3" w:hanging="3"/>
        <w:spacing w:after="0"/>
        <w:tabs>
          <w:tab w:leader="none" w:pos="302"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of the Chief Financial Officer (or other Responsible Officer) of the Parent stating that no Default has occurred and is continuing or, if a Default has occurred and is continuing, a statement as to the nature thereof and the action that the Parent has taken and proposes to take with respect thereto.</w:t>
      </w:r>
    </w:p>
    <w:p>
      <w:pPr>
        <w:spacing w:after="0" w:line="188" w:lineRule="exact"/>
        <w:rPr>
          <w:rFonts w:ascii="Times New Roman" w:cs="Times New Roman" w:eastAsia="Times New Roman" w:hAnsi="Times New Roman"/>
          <w:sz w:val="19"/>
          <w:szCs w:val="19"/>
          <w:color w:val="auto"/>
        </w:rPr>
      </w:pPr>
    </w:p>
    <w:p>
      <w:pPr>
        <w:jc w:val="both"/>
        <w:ind w:left="3" w:firstLine="745"/>
        <w:spacing w:after="0" w:line="219" w:lineRule="exact"/>
        <w:tabs>
          <w:tab w:leader="none" w:pos="1130" w:val="left"/>
        </w:tabs>
        <w:numPr>
          <w:ilvl w:val="1"/>
          <w:numId w:val="9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Quarterly Financials</w:t>
      </w:r>
      <w:r>
        <w:rPr>
          <w:rFonts w:ascii="Times New Roman" w:cs="Times New Roman" w:eastAsia="Times New Roman" w:hAnsi="Times New Roman"/>
          <w:sz w:val="19"/>
          <w:szCs w:val="19"/>
          <w:color w:val="auto"/>
        </w:rPr>
        <w:t>. As soon as available and in any event within 45 days after the end of each of the first three quarters of each Fiscal Year, Consolidated balance sheets of the Parent and its Subsidiaries as of the end of such quarter and Consolidated statements of income and a Consolidated statement of cash flows of the Parent and its Subsidiaries for the period commencing at the end of the previous fiscal quarter and ending with the end of such fiscal quarter and Consolidated statements of income and a Consolidated statement of cash flows of the Parent and its Subsidiaries for the period commencing at the end of the previous Fiscal Year and ending with the end of such quarter, setting forth in each case in comparative form the corresponding figures for the corresponding date or period of the preceding Fiscal Year, all in reasonable detail and duly certified (subject to normal year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end audit adjustments) by the Chief Executive Officer, Chief Financial Officer or Treasurer (or other Responsible Officer performing similar functions) of the Parent as having been prepared in accordance with GAAP (it being acknowledged that a copy of the quarterly financials filed by the Parent with the Securities and Exchange Commission shall satisfy the foregoing requirements), together with (i) a certificate of such officer stating that no Default has occurred and is continuing or, if a Default has occurred and is continuing, a statement as to the nature thereof and the action that the Parent has taken and proposes to take with respect thereto and (ii) a schedule in form reasonably satisfactory to the Administrative Agent of the computations used by the Parent in determining compliance with the covenants contained in Section 5.04,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in the event of any change in GAAP used in the preparation of such financial statements, the Parent shall also provide, if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necessary for the determination of compliance with Section 5.04, a statement of reconciliation conforming such financial statements to GAAP.</w:t>
      </w:r>
    </w:p>
    <w:p>
      <w:pPr>
        <w:spacing w:after="0" w:line="189" w:lineRule="exact"/>
        <w:rPr>
          <w:rFonts w:ascii="Times New Roman" w:cs="Times New Roman" w:eastAsia="Times New Roman" w:hAnsi="Times New Roman"/>
          <w:sz w:val="19"/>
          <w:szCs w:val="19"/>
          <w:color w:val="010000"/>
        </w:rPr>
      </w:pPr>
    </w:p>
    <w:p>
      <w:pPr>
        <w:jc w:val="both"/>
        <w:ind w:left="3" w:firstLine="745"/>
        <w:spacing w:after="0" w:line="234" w:lineRule="exact"/>
        <w:tabs>
          <w:tab w:leader="none" w:pos="1143" w:val="left"/>
        </w:tabs>
        <w:numPr>
          <w:ilvl w:val="1"/>
          <w:numId w:val="9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Investment Grade Rating Notice</w:t>
      </w:r>
      <w:r>
        <w:rPr>
          <w:rFonts w:ascii="Times New Roman" w:cs="Times New Roman" w:eastAsia="Times New Roman" w:hAnsi="Times New Roman"/>
          <w:sz w:val="19"/>
          <w:szCs w:val="19"/>
          <w:color w:val="auto"/>
        </w:rPr>
        <w:t>. Promptly upon a Responsible Officer becoming aware of a change in the Investment Grade Rating (including the initial issuance of any Investment Grade Rating) or any other credit rating given by S&amp;P, Moody’s or another nationally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recognized rating agency to the Borrower’s or the Parent’s long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 senior unsecured debt or any announcement that any such rating is “under review” or that such rating has been placed on a watch list or that any similar action has been taken by S&amp;P, Moody’s or another nationally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recognized rating agency, notice of such change, announcement or action.</w:t>
      </w:r>
    </w:p>
    <w:p>
      <w:pPr>
        <w:spacing w:after="0" w:line="157" w:lineRule="exact"/>
        <w:rPr>
          <w:rFonts w:ascii="Times New Roman" w:cs="Times New Roman" w:eastAsia="Times New Roman" w:hAnsi="Times New Roman"/>
          <w:sz w:val="19"/>
          <w:szCs w:val="19"/>
          <w:color w:val="010000"/>
        </w:rPr>
      </w:pPr>
    </w:p>
    <w:p>
      <w:pPr>
        <w:jc w:val="both"/>
        <w:ind w:left="3" w:firstLine="745"/>
        <w:spacing w:after="0" w:line="251" w:lineRule="auto"/>
        <w:tabs>
          <w:tab w:leader="none" w:pos="1130" w:val="left"/>
        </w:tabs>
        <w:numPr>
          <w:ilvl w:val="1"/>
          <w:numId w:val="9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Unencumbered Asset Financials</w:t>
      </w:r>
      <w:r>
        <w:rPr>
          <w:rFonts w:ascii="Times New Roman" w:cs="Times New Roman" w:eastAsia="Times New Roman" w:hAnsi="Times New Roman"/>
          <w:sz w:val="19"/>
          <w:szCs w:val="19"/>
          <w:color w:val="auto"/>
        </w:rPr>
        <w:t>. Concurrently with delivery of the items set forth in Section 5.03(b) and (c), the delivery to the Administrative Agent of a list of all Unencumbered Assets at such time, which list shall include the name, location and a short description of each such Unencumbered Asset and the Net Operating Income of each such Unencumbered Asset as of the end of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482600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9"/>
          <w:szCs w:val="19"/>
          <w:color w:val="auto"/>
        </w:rPr>
        <w:t>the applicable quarter of the Fiscal Year or the Fiscal Year, as applicable, to which the financial reporting relates.</w:t>
      </w:r>
    </w:p>
    <w:p>
      <w:pPr>
        <w:spacing w:after="0" w:line="214" w:lineRule="exact"/>
        <w:rPr>
          <w:sz w:val="20"/>
          <w:szCs w:val="20"/>
          <w:color w:val="auto"/>
        </w:rPr>
      </w:pPr>
    </w:p>
    <w:p>
      <w:pPr>
        <w:jc w:val="both"/>
        <w:ind w:firstLine="745"/>
        <w:spacing w:after="0" w:line="246" w:lineRule="auto"/>
        <w:tabs>
          <w:tab w:leader="none" w:pos="1127" w:val="left"/>
        </w:tabs>
        <w:numPr>
          <w:ilvl w:val="0"/>
          <w:numId w:val="9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Annual Budgets</w:t>
      </w:r>
      <w:r>
        <w:rPr>
          <w:rFonts w:ascii="Times New Roman" w:cs="Times New Roman" w:eastAsia="Times New Roman" w:hAnsi="Times New Roman"/>
          <w:sz w:val="19"/>
          <w:szCs w:val="19"/>
          <w:color w:val="auto"/>
        </w:rPr>
        <w:t>. As soon as available and in any event within 90 days after the end of each Fiscal Year, forecasts prepared by management of the Parent, in form reasonably satisfactory to the Administrative Agent, of balance sheets, income statements and cash flow statements on a quarterly basis for the then current Fiscal Year and on an annual basis for each Fiscal Year thereafter until the Maturity Date.</w:t>
      </w:r>
    </w:p>
    <w:p>
      <w:pPr>
        <w:spacing w:after="0" w:line="184" w:lineRule="exact"/>
        <w:rPr>
          <w:rFonts w:ascii="Times New Roman" w:cs="Times New Roman" w:eastAsia="Times New Roman" w:hAnsi="Times New Roman"/>
          <w:sz w:val="19"/>
          <w:szCs w:val="19"/>
          <w:color w:val="010000"/>
        </w:rPr>
      </w:pPr>
    </w:p>
    <w:p>
      <w:pPr>
        <w:jc w:val="both"/>
        <w:ind w:firstLine="745"/>
        <w:spacing w:after="0" w:line="244" w:lineRule="auto"/>
        <w:tabs>
          <w:tab w:leader="none" w:pos="1167" w:val="left"/>
        </w:tabs>
        <w:numPr>
          <w:ilvl w:val="0"/>
          <w:numId w:val="9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Material Litigation</w:t>
      </w:r>
      <w:r>
        <w:rPr>
          <w:rFonts w:ascii="Times New Roman" w:cs="Times New Roman" w:eastAsia="Times New Roman" w:hAnsi="Times New Roman"/>
          <w:sz w:val="19"/>
          <w:szCs w:val="19"/>
          <w:color w:val="auto"/>
        </w:rPr>
        <w:t>. Promptly after the commencement thereof, notice of all actions, investigations, litigation and proceedings before any court or governmental department, commission, board, bureau, agency or instrumentality, domestic or foreign, affecting any Loan Party or any of its Restricted Subsidiaries of the type described in Section 4.01(f), and promptly after the occurrence thereof, notice of any adverse change in the status or the financial effect on any Loan Party or any of its Restricted Subsidiaries of the Material Litigation from that described on Schedule 4.01(f) hereto.</w:t>
      </w:r>
    </w:p>
    <w:p>
      <w:pPr>
        <w:spacing w:after="0" w:line="185" w:lineRule="exact"/>
        <w:rPr>
          <w:rFonts w:ascii="Times New Roman" w:cs="Times New Roman" w:eastAsia="Times New Roman" w:hAnsi="Times New Roman"/>
          <w:sz w:val="19"/>
          <w:szCs w:val="19"/>
          <w:color w:val="010000"/>
        </w:rPr>
      </w:pPr>
    </w:p>
    <w:p>
      <w:pPr>
        <w:jc w:val="both"/>
        <w:ind w:firstLine="745"/>
        <w:spacing w:after="0" w:line="253" w:lineRule="auto"/>
        <w:tabs>
          <w:tab w:leader="none" w:pos="1140" w:val="left"/>
        </w:tabs>
        <w:numPr>
          <w:ilvl w:val="0"/>
          <w:numId w:val="9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Securities Reports</w:t>
      </w:r>
      <w:r>
        <w:rPr>
          <w:rFonts w:ascii="Times New Roman" w:cs="Times New Roman" w:eastAsia="Times New Roman" w:hAnsi="Times New Roman"/>
          <w:sz w:val="18"/>
          <w:szCs w:val="18"/>
          <w:color w:val="auto"/>
        </w:rPr>
        <w:t xml:space="preserve">. Promptly after the sending or filing thereof, copies of all proxy statements, financial statements and reports that any Loan Party or any of its Subsidiaries sends to the holders of its Equity Interests, and copies of all regular, periodic and special reports, and all registration statements, that any Loan Party or any of its Subsidiaries files with the Securities and Exchange Commission or any Governmental Authority that may be substituted therefor, or with any national securities exchange, and, to the extent not publicly available electronically at www.sec.gov or www.easterlyreit.com (or successor web sites thereto), copies of all other financial statements, reports, notices and other materials, if any, sent or made available generally by any Loan Party to the “public” holders of its Equity Interests or filed with the Securities and Exchange Commission or any Governmental Authority that may be substituted therefor, or with any national securities exchange, all press releases made available generally by any Loan Party or any of its Subsidiaries to the public concerning material developments in the business of any Loan Party or any such Subsidiary and all notifications received by any Loan Party or any Subsidiary thereof from the Securities and Exchange Commission or any other Governmental Authority pursuant to the Securities Exchange Act and the rules promulgated thereunder. Copies of each such proxy statements, financial statements and reports may be delivered electronically and if so delivered, shall be deemed to have been delivered on the date on which (i) a Loan Party posts such documents, or provides a link thereto, on www.easterlyreit.com (or successor web site thereto) or (ii) such documents are posted on its behalf on the Platform,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Parent shall notify the Administrative Agent (by facsimile or e-mail) of the posting of any such documents and, if requested, provide to the Administrative Agent by e-mail electronic versions (i.e., soft copies) of such documents. The Administrative Agent shall have no obligation to request the delivery or to maintain copies of the documents referred to above in, and in any event shall have no responsibility to monitor compliance by any Loan Party with any such request for delivery, and each Lender shall be solely responsible for obtaining and maintaining its own copies of such documents.</w:t>
      </w:r>
    </w:p>
    <w:p>
      <w:pPr>
        <w:spacing w:after="0" w:line="394" w:lineRule="exact"/>
        <w:rPr>
          <w:rFonts w:ascii="Times New Roman" w:cs="Times New Roman" w:eastAsia="Times New Roman" w:hAnsi="Times New Roman"/>
          <w:sz w:val="18"/>
          <w:szCs w:val="18"/>
          <w:color w:val="010000"/>
        </w:rPr>
      </w:pPr>
    </w:p>
    <w:p>
      <w:pPr>
        <w:jc w:val="both"/>
        <w:ind w:firstLine="745"/>
        <w:spacing w:after="0" w:line="244" w:lineRule="auto"/>
        <w:tabs>
          <w:tab w:leader="none" w:pos="1127" w:val="left"/>
        </w:tabs>
        <w:numPr>
          <w:ilvl w:val="0"/>
          <w:numId w:val="9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Real Property and Subsidiaries</w:t>
      </w:r>
      <w:r>
        <w:rPr>
          <w:rFonts w:ascii="Times New Roman" w:cs="Times New Roman" w:eastAsia="Times New Roman" w:hAnsi="Times New Roman"/>
          <w:sz w:val="19"/>
          <w:szCs w:val="19"/>
          <w:color w:val="auto"/>
        </w:rPr>
        <w:t>. As soon as available and in any event within 15 days after the end of each quarter of each Fiscal Year, reports supplementing Schedule 4.01(p) and Schedule 4.01(b), including, with respect to Schedule 4.01(p), an identification of all owned and leased real property acquired or disposed of by any Loan Party or any of its Subsidiaries during such quarter, and, with respect to each such Schedule, a description of such other changes in the information included in such Schedules as may be necessary for such Schedules to be accurate and complete.</w:t>
      </w:r>
    </w:p>
    <w:p>
      <w:pPr>
        <w:spacing w:after="0" w:line="185" w:lineRule="exact"/>
        <w:rPr>
          <w:rFonts w:ascii="Times New Roman" w:cs="Times New Roman" w:eastAsia="Times New Roman" w:hAnsi="Times New Roman"/>
          <w:sz w:val="19"/>
          <w:szCs w:val="19"/>
          <w:color w:val="010000"/>
        </w:rPr>
      </w:pPr>
    </w:p>
    <w:p>
      <w:pPr>
        <w:jc w:val="both"/>
        <w:ind w:firstLine="745"/>
        <w:spacing w:after="0" w:line="246" w:lineRule="auto"/>
        <w:tabs>
          <w:tab w:leader="none" w:pos="1127" w:val="left"/>
        </w:tabs>
        <w:numPr>
          <w:ilvl w:val="0"/>
          <w:numId w:val="9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Assets Reports</w:t>
      </w:r>
      <w:r>
        <w:rPr>
          <w:rFonts w:ascii="Times New Roman" w:cs="Times New Roman" w:eastAsia="Times New Roman" w:hAnsi="Times New Roman"/>
          <w:sz w:val="19"/>
          <w:szCs w:val="19"/>
          <w:color w:val="auto"/>
        </w:rPr>
        <w:t>. As soon as available and in any event within 45 days after the end of each quarter of each Fiscal Year, a report listing and describing (in detail reasonably satisfactory to the Administrative Agent) all Real Property assets of the Parent and its Subsidiaries as of the end of such quarter in form and substance reasonably satisfactory to the Administrative Agent. For the avoidance of doubt, the requirement to deliver an asset report shall be deemed satisfied to the extent the Borrower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482600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83" w:name="page84"/>
    <w:bookmarkEnd w:id="83"/>
    <w:p>
      <w:pPr>
        <w:spacing w:after="0" w:line="265" w:lineRule="auto"/>
        <w:rPr>
          <w:sz w:val="20"/>
          <w:szCs w:val="20"/>
          <w:color w:val="auto"/>
        </w:rPr>
      </w:pPr>
      <w:r>
        <w:rPr>
          <w:rFonts w:ascii="Times New Roman" w:cs="Times New Roman" w:eastAsia="Times New Roman" w:hAnsi="Times New Roman"/>
          <w:sz w:val="19"/>
          <w:szCs w:val="19"/>
          <w:color w:val="auto"/>
        </w:rPr>
        <w:t>has previously delivered, as part of its general reporting requirements for the applicable quarter, a list and description (in detail reasonably satisfactory to the Administrative Agent) of all of the Real Property assets of the Borrower and its Subsidiaries.</w:t>
      </w:r>
    </w:p>
    <w:p>
      <w:pPr>
        <w:spacing w:after="0" w:line="166" w:lineRule="exact"/>
        <w:rPr>
          <w:sz w:val="20"/>
          <w:szCs w:val="20"/>
          <w:color w:val="auto"/>
        </w:rPr>
      </w:pPr>
    </w:p>
    <w:p>
      <w:pPr>
        <w:jc w:val="both"/>
        <w:ind w:firstLine="745"/>
        <w:spacing w:after="0" w:line="218" w:lineRule="exact"/>
        <w:tabs>
          <w:tab w:leader="none" w:pos="1140" w:val="left"/>
        </w:tabs>
        <w:numPr>
          <w:ilvl w:val="0"/>
          <w:numId w:val="9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Environmental Conditions</w:t>
      </w:r>
      <w:r>
        <w:rPr>
          <w:rFonts w:ascii="Times New Roman" w:cs="Times New Roman" w:eastAsia="Times New Roman" w:hAnsi="Times New Roman"/>
          <w:sz w:val="19"/>
          <w:szCs w:val="19"/>
          <w:color w:val="auto"/>
        </w:rPr>
        <w:t>. Notice to the Administrative Agent (i) promptly upon obtaining knowledge of any material violation of any Environmental Law affecting any asset owned or operated by any Borrower Party or any Subsidiary thereof or the operations thereof or the operations of any of its Subsidiaries, (ii) promptly upon obtaining knowledge of any known release, discharge or disposal of any Hazardous Materials at, from, or into any asset which it reports in writing or is legally required to report in writing to any Governmental Authority and which is material in amount or nature or which could reasonably be expected to materially adversely affect the value of such asset, (iii) promptly upon its receipt of any written notice of material violation of any Environmental Laws or of any material release, discharge or disposal of Hazardous Materials in violation of any Environmental Laws or any matter that could reasonably be expected to result in an Environmental Action, including a notice or claim of liability or potential responsibility from any third party (including, without limitation, any federal, state or local governmental officials) and including notice of any formal inquiry, proceeding, demand, investigation or other action with regard to (A) such Borrower Party’s or any other Person’s operation of any asset in compliance with Environmental Laws, (B) Hazardous Materials contamination on, from or into any asset, or (C) investigation or remediation of off</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site locations at which such Borrower Party or any of its predecessors are alleged to have directly or indirectly disposed of Hazardous Materials, or (iv) upon such Borrower Party’s obtaining knowledge that any expense or loss has been incurred by such Governmental Authority in connection with the assessment, containment, removal or remediation of any Hazardous Materials with respect to which such Borrower Party or any Joint Venture could reasonably be expected to incur material liability or for which a Lien may be imposed on any asset,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notice is required only for any of the events described in clauses (i) through (iv) above that could reasonably be expected to result in a Material Adverse Effect or could reasonably be expected to result in a material Environmental Action with respect to any Unencumbered Asset.</w:t>
      </w:r>
    </w:p>
    <w:p>
      <w:pPr>
        <w:spacing w:after="0" w:line="201" w:lineRule="exact"/>
        <w:rPr>
          <w:rFonts w:ascii="Times New Roman" w:cs="Times New Roman" w:eastAsia="Times New Roman" w:hAnsi="Times New Roman"/>
          <w:sz w:val="19"/>
          <w:szCs w:val="19"/>
          <w:color w:val="010000"/>
        </w:rPr>
      </w:pPr>
    </w:p>
    <w:p>
      <w:pPr>
        <w:jc w:val="both"/>
        <w:ind w:firstLine="745"/>
        <w:spacing w:after="0" w:line="244" w:lineRule="auto"/>
        <w:tabs>
          <w:tab w:leader="none" w:pos="1140" w:val="left"/>
        </w:tabs>
        <w:numPr>
          <w:ilvl w:val="0"/>
          <w:numId w:val="9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Unencumbered Asset Value</w:t>
      </w:r>
      <w:r>
        <w:rPr>
          <w:rFonts w:ascii="Times New Roman" w:cs="Times New Roman" w:eastAsia="Times New Roman" w:hAnsi="Times New Roman"/>
          <w:sz w:val="19"/>
          <w:szCs w:val="19"/>
          <w:color w:val="auto"/>
        </w:rPr>
        <w:t>. Promptly after a Responsible Officer becomes aware of any setoff, claim, withholding or defense asserted or effected against any Borrower Party, or to which any Unencumbered Asset is subject, which could reasonably be expected to (i) have a material adverse effect on the value of an Unencumbered Asset, (ii) have a Material Adverse Effect or (iii) result in the imposition or assertion of a Lien against any Unencumbered Asset which is not a Permitted Lien, notice to the Administrative Agent thereof.</w:t>
      </w:r>
    </w:p>
    <w:p>
      <w:pPr>
        <w:spacing w:after="0" w:line="185" w:lineRule="exact"/>
        <w:rPr>
          <w:rFonts w:ascii="Times New Roman" w:cs="Times New Roman" w:eastAsia="Times New Roman" w:hAnsi="Times New Roman"/>
          <w:sz w:val="19"/>
          <w:szCs w:val="19"/>
          <w:color w:val="010000"/>
        </w:rPr>
      </w:pPr>
    </w:p>
    <w:p>
      <w:pPr>
        <w:jc w:val="both"/>
        <w:ind w:firstLine="745"/>
        <w:spacing w:after="0" w:line="246" w:lineRule="auto"/>
        <w:tabs>
          <w:tab w:leader="none" w:pos="1140" w:val="left"/>
        </w:tabs>
        <w:numPr>
          <w:ilvl w:val="0"/>
          <w:numId w:val="9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Addition/Removal of Unencumbered Assets</w:t>
      </w:r>
      <w:r>
        <w:rPr>
          <w:rFonts w:ascii="Times New Roman" w:cs="Times New Roman" w:eastAsia="Times New Roman" w:hAnsi="Times New Roman"/>
          <w:sz w:val="19"/>
          <w:szCs w:val="19"/>
          <w:color w:val="auto"/>
        </w:rPr>
        <w:t>. Notice to the Administrative Agent of the addition, removal, Transfer or redesignation of any Unencumbered Asset pursuant to Section 5.01(j) or Section 5.02(e)(ii), including, promptly after obtaining actual knowledge thereof, any event or circumstance that results in any Asset previously qualifying as an Unencumbered Asset ceasing to qualify as such, together with any certificate of a Responsible Officer as is required by Section 5.01(j) or 5.02(e)(ii), as applicable.</w:t>
      </w:r>
    </w:p>
    <w:p>
      <w:pPr>
        <w:spacing w:after="0" w:line="184" w:lineRule="exact"/>
        <w:rPr>
          <w:rFonts w:ascii="Times New Roman" w:cs="Times New Roman" w:eastAsia="Times New Roman" w:hAnsi="Times New Roman"/>
          <w:sz w:val="19"/>
          <w:szCs w:val="19"/>
          <w:color w:val="010000"/>
        </w:rPr>
      </w:pPr>
    </w:p>
    <w:p>
      <w:pPr>
        <w:jc w:val="both"/>
        <w:ind w:firstLine="745"/>
        <w:spacing w:after="0" w:line="241" w:lineRule="auto"/>
        <w:tabs>
          <w:tab w:leader="none" w:pos="1154" w:val="left"/>
        </w:tabs>
        <w:numPr>
          <w:ilvl w:val="0"/>
          <w:numId w:val="9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Reconciliation Statements</w:t>
      </w:r>
      <w:r>
        <w:rPr>
          <w:rFonts w:ascii="Times New Roman" w:cs="Times New Roman" w:eastAsia="Times New Roman" w:hAnsi="Times New Roman"/>
          <w:sz w:val="19"/>
          <w:szCs w:val="19"/>
          <w:color w:val="auto"/>
        </w:rPr>
        <w:t xml:space="preserve">. If, as a result of any change in accounting principles and policies from those used in the preparation of the audited financial statements referred to in Section 4.01(g) and forecasts referred to in Section 4.01(h), the Consolidated and consolidating financial statements and forecasts of the Parent and its Subsidiaries delivered pursuant to Section 5.03(b), (c) or (f) will differ in any material respect from the Consolidated and consolidating financial statements that would have been delivered pursuant to such Section had no such change in accounting principles and policies been made, then (i) together with the first delivery of financial statements or forecasts pursuant to Section 5.03(b), (c) or (f) following such change, Consolidated and consolidating financial statements and forecasts of the Parent and its Subsidiaries for the fiscal quarter immediately preceding the fiscal quarter in which such change is made, prepared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as if such change had been in effect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482600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84" w:name="page85"/>
    <w:bookmarkEnd w:id="84"/>
    <w:p>
      <w:pPr>
        <w:jc w:val="both"/>
        <w:ind w:left="760"/>
        <w:spacing w:after="0" w:line="246" w:lineRule="auto"/>
        <w:rPr>
          <w:sz w:val="20"/>
          <w:szCs w:val="20"/>
          <w:color w:val="auto"/>
        </w:rPr>
      </w:pPr>
      <w:r>
        <w:rPr>
          <w:rFonts w:ascii="Times New Roman" w:cs="Times New Roman" w:eastAsia="Times New Roman" w:hAnsi="Times New Roman"/>
          <w:sz w:val="19"/>
          <w:szCs w:val="19"/>
          <w:color w:val="auto"/>
        </w:rPr>
        <w:t>during such fiscal quarter, and (ii) if requested by Administrative Agent, a written statement of the Chief Executive Officer, Chief Financial Officer or Treasurer (or other Responsible Officer performing similar functions) of the Parent setting forth the differences (including any differences that would affect any calculations relating to the financial covenants set forth in Section 5.04) which would have resulted if such financial statements and forecasts had been prepared without giving effect to such change.</w:t>
      </w:r>
    </w:p>
    <w:p>
      <w:pPr>
        <w:spacing w:after="0" w:line="184" w:lineRule="exact"/>
        <w:rPr>
          <w:sz w:val="20"/>
          <w:szCs w:val="20"/>
          <w:color w:val="auto"/>
        </w:rPr>
      </w:pPr>
    </w:p>
    <w:p>
      <w:pPr>
        <w:jc w:val="both"/>
        <w:ind w:left="760" w:firstLine="745"/>
        <w:spacing w:after="0" w:line="251" w:lineRule="auto"/>
        <w:tabs>
          <w:tab w:leader="none" w:pos="1900" w:val="left"/>
        </w:tabs>
        <w:numPr>
          <w:ilvl w:val="0"/>
          <w:numId w:val="9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Beneficial Ownership Certification</w:t>
      </w:r>
      <w:r>
        <w:rPr>
          <w:rFonts w:ascii="Times New Roman" w:cs="Times New Roman" w:eastAsia="Times New Roman" w:hAnsi="Times New Roman"/>
          <w:sz w:val="19"/>
          <w:szCs w:val="19"/>
          <w:color w:val="auto"/>
        </w:rPr>
        <w:t>. Promptly following any change in beneficial ownership of the Borrower that would render any statement in the existing Beneficial Ownership Certification untrue or inaccurate, an updated Beneficial Ownership Certification for the Borrower.</w:t>
      </w:r>
    </w:p>
    <w:p>
      <w:pPr>
        <w:spacing w:after="0" w:line="178" w:lineRule="exact"/>
        <w:rPr>
          <w:rFonts w:ascii="Times New Roman" w:cs="Times New Roman" w:eastAsia="Times New Roman" w:hAnsi="Times New Roman"/>
          <w:sz w:val="19"/>
          <w:szCs w:val="19"/>
          <w:color w:val="010000"/>
        </w:rPr>
      </w:pPr>
    </w:p>
    <w:p>
      <w:pPr>
        <w:jc w:val="both"/>
        <w:ind w:left="760" w:firstLine="745"/>
        <w:spacing w:after="0" w:line="251" w:lineRule="auto"/>
        <w:tabs>
          <w:tab w:leader="none" w:pos="1941" w:val="left"/>
        </w:tabs>
        <w:numPr>
          <w:ilvl w:val="0"/>
          <w:numId w:val="9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Other Information</w:t>
      </w:r>
      <w:r>
        <w:rPr>
          <w:rFonts w:ascii="Times New Roman" w:cs="Times New Roman" w:eastAsia="Times New Roman" w:hAnsi="Times New Roman"/>
          <w:sz w:val="19"/>
          <w:szCs w:val="19"/>
          <w:color w:val="auto"/>
        </w:rPr>
        <w:t>. Promptly, such other information respecting the business, condition (financial or otherwise), operations, performance, properties or prospects of any Loan Party or any of its Restricted Subsidiaries as the Administrative Agent, or any Lender through the Administrative Agent, may from time to time reasonably request.</w:t>
      </w:r>
    </w:p>
    <w:p>
      <w:pPr>
        <w:spacing w:after="0" w:line="179" w:lineRule="exact"/>
        <w:rPr>
          <w:sz w:val="20"/>
          <w:szCs w:val="20"/>
          <w:color w:val="auto"/>
        </w:rPr>
      </w:pPr>
    </w:p>
    <w:p>
      <w:pPr>
        <w:ind w:firstLine="1497"/>
        <w:spacing w:after="0" w:line="265" w:lineRule="auto"/>
        <w:rPr>
          <w:sz w:val="20"/>
          <w:szCs w:val="20"/>
          <w:color w:val="auto"/>
        </w:rPr>
      </w:pPr>
      <w:r>
        <w:rPr>
          <w:rFonts w:ascii="Times New Roman" w:cs="Times New Roman" w:eastAsia="Times New Roman" w:hAnsi="Times New Roman"/>
          <w:sz w:val="19"/>
          <w:szCs w:val="19"/>
          <w:color w:val="010000"/>
        </w:rPr>
        <w:t xml:space="preserve">Section 5.04 </w:t>
      </w:r>
      <w:r>
        <w:rPr>
          <w:rFonts w:ascii="Times New Roman" w:cs="Times New Roman" w:eastAsia="Times New Roman" w:hAnsi="Times New Roman"/>
          <w:sz w:val="19"/>
          <w:szCs w:val="19"/>
          <w:u w:val="single" w:color="auto"/>
          <w:color w:val="000000"/>
        </w:rPr>
        <w:t>Financial Covenants</w:t>
      </w:r>
      <w:r>
        <w:rPr>
          <w:rFonts w:ascii="Times New Roman" w:cs="Times New Roman" w:eastAsia="Times New Roman" w:hAnsi="Times New Roman"/>
          <w:sz w:val="19"/>
          <w:szCs w:val="19"/>
          <w:color w:val="000000"/>
        </w:rPr>
        <w:t>. So long as any Advance or any other Obligation of any Loan Party under any Loan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Document shall remain unpaid or any Lender shall have, at any time after the Initial Borrowing, any Commitment hereunder, the Parent will:</w:t>
      </w:r>
    </w:p>
    <w:p>
      <w:pPr>
        <w:spacing w:after="0" w:line="166" w:lineRule="exact"/>
        <w:rPr>
          <w:sz w:val="20"/>
          <w:szCs w:val="20"/>
          <w:color w:val="auto"/>
        </w:rPr>
      </w:pPr>
    </w:p>
    <w:p>
      <w:pPr>
        <w:ind w:left="1880" w:hanging="375"/>
        <w:spacing w:after="0"/>
        <w:tabs>
          <w:tab w:leader="none" w:pos="1880" w:val="left"/>
        </w:tabs>
        <w:numPr>
          <w:ilvl w:val="0"/>
          <w:numId w:val="9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Parent Financial Covenants</w:t>
      </w:r>
      <w:r>
        <w:rPr>
          <w:rFonts w:ascii="Times New Roman" w:cs="Times New Roman" w:eastAsia="Times New Roman" w:hAnsi="Times New Roman"/>
          <w:sz w:val="19"/>
          <w:szCs w:val="19"/>
          <w:color w:val="auto"/>
        </w:rPr>
        <w:t>.</w:t>
      </w:r>
    </w:p>
    <w:p>
      <w:pPr>
        <w:spacing w:after="0" w:line="209" w:lineRule="exact"/>
        <w:rPr>
          <w:rFonts w:ascii="Times New Roman" w:cs="Times New Roman" w:eastAsia="Times New Roman" w:hAnsi="Times New Roman"/>
          <w:sz w:val="19"/>
          <w:szCs w:val="19"/>
          <w:color w:val="010000"/>
        </w:rPr>
      </w:pPr>
    </w:p>
    <w:p>
      <w:pPr>
        <w:jc w:val="both"/>
        <w:ind w:left="1500" w:firstLine="754"/>
        <w:spacing w:after="0" w:line="248" w:lineRule="auto"/>
        <w:tabs>
          <w:tab w:leader="none" w:pos="2627" w:val="left"/>
        </w:tabs>
        <w:numPr>
          <w:ilvl w:val="1"/>
          <w:numId w:val="9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Maximum Leverage Ratio</w:t>
      </w:r>
      <w:r>
        <w:rPr>
          <w:rFonts w:ascii="Times New Roman" w:cs="Times New Roman" w:eastAsia="Times New Roman" w:hAnsi="Times New Roman"/>
          <w:sz w:val="19"/>
          <w:szCs w:val="19"/>
          <w:color w:val="auto"/>
        </w:rPr>
        <w:t xml:space="preserve">. Maintain at all times a Leverage Ratio of not greater than 60%;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Leverage Ratio may be increased to 65% for the four consecutive fiscal quarters following the fiscal quarter in which a Material Acquisition occurs (the period during which any such increase in the Leverage Ratio shall be in effect being called a “</w:t>
      </w:r>
      <w:r>
        <w:rPr>
          <w:rFonts w:ascii="Times New Roman" w:cs="Times New Roman" w:eastAsia="Times New Roman" w:hAnsi="Times New Roman"/>
          <w:sz w:val="19"/>
          <w:szCs w:val="19"/>
          <w:i w:val="1"/>
          <w:iCs w:val="1"/>
          <w:color w:val="auto"/>
        </w:rPr>
        <w:t>Leverage Increase Period</w:t>
      </w:r>
      <w:r>
        <w:rPr>
          <w:rFonts w:ascii="Times New Roman" w:cs="Times New Roman" w:eastAsia="Times New Roman" w:hAnsi="Times New Roman"/>
          <w:sz w:val="19"/>
          <w:szCs w:val="19"/>
          <w:color w:val="auto"/>
        </w:rPr>
        <w:t>”). There shall be no more than two Leverage Increase Periods prior to the Termination Date.</w:t>
      </w:r>
    </w:p>
    <w:p>
      <w:pPr>
        <w:spacing w:after="0" w:line="180" w:lineRule="exact"/>
        <w:rPr>
          <w:rFonts w:ascii="Times New Roman" w:cs="Times New Roman" w:eastAsia="Times New Roman" w:hAnsi="Times New Roman"/>
          <w:sz w:val="19"/>
          <w:szCs w:val="19"/>
          <w:color w:val="010000"/>
        </w:rPr>
      </w:pPr>
    </w:p>
    <w:p>
      <w:pPr>
        <w:ind w:left="2640" w:hanging="386"/>
        <w:spacing w:after="0"/>
        <w:tabs>
          <w:tab w:leader="none" w:pos="2640" w:val="left"/>
        </w:tabs>
        <w:numPr>
          <w:ilvl w:val="1"/>
          <w:numId w:val="9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Maximum Secured Debt Leverage Ratio</w:t>
      </w:r>
      <w:r>
        <w:rPr>
          <w:rFonts w:ascii="Times New Roman" w:cs="Times New Roman" w:eastAsia="Times New Roman" w:hAnsi="Times New Roman"/>
          <w:sz w:val="19"/>
          <w:szCs w:val="19"/>
          <w:color w:val="auto"/>
        </w:rPr>
        <w:t>.  Maintain at all times a Secured Debt Leverage Ratio of not greater</w:t>
      </w:r>
    </w:p>
    <w:p>
      <w:pPr>
        <w:spacing w:after="0" w:line="17" w:lineRule="exact"/>
        <w:rPr>
          <w:rFonts w:ascii="Times New Roman" w:cs="Times New Roman" w:eastAsia="Times New Roman" w:hAnsi="Times New Roman"/>
          <w:sz w:val="19"/>
          <w:szCs w:val="19"/>
          <w:color w:val="010000"/>
        </w:rPr>
      </w:pPr>
    </w:p>
    <w:p>
      <w:pPr>
        <w:ind w:left="1500"/>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than 40%.</w:t>
      </w:r>
    </w:p>
    <w:p>
      <w:pPr>
        <w:spacing w:after="0" w:line="193" w:lineRule="exact"/>
        <w:rPr>
          <w:rFonts w:ascii="Times New Roman" w:cs="Times New Roman" w:eastAsia="Times New Roman" w:hAnsi="Times New Roman"/>
          <w:sz w:val="19"/>
          <w:szCs w:val="19"/>
          <w:color w:val="010000"/>
        </w:rPr>
      </w:pPr>
    </w:p>
    <w:p>
      <w:pPr>
        <w:ind w:left="2640" w:hanging="386"/>
        <w:spacing w:after="0"/>
        <w:tabs>
          <w:tab w:leader="none" w:pos="2640" w:val="left"/>
        </w:tabs>
        <w:numPr>
          <w:ilvl w:val="1"/>
          <w:numId w:val="9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010000"/>
        </w:rPr>
      </w:pPr>
    </w:p>
    <w:p>
      <w:pPr>
        <w:ind w:left="2640" w:hanging="386"/>
        <w:spacing w:after="0"/>
        <w:tabs>
          <w:tab w:leader="none" w:pos="2640" w:val="left"/>
        </w:tabs>
        <w:numPr>
          <w:ilvl w:val="1"/>
          <w:numId w:val="9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w:t>
      </w:r>
    </w:p>
    <w:p>
      <w:pPr>
        <w:spacing w:after="0" w:line="209" w:lineRule="exact"/>
        <w:rPr>
          <w:rFonts w:ascii="Times New Roman" w:cs="Times New Roman" w:eastAsia="Times New Roman" w:hAnsi="Times New Roman"/>
          <w:sz w:val="19"/>
          <w:szCs w:val="19"/>
          <w:color w:val="010000"/>
        </w:rPr>
      </w:pPr>
    </w:p>
    <w:p>
      <w:pPr>
        <w:jc w:val="both"/>
        <w:ind w:left="1500" w:firstLine="754"/>
        <w:spacing w:after="0" w:line="253" w:lineRule="auto"/>
        <w:tabs>
          <w:tab w:leader="none" w:pos="2640" w:val="left"/>
        </w:tabs>
        <w:numPr>
          <w:ilvl w:val="1"/>
          <w:numId w:val="9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Maximum Dividend Payout Ratio</w:t>
      </w:r>
      <w:r>
        <w:rPr>
          <w:rFonts w:ascii="Times New Roman" w:cs="Times New Roman" w:eastAsia="Times New Roman" w:hAnsi="Times New Roman"/>
          <w:sz w:val="19"/>
          <w:szCs w:val="19"/>
          <w:color w:val="auto"/>
        </w:rPr>
        <w:t xml:space="preserve">. Maintain at all times a Dividend Payout Ratio of equal to or </w:t>
      </w:r>
      <w:r>
        <w:rPr>
          <w:rFonts w:ascii="Times New Roman" w:cs="Times New Roman" w:eastAsia="Times New Roman" w:hAnsi="Times New Roman"/>
          <w:sz w:val="19"/>
          <w:szCs w:val="19"/>
          <w:i w:val="1"/>
          <w:iCs w:val="1"/>
          <w:color w:val="auto"/>
        </w:rPr>
        <w:t>less</w:t>
      </w:r>
      <w:r>
        <w:rPr>
          <w:rFonts w:ascii="Times New Roman" w:cs="Times New Roman" w:eastAsia="Times New Roman" w:hAnsi="Times New Roman"/>
          <w:sz w:val="19"/>
          <w:szCs w:val="19"/>
          <w:color w:val="auto"/>
        </w:rPr>
        <w:t xml:space="preserve"> than (A) 95% or (B) such greater amount as may be required by applicable law to maintain status as a REIT for tax purposes and avoid imposition of income and excise taxes on the Parent under the Internal Revenue Code.</w:t>
      </w:r>
    </w:p>
    <w:p>
      <w:pPr>
        <w:spacing w:after="0" w:line="177" w:lineRule="exact"/>
        <w:rPr>
          <w:rFonts w:ascii="Times New Roman" w:cs="Times New Roman" w:eastAsia="Times New Roman" w:hAnsi="Times New Roman"/>
          <w:sz w:val="19"/>
          <w:szCs w:val="19"/>
          <w:color w:val="010000"/>
        </w:rPr>
      </w:pPr>
    </w:p>
    <w:p>
      <w:pPr>
        <w:ind w:left="2640" w:hanging="386"/>
        <w:spacing w:after="0"/>
        <w:tabs>
          <w:tab w:leader="none" w:pos="2640" w:val="left"/>
        </w:tabs>
        <w:numPr>
          <w:ilvl w:val="1"/>
          <w:numId w:val="9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Minimum Fixed Charge Coverage Ratio</w:t>
      </w:r>
      <w:r>
        <w:rPr>
          <w:rFonts w:ascii="Times New Roman" w:cs="Times New Roman" w:eastAsia="Times New Roman" w:hAnsi="Times New Roman"/>
          <w:sz w:val="19"/>
          <w:szCs w:val="19"/>
          <w:color w:val="auto"/>
        </w:rPr>
        <w:t>. Maintain at all times a Fixed Charge Coverage Ratio of not less than</w:t>
      </w:r>
    </w:p>
    <w:p>
      <w:pPr>
        <w:spacing w:after="0" w:line="17" w:lineRule="exact"/>
        <w:rPr>
          <w:rFonts w:ascii="Times New Roman" w:cs="Times New Roman" w:eastAsia="Times New Roman" w:hAnsi="Times New Roman"/>
          <w:sz w:val="19"/>
          <w:szCs w:val="19"/>
          <w:color w:val="010000"/>
        </w:rPr>
      </w:pPr>
    </w:p>
    <w:p>
      <w:pPr>
        <w:ind w:left="1500"/>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1.50:1.0.</w:t>
      </w:r>
    </w:p>
    <w:p>
      <w:pPr>
        <w:spacing w:after="0" w:line="193" w:lineRule="exact"/>
        <w:rPr>
          <w:rFonts w:ascii="Times New Roman" w:cs="Times New Roman" w:eastAsia="Times New Roman" w:hAnsi="Times New Roman"/>
          <w:sz w:val="19"/>
          <w:szCs w:val="19"/>
          <w:color w:val="010000"/>
        </w:rPr>
      </w:pPr>
    </w:p>
    <w:p>
      <w:pPr>
        <w:ind w:left="1880" w:hanging="375"/>
        <w:spacing w:after="0"/>
        <w:tabs>
          <w:tab w:leader="none" w:pos="1880" w:val="left"/>
        </w:tabs>
        <w:numPr>
          <w:ilvl w:val="0"/>
          <w:numId w:val="9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Unencumbered Asset Financial Covenants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010000"/>
        </w:rPr>
      </w:pPr>
    </w:p>
    <w:p>
      <w:pPr>
        <w:jc w:val="both"/>
        <w:ind w:left="1500" w:firstLine="754"/>
        <w:spacing w:after="0" w:line="251" w:lineRule="auto"/>
        <w:tabs>
          <w:tab w:leader="none" w:pos="2640" w:val="left"/>
        </w:tabs>
        <w:numPr>
          <w:ilvl w:val="1"/>
          <w:numId w:val="9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Maximum Unsecured Leverage Ratio</w:t>
      </w:r>
      <w:r>
        <w:rPr>
          <w:rFonts w:ascii="Times New Roman" w:cs="Times New Roman" w:eastAsia="Times New Roman" w:hAnsi="Times New Roman"/>
          <w:sz w:val="19"/>
          <w:szCs w:val="19"/>
          <w:color w:val="auto"/>
        </w:rPr>
        <w:t xml:space="preserve">. Maintain at all times an Unsecured Leverage Ratio of not greater than 60%;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Unsecured Leverage Ratio may be increased to 65% for the four consecutive fiscal quarters following the fiscal quarter in which a Material Acquisition occurs (the period during which any such increase in the Leverage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5" w:name="page86"/>
    <w:bookmarkEnd w:id="85"/>
    <w:p>
      <w:pPr>
        <w:ind w:left="1500" w:right="20"/>
        <w:spacing w:after="0" w:line="270" w:lineRule="auto"/>
        <w:rPr>
          <w:sz w:val="20"/>
          <w:szCs w:val="20"/>
          <w:color w:val="auto"/>
        </w:rPr>
      </w:pPr>
      <w:r>
        <w:rPr>
          <w:rFonts w:ascii="Times New Roman" w:cs="Times New Roman" w:eastAsia="Times New Roman" w:hAnsi="Times New Roman"/>
          <w:sz w:val="19"/>
          <w:szCs w:val="19"/>
          <w:color w:val="auto"/>
        </w:rPr>
        <w:t>Ratio shall be in effect being called a “</w:t>
      </w:r>
      <w:r>
        <w:rPr>
          <w:rFonts w:ascii="Times New Roman" w:cs="Times New Roman" w:eastAsia="Times New Roman" w:hAnsi="Times New Roman"/>
          <w:sz w:val="19"/>
          <w:szCs w:val="19"/>
          <w:i w:val="1"/>
          <w:iCs w:val="1"/>
          <w:color w:val="auto"/>
        </w:rPr>
        <w:t>Unsecured Leverage Increase Period</w:t>
      </w:r>
      <w:r>
        <w:rPr>
          <w:rFonts w:ascii="Times New Roman" w:cs="Times New Roman" w:eastAsia="Times New Roman" w:hAnsi="Times New Roman"/>
          <w:sz w:val="19"/>
          <w:szCs w:val="19"/>
          <w:color w:val="auto"/>
        </w:rPr>
        <w:t>”). There shall be no more than two Unsecured Leverage Increase Periods prior to the Termination Date.</w:t>
      </w:r>
    </w:p>
    <w:p>
      <w:pPr>
        <w:spacing w:after="0" w:line="160" w:lineRule="exact"/>
        <w:rPr>
          <w:sz w:val="20"/>
          <w:szCs w:val="20"/>
          <w:color w:val="auto"/>
        </w:rPr>
      </w:pPr>
    </w:p>
    <w:p>
      <w:pPr>
        <w:ind w:left="1500" w:firstLine="754"/>
        <w:spacing w:after="0" w:line="265" w:lineRule="auto"/>
        <w:tabs>
          <w:tab w:leader="none" w:pos="2640" w:val="left"/>
        </w:tabs>
        <w:numPr>
          <w:ilvl w:val="0"/>
          <w:numId w:val="9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Minimum Unencumbered Asset Debt Service Coverage Ratio</w:t>
      </w:r>
      <w:r>
        <w:rPr>
          <w:rFonts w:ascii="Times New Roman" w:cs="Times New Roman" w:eastAsia="Times New Roman" w:hAnsi="Times New Roman"/>
          <w:sz w:val="19"/>
          <w:szCs w:val="19"/>
          <w:color w:val="auto"/>
        </w:rPr>
        <w:t>. Maintain at all times an Unencumbered Asset Debt Service Coverage Ratio of not less than 1.75:1.00.</w:t>
      </w:r>
    </w:p>
    <w:p>
      <w:pPr>
        <w:spacing w:after="0" w:line="166"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auto"/>
        </w:rPr>
        <w:t xml:space="preserve">To the extent any calculations described in Sections 5.04(a) or 5.04(b) are required to be made on any date of determination other than the last day of a fiscal quarter of the Parent, such calculations shall be made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to account for any acquisitions or dispositions of Assets, and the incurrence or repayment of any Debt for borrowed money relating to such Assets, that have occurred since the last day of the fiscal quarter of the Parent most recently ended. To the extent any calculations described in Sections 5.04(a) or 5.04(b) are required to be made on a Test Date relating to (a) an Advance or (b) any addition, removal, redesignation or Transfer of any Unencumbered Asset pursuant to Section 5.01(j) or Section 5.02(e)(ii), such calculations shall be made both immediately before and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immediately after giving effect to such Advance or such Transfer, as applicable. All such calculations shall be reasonably acceptable to the Administrative Agent.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VI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EVENTS OF DEFAULT</w:t>
      </w:r>
    </w:p>
    <w:p>
      <w:pPr>
        <w:spacing w:after="0" w:line="212"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6.01</w:t>
      </w:r>
      <w:r>
        <w:rPr>
          <w:sz w:val="20"/>
          <w:szCs w:val="20"/>
          <w:color w:val="auto"/>
        </w:rPr>
        <w:tab/>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any of the following events (“</w:t>
      </w:r>
      <w:r>
        <w:rPr>
          <w:rFonts w:ascii="Times New Roman" w:cs="Times New Roman" w:eastAsia="Times New Roman" w:hAnsi="Times New Roman"/>
          <w:sz w:val="18"/>
          <w:szCs w:val="18"/>
          <w:b w:val="1"/>
          <w:bCs w:val="1"/>
          <w:i w:val="1"/>
          <w:iCs w:val="1"/>
          <w:color w:val="auto"/>
        </w:rPr>
        <w:t>Events of Default</w:t>
      </w:r>
      <w:r>
        <w:rPr>
          <w:rFonts w:ascii="Times New Roman" w:cs="Times New Roman" w:eastAsia="Times New Roman" w:hAnsi="Times New Roman"/>
          <w:sz w:val="18"/>
          <w:szCs w:val="18"/>
          <w:color w:val="auto"/>
        </w:rPr>
        <w:t>”) shall occur and be continuing:</w:t>
      </w:r>
    </w:p>
    <w:p>
      <w:pPr>
        <w:spacing w:after="0" w:line="220" w:lineRule="exact"/>
        <w:rPr>
          <w:sz w:val="20"/>
          <w:szCs w:val="20"/>
          <w:color w:val="auto"/>
        </w:rPr>
      </w:pPr>
    </w:p>
    <w:p>
      <w:pPr>
        <w:jc w:val="both"/>
        <w:ind w:left="760" w:firstLine="745"/>
        <w:spacing w:after="0" w:line="246" w:lineRule="auto"/>
        <w:tabs>
          <w:tab w:leader="none" w:pos="1900" w:val="left"/>
        </w:tabs>
        <w:numPr>
          <w:ilvl w:val="0"/>
          <w:numId w:val="9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Failure to Make Payments When Due</w:t>
      </w:r>
      <w:r>
        <w:rPr>
          <w:rFonts w:ascii="Times New Roman" w:cs="Times New Roman" w:eastAsia="Times New Roman" w:hAnsi="Times New Roman"/>
          <w:sz w:val="19"/>
          <w:szCs w:val="19"/>
          <w:color w:val="auto"/>
        </w:rPr>
        <w:t>. (i) The Borrower shall fail to pay any principal of any Advance when the same shall become due and payable or (ii) the Borrower shall fail to pay any interest on any Advance, or any Loan Party shall fail to make any other payment under any Loan Document, in each case under this clause (ii) within three Business Days after the same becomes due and payable; or</w:t>
      </w:r>
    </w:p>
    <w:p>
      <w:pPr>
        <w:spacing w:after="0" w:line="184" w:lineRule="exact"/>
        <w:rPr>
          <w:rFonts w:ascii="Times New Roman" w:cs="Times New Roman" w:eastAsia="Times New Roman" w:hAnsi="Times New Roman"/>
          <w:sz w:val="19"/>
          <w:szCs w:val="19"/>
          <w:color w:val="010000"/>
        </w:rPr>
      </w:pPr>
    </w:p>
    <w:p>
      <w:pPr>
        <w:jc w:val="both"/>
        <w:ind w:left="760" w:firstLine="745"/>
        <w:spacing w:after="0" w:line="244" w:lineRule="auto"/>
        <w:tabs>
          <w:tab w:leader="none" w:pos="1914" w:val="left"/>
        </w:tabs>
        <w:numPr>
          <w:ilvl w:val="0"/>
          <w:numId w:val="9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Breach of Representations and Warranties</w:t>
      </w:r>
      <w:r>
        <w:rPr>
          <w:rFonts w:ascii="Times New Roman" w:cs="Times New Roman" w:eastAsia="Times New Roman" w:hAnsi="Times New Roman"/>
          <w:sz w:val="19"/>
          <w:szCs w:val="19"/>
          <w:color w:val="auto"/>
        </w:rPr>
        <w:t>. Any representation, warranty, certification or statement of fact made or deemed made by or on behalf of the Borrower or any other Loan Party herein, in any other Loan Document, or in any document delivered in connection herewith or therewith shall be incorrect or misleading in any material respect when made or deemed made or any representation or warranty that is already by its terms qualified as to “materiality”, “Material Adverse Effect” or similar language shall be incorrect or misleading in any respect after giving effect to such qualification when made or deemed made; or</w:t>
      </w:r>
    </w:p>
    <w:p>
      <w:pPr>
        <w:spacing w:after="0" w:line="185" w:lineRule="exact"/>
        <w:rPr>
          <w:rFonts w:ascii="Times New Roman" w:cs="Times New Roman" w:eastAsia="Times New Roman" w:hAnsi="Times New Roman"/>
          <w:sz w:val="19"/>
          <w:szCs w:val="19"/>
          <w:color w:val="010000"/>
        </w:rPr>
      </w:pPr>
    </w:p>
    <w:p>
      <w:pPr>
        <w:ind w:left="760" w:firstLine="745"/>
        <w:spacing w:after="0" w:line="265" w:lineRule="auto"/>
        <w:tabs>
          <w:tab w:leader="none" w:pos="1887" w:val="left"/>
        </w:tabs>
        <w:numPr>
          <w:ilvl w:val="0"/>
          <w:numId w:val="9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Breach of Certain Covenants</w:t>
      </w:r>
      <w:r>
        <w:rPr>
          <w:rFonts w:ascii="Times New Roman" w:cs="Times New Roman" w:eastAsia="Times New Roman" w:hAnsi="Times New Roman"/>
          <w:sz w:val="19"/>
          <w:szCs w:val="19"/>
          <w:color w:val="auto"/>
        </w:rPr>
        <w:t>. The Borrower shall fail to perform or observe any term, covenant or agreement contained in Section 2.14, 5.01(e) (only with respect to the Borrower or the Parent), (i), (o), (p) or (q), 5.02, 5.03 or 5.04; or</w:t>
      </w:r>
    </w:p>
    <w:p>
      <w:pPr>
        <w:spacing w:after="0" w:line="165" w:lineRule="exact"/>
        <w:rPr>
          <w:rFonts w:ascii="Times New Roman" w:cs="Times New Roman" w:eastAsia="Times New Roman" w:hAnsi="Times New Roman"/>
          <w:sz w:val="19"/>
          <w:szCs w:val="19"/>
          <w:color w:val="010000"/>
        </w:rPr>
      </w:pPr>
    </w:p>
    <w:p>
      <w:pPr>
        <w:jc w:val="both"/>
        <w:ind w:left="760" w:firstLine="745"/>
        <w:spacing w:after="0" w:line="246" w:lineRule="auto"/>
        <w:tabs>
          <w:tab w:leader="none" w:pos="1914" w:val="left"/>
        </w:tabs>
        <w:numPr>
          <w:ilvl w:val="0"/>
          <w:numId w:val="9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Other Defaults under Loan Documents</w:t>
      </w:r>
      <w:r>
        <w:rPr>
          <w:rFonts w:ascii="Times New Roman" w:cs="Times New Roman" w:eastAsia="Times New Roman" w:hAnsi="Times New Roman"/>
          <w:sz w:val="19"/>
          <w:szCs w:val="19"/>
          <w:color w:val="auto"/>
        </w:rPr>
        <w:t>. Any Loan Party shall fail to perform or observe any other term, covenant or agreement contained in any Loan Document (other than a Guaranteed Hedge Agreement) on its part to be performed or observed if such failure shall remain unremedied for 30 days after the earlier of the date on which (i) a Responsible Officer becomes aware of such failure or (ii) written notice thereof shall have been given to the Borrower by the Administrative Agent or any Lender; or</w:t>
      </w:r>
    </w:p>
    <w:p>
      <w:pPr>
        <w:spacing w:after="0" w:line="184" w:lineRule="exact"/>
        <w:rPr>
          <w:rFonts w:ascii="Times New Roman" w:cs="Times New Roman" w:eastAsia="Times New Roman" w:hAnsi="Times New Roman"/>
          <w:sz w:val="19"/>
          <w:szCs w:val="19"/>
          <w:color w:val="010000"/>
        </w:rPr>
      </w:pPr>
    </w:p>
    <w:p>
      <w:pPr>
        <w:jc w:val="both"/>
        <w:ind w:left="760" w:firstLine="745"/>
        <w:spacing w:after="0" w:line="251" w:lineRule="auto"/>
        <w:tabs>
          <w:tab w:leader="none" w:pos="1900" w:val="left"/>
        </w:tabs>
        <w:numPr>
          <w:ilvl w:val="0"/>
          <w:numId w:val="9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Cross Defaults</w:t>
      </w:r>
      <w:r>
        <w:rPr>
          <w:rFonts w:ascii="Times New Roman" w:cs="Times New Roman" w:eastAsia="Times New Roman" w:hAnsi="Times New Roman"/>
          <w:sz w:val="19"/>
          <w:szCs w:val="19"/>
          <w:color w:val="auto"/>
        </w:rPr>
        <w:t>. (i) Any Loan Party or any Restricted Subsidiary thereof shall fail to pay any principal of, premium or interest on or any other amount payable in respect of any Material Debt when the same becomes due and payable (whether by scheduled maturity, required prepayment, acceleration, demand or otherwise); or (ii) any other event shall occur or condition shall exist under 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86" w:name="page87"/>
    <w:bookmarkEnd w:id="86"/>
    <w:p>
      <w:pPr>
        <w:jc w:val="both"/>
        <w:spacing w:after="0" w:line="242" w:lineRule="auto"/>
        <w:rPr>
          <w:sz w:val="20"/>
          <w:szCs w:val="20"/>
          <w:color w:val="auto"/>
        </w:rPr>
      </w:pPr>
      <w:r>
        <w:rPr>
          <w:rFonts w:ascii="Times New Roman" w:cs="Times New Roman" w:eastAsia="Times New Roman" w:hAnsi="Times New Roman"/>
          <w:sz w:val="19"/>
          <w:szCs w:val="19"/>
          <w:color w:val="auto"/>
        </w:rPr>
        <w:t>agreement or instrument relating to any such Material Debt, if (A) the effect of such event or condition is to permit the acceleration of the maturity of such Material Debt or otherwise permit the holders thereof to cause such Material Debt to mature, and (B) such event or condition shall remain unremedied or otherwise uncured for a period of 30 days; or (iii) the maturity of any such Material Debt shall be accelerated or any such Material Debt shall be declared to be due and payable or required to be prepaid or redeemed (other than by a regularly scheduled required prepayment or redemption), purchased or defeased, or an offer to prepay, redeem, purchase or defease such Material Debt shall be required to be made, in each case prior to the stated maturity thereof; or</w:t>
      </w:r>
    </w:p>
    <w:p>
      <w:pPr>
        <w:spacing w:after="0" w:line="190" w:lineRule="exact"/>
        <w:rPr>
          <w:sz w:val="20"/>
          <w:szCs w:val="20"/>
          <w:color w:val="auto"/>
        </w:rPr>
      </w:pPr>
    </w:p>
    <w:p>
      <w:pPr>
        <w:jc w:val="both"/>
        <w:ind w:firstLine="745"/>
        <w:spacing w:after="0"/>
        <w:tabs>
          <w:tab w:leader="none" w:pos="1140" w:val="left"/>
        </w:tabs>
        <w:numPr>
          <w:ilvl w:val="0"/>
          <w:numId w:val="9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Insolvency Events</w:t>
      </w:r>
      <w:r>
        <w:rPr>
          <w:rFonts w:ascii="Times New Roman" w:cs="Times New Roman" w:eastAsia="Times New Roman" w:hAnsi="Times New Roman"/>
          <w:sz w:val="19"/>
          <w:szCs w:val="19"/>
          <w:color w:val="auto"/>
        </w:rPr>
        <w:t>. Any Loan Party or any Restricted Subsidiary thereof shall generally not pay its debts as such debts become due, or shall admit in writing its inability to pay its debts generally, or shall make a general assignment for the benefit of creditors; or any proceeding shall be instituted by or against any Loan Party or any Restricted Subsidiary thereof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or other similar official for it or for any substantial part of its property and, in the case of any such proceeding instituted against it (but not instituted by it) that is being diligently contested by it in good faith, either such proceeding shall remain undismissed or unstayed for a period of 60 days or any of the actions sought in such proceeding (including, without limitation, the entry of an order for relief against, or the appointment of a receiver, trustee, custodian or other similar official for, it or any substantial part of its property) shall occur; or any Loan Party or any Restricted Subsidiary thereof shall take any corporate action to authorize any of the actions set forth above in this subsection (f); or</w:t>
      </w:r>
    </w:p>
    <w:p>
      <w:pPr>
        <w:spacing w:after="0" w:line="188" w:lineRule="exact"/>
        <w:rPr>
          <w:rFonts w:ascii="Times New Roman" w:cs="Times New Roman" w:eastAsia="Times New Roman" w:hAnsi="Times New Roman"/>
          <w:sz w:val="19"/>
          <w:szCs w:val="19"/>
          <w:color w:val="010000"/>
        </w:rPr>
      </w:pPr>
    </w:p>
    <w:p>
      <w:pPr>
        <w:jc w:val="both"/>
        <w:ind w:firstLine="745"/>
        <w:spacing w:after="0"/>
        <w:tabs>
          <w:tab w:leader="none" w:pos="1127" w:val="left"/>
        </w:tabs>
        <w:numPr>
          <w:ilvl w:val="0"/>
          <w:numId w:val="9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Monetary Judgments</w:t>
      </w:r>
      <w:r>
        <w:rPr>
          <w:rFonts w:ascii="Times New Roman" w:cs="Times New Roman" w:eastAsia="Times New Roman" w:hAnsi="Times New Roman"/>
          <w:sz w:val="19"/>
          <w:szCs w:val="19"/>
          <w:color w:val="auto"/>
        </w:rPr>
        <w:t xml:space="preserve">. Any judgments or orders, either individually or in the aggregate, for the payment of money in excess of $50,000,000 shall be rendered against any Loan Party or any Restricted Subsidiary thereof and either (i) enforcement proceedings shall have been commenced by any creditor upon such judgment or order or (ii) there shall be any period of 30 consecutive days during which a stay of enforcement of such judgment or order, by reason of a pending appeal or otherwise, shall not be in effect;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any such judgment or order shall not give rise to an Event of Default under this Section 6.01(g) if and so long as (A) the amount of such judgment or order which remains unsatisfied is covered by a valid and binding policy of insurance between the respective Loan Party or Restricted Subsidiary and the insurer covering full payment of such unsatisfied amount and (B) such insurer, which shall be rated at least “A” by A.M. Best Company, has been notified, and has not disputed the claim made for payment, of the amount of such judgment or order; or</w:t>
      </w:r>
    </w:p>
    <w:p>
      <w:pPr>
        <w:spacing w:after="0" w:line="164" w:lineRule="exact"/>
        <w:rPr>
          <w:rFonts w:ascii="Times New Roman" w:cs="Times New Roman" w:eastAsia="Times New Roman" w:hAnsi="Times New Roman"/>
          <w:sz w:val="19"/>
          <w:szCs w:val="19"/>
          <w:color w:val="010000"/>
        </w:rPr>
      </w:pPr>
    </w:p>
    <w:p>
      <w:pPr>
        <w:jc w:val="both"/>
        <w:ind w:firstLine="745"/>
        <w:spacing w:after="0" w:line="230" w:lineRule="exact"/>
        <w:tabs>
          <w:tab w:leader="none" w:pos="1140" w:val="left"/>
        </w:tabs>
        <w:numPr>
          <w:ilvl w:val="0"/>
          <w:numId w:val="9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Non</w:t>
      </w:r>
      <w:r>
        <w:rPr>
          <w:rFonts w:ascii="MS PGothic" w:cs="MS PGothic" w:eastAsia="MS PGothic" w:hAnsi="MS PGothic"/>
          <w:sz w:val="19"/>
          <w:szCs w:val="19"/>
          <w:u w:val="single" w:color="auto"/>
          <w:color w:val="auto"/>
        </w:rPr>
        <w:t>‑</w:t>
      </w:r>
      <w:r>
        <w:rPr>
          <w:rFonts w:ascii="Times New Roman" w:cs="Times New Roman" w:eastAsia="Times New Roman" w:hAnsi="Times New Roman"/>
          <w:sz w:val="19"/>
          <w:szCs w:val="19"/>
          <w:u w:val="single" w:color="auto"/>
          <w:color w:val="auto"/>
        </w:rPr>
        <w:t>Monetary Judgments</w:t>
      </w:r>
      <w:r>
        <w:rPr>
          <w:rFonts w:ascii="Times New Roman" w:cs="Times New Roman" w:eastAsia="Times New Roman" w:hAnsi="Times New Roman"/>
          <w:sz w:val="19"/>
          <w:szCs w:val="19"/>
          <w:color w:val="auto"/>
        </w:rPr>
        <w:t>. (x) Any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monetary judgment, order or writ shall be rendered against any Loan Party or Restricted Subsidiary thereof or (y) any seizure or attachment shall be issued or enforced against any Borrower Party or any of their respective assets, in any such case that could reasonably be expected to result in a Material Adverse Effect, and there shall be any period of 30 consecutive days during which a stay of enforcement of such judgment, order, writ, seizure or attachment, by reason of a pending appeal or otherwise, shall not be in effect; or</w:t>
      </w:r>
    </w:p>
    <w:p>
      <w:pPr>
        <w:spacing w:after="0" w:line="191" w:lineRule="exact"/>
        <w:rPr>
          <w:rFonts w:ascii="Times New Roman" w:cs="Times New Roman" w:eastAsia="Times New Roman" w:hAnsi="Times New Roman"/>
          <w:sz w:val="19"/>
          <w:szCs w:val="19"/>
          <w:color w:val="010000"/>
        </w:rPr>
      </w:pPr>
    </w:p>
    <w:p>
      <w:pPr>
        <w:jc w:val="both"/>
        <w:ind w:firstLine="745"/>
        <w:spacing w:after="0" w:line="251" w:lineRule="auto"/>
        <w:tabs>
          <w:tab w:leader="none" w:pos="1140" w:val="left"/>
        </w:tabs>
        <w:numPr>
          <w:ilvl w:val="0"/>
          <w:numId w:val="9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Unenforceability of Loan Documents</w:t>
      </w:r>
      <w:r>
        <w:rPr>
          <w:rFonts w:ascii="Times New Roman" w:cs="Times New Roman" w:eastAsia="Times New Roman" w:hAnsi="Times New Roman"/>
          <w:sz w:val="19"/>
          <w:szCs w:val="19"/>
          <w:color w:val="auto"/>
        </w:rPr>
        <w:t>. Any provision of any Loan Document after delivery thereof pursuant to Section 3.01 or 5.01(j) shall for any reason (other than pursuant to the terms hereof or thereof) cease to be valid and binding on or enforceable against any Loan Party which is party to it, or any such Loan Party shall so state in writing; or</w:t>
      </w:r>
    </w:p>
    <w:p>
      <w:pPr>
        <w:spacing w:after="0" w:line="178" w:lineRule="exact"/>
        <w:rPr>
          <w:rFonts w:ascii="Times New Roman" w:cs="Times New Roman" w:eastAsia="Times New Roman" w:hAnsi="Times New Roman"/>
          <w:sz w:val="19"/>
          <w:szCs w:val="19"/>
          <w:color w:val="010000"/>
        </w:rPr>
      </w:pPr>
    </w:p>
    <w:p>
      <w:pPr>
        <w:ind w:left="1120" w:hanging="375"/>
        <w:spacing w:after="0"/>
        <w:tabs>
          <w:tab w:leader="none" w:pos="1120" w:val="left"/>
        </w:tabs>
        <w:numPr>
          <w:ilvl w:val="0"/>
          <w:numId w:val="9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Change of Control</w:t>
      </w:r>
      <w:r>
        <w:rPr>
          <w:rFonts w:ascii="Times New Roman" w:cs="Times New Roman" w:eastAsia="Times New Roman" w:hAnsi="Times New Roman"/>
          <w:sz w:val="19"/>
          <w:szCs w:val="19"/>
          <w:color w:val="auto"/>
        </w:rPr>
        <w:t>. A Change of Control shall occur; or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482600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87" w:name="page88"/>
    <w:bookmarkEnd w:id="87"/>
    <w:p>
      <w:pPr>
        <w:ind w:left="1880" w:hanging="375"/>
        <w:spacing w:after="0"/>
        <w:tabs>
          <w:tab w:leader="none" w:pos="1880" w:val="left"/>
        </w:tabs>
        <w:numPr>
          <w:ilvl w:val="0"/>
          <w:numId w:val="9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ERISA Events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010000"/>
        </w:rPr>
      </w:pPr>
    </w:p>
    <w:p>
      <w:pPr>
        <w:jc w:val="both"/>
        <w:ind w:left="760" w:firstLine="1494"/>
        <w:spacing w:after="0" w:line="246" w:lineRule="auto"/>
        <w:tabs>
          <w:tab w:leader="none" w:pos="2676" w:val="left"/>
        </w:tabs>
        <w:numPr>
          <w:ilvl w:val="1"/>
          <w:numId w:val="9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ERISA Event shall have occurred with respect to a Plan and the sum (determined as of the date of occurrence of such ERISA Event) of the Insufficiency of such Plan and the Insufficiency of any and all other Plans with respect to which an ERISA Event shall have occurred and then exist (or the liability of the Loan Parties and the ERISA Affiliates related to such ERISA Event) exceeds $5,000,000;</w:t>
      </w:r>
    </w:p>
    <w:p>
      <w:pPr>
        <w:spacing w:after="0" w:line="184" w:lineRule="exact"/>
        <w:rPr>
          <w:rFonts w:ascii="Times New Roman" w:cs="Times New Roman" w:eastAsia="Times New Roman" w:hAnsi="Times New Roman"/>
          <w:sz w:val="19"/>
          <w:szCs w:val="19"/>
          <w:color w:val="010000"/>
        </w:rPr>
      </w:pPr>
    </w:p>
    <w:p>
      <w:pPr>
        <w:jc w:val="both"/>
        <w:ind w:left="760" w:firstLine="1494"/>
        <w:spacing w:after="0" w:line="246" w:lineRule="auto"/>
        <w:tabs>
          <w:tab w:leader="none" w:pos="2635" w:val="left"/>
        </w:tabs>
        <w:numPr>
          <w:ilvl w:val="1"/>
          <w:numId w:val="9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Loan Party or any ERISA Affiliate shall have been notified by the sponsor of a Multiemployer Plan that it has incurred Withdrawal Liability to such Multiemployer Plan in an amount that, when aggregated with all other amounts required to be paid to Multiemployer Plans by the Loan Parties and the ERISA Affiliates as Withdrawal Liability (determined as of the date of such notification), exceeds $5,000,000 or requires payments exceeding $2,000,000 per annum; or</w:t>
      </w:r>
    </w:p>
    <w:p>
      <w:pPr>
        <w:spacing w:after="0" w:line="184" w:lineRule="exact"/>
        <w:rPr>
          <w:rFonts w:ascii="Times New Roman" w:cs="Times New Roman" w:eastAsia="Times New Roman" w:hAnsi="Times New Roman"/>
          <w:sz w:val="19"/>
          <w:szCs w:val="19"/>
          <w:color w:val="010000"/>
        </w:rPr>
      </w:pPr>
    </w:p>
    <w:p>
      <w:pPr>
        <w:jc w:val="both"/>
        <w:ind w:left="760" w:firstLine="1494"/>
        <w:spacing w:after="0" w:line="242" w:lineRule="auto"/>
        <w:tabs>
          <w:tab w:leader="none" w:pos="2635" w:val="left"/>
        </w:tabs>
        <w:numPr>
          <w:ilvl w:val="1"/>
          <w:numId w:val="9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Loan Party or any ERISA Affiliate shall have been notified by the sponsor of a Multiemployer Plan that such Multiemployer Plan is in reorganization or is being terminated, within the meaning of Title IV of ERISA, and as a result of such reorganization or termination the aggregate annual contributions of the Loan Parties and the ERISA Affiliates to all Multiemployer Plans that are then in reorganization or being terminated have been or will be increased over the amounts contributed to such Multiemployer Plans for the plan years of such Multiemployer Plans immediately preceding the plan year in which such reorganization or termination occurs by an amount exceeding $2,000,000;</w:t>
      </w:r>
    </w:p>
    <w:p>
      <w:pPr>
        <w:spacing w:after="0" w:line="19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 xml:space="preserve">then, and in any such event, the Administrative Agent (i) shall at the request, or may with the consent, of the Required Lenders, by notice to the Borrower, declare the Commitments of each Lender and the obligation of each Lender to make Advances to be terminated, whereupon the same shall forthwith terminate, (ii) shall at the request, or may with the consent, of the Required Lenders, by notice to the Borrower, declare the Advances, all interest thereon and all other amounts payable under this Agreement and the other Loan Documents to be forthwith due and payable, whereupon the Advances, all such interest and all such amounts shall become and be forthwith due and payable, without presentment, demand, protest or further notice of any kind, all of which are hereby expressly waived by the Borrower;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in the event of an actual or deemed entry of an order for relief with respect to the Borrower under any Bankruptcy Law, (y) the Commitments of each Lender and the obligation of each Lender to make Advances shall automatically be terminated and (z) the Advances, all such interest and all such amounts shall automatically become and be due and payable, without presentment, demand, protest or any notice of any kind, all of which are hereby expressly waived by the Borrower; and (iii) shall at the request, or may with the consent of the Required Lenders, proceed to enforce its rights and remedies under the Loan Documents for the benefit of the Lenders by appropriate proceedings.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VII</w:t>
      </w:r>
    </w:p>
    <w:p>
      <w:pPr>
        <w:spacing w:after="0" w:line="21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b w:val="1"/>
          <w:bCs w:val="1"/>
          <w:color w:val="auto"/>
        </w:rPr>
        <w:t>GUARANTY</w:t>
      </w:r>
    </w:p>
    <w:p>
      <w:pPr>
        <w:spacing w:after="0" w:line="218"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7.01</w:t>
      </w:r>
      <w:r>
        <w:rPr>
          <w:sz w:val="20"/>
          <w:szCs w:val="20"/>
          <w:color w:val="auto"/>
        </w:rPr>
        <w:tab/>
      </w:r>
      <w:r>
        <w:rPr>
          <w:rFonts w:ascii="Times New Roman" w:cs="Times New Roman" w:eastAsia="Times New Roman" w:hAnsi="Times New Roman"/>
          <w:sz w:val="18"/>
          <w:szCs w:val="18"/>
          <w:u w:val="single" w:color="auto"/>
          <w:color w:val="auto"/>
        </w:rPr>
        <w:t>Guaranty; Limitation of Liability</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1505"/>
        <w:spacing w:after="0" w:line="241" w:lineRule="auto"/>
        <w:tabs>
          <w:tab w:leader="none" w:pos="1875"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hereby absolutely, unconditionally and irrevocably guarantees the punctual payment when due, whether at scheduled maturity or on any date of a required prepayment or by acceleration, demand or otherwise, of all Obligations of the Borrower and each other Loan Party now or hereafter existing under or in respect of the Loan Documents (including, without limitation, any extensions, modifications, substitutions, amendments or renewals of any or all of the foregoing Obligations, but in each case excluding all Excluded Swap Obligations), whether direct or indirect, absolute or contingent, and whether for principal, interest, premiums, fees, indemnities, contract causes of action, costs, expenses or otherwise (such Obligations being the “</w:t>
      </w:r>
      <w:r>
        <w:rPr>
          <w:rFonts w:ascii="Times New Roman" w:cs="Times New Roman" w:eastAsia="Times New Roman" w:hAnsi="Times New Roman"/>
          <w:sz w:val="19"/>
          <w:szCs w:val="19"/>
          <w:b w:val="1"/>
          <w:bCs w:val="1"/>
          <w:i w:val="1"/>
          <w:iCs w:val="1"/>
          <w:color w:val="auto"/>
        </w:rPr>
        <w:t>Guaranteed Obligations</w:t>
      </w:r>
      <w:r>
        <w:rPr>
          <w:rFonts w:ascii="Times New Roman" w:cs="Times New Roman" w:eastAsia="Times New Roman" w:hAnsi="Times New Roman"/>
          <w:sz w:val="19"/>
          <w:szCs w:val="19"/>
          <w:color w:val="auto"/>
        </w:rPr>
        <w:t>”), and agrees to pay any and all expenses (including, without limitation, reasonable fees and expenses of counsel) incurred by the Administrative Agent or any Lender in enforcing any rights under this Agreement or any other Loan Document. Without limiting the generality of the foregoing, each</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8" w:name="page89"/>
    <w:bookmarkEnd w:id="88"/>
    <w:p>
      <w:pPr>
        <w:jc w:val="both"/>
        <w:spacing w:after="0" w:line="246" w:lineRule="auto"/>
        <w:rPr>
          <w:sz w:val="20"/>
          <w:szCs w:val="20"/>
          <w:color w:val="auto"/>
        </w:rPr>
      </w:pPr>
      <w:r>
        <w:rPr>
          <w:rFonts w:ascii="Times New Roman" w:cs="Times New Roman" w:eastAsia="Times New Roman" w:hAnsi="Times New Roman"/>
          <w:sz w:val="19"/>
          <w:szCs w:val="19"/>
          <w:color w:val="auto"/>
        </w:rPr>
        <w:t>Guarantor’s liability shall extend to all amounts that constitute part of the Guaranteed Obligations and would be owed by any other Loan Party to the Administrative Agent or any Lender under or in respect of the Loan Documents but for the fact that they are unenforceable or not allowable due to the existence of a bankruptcy, reorganization or similar proceeding involving such other Loan Party. This Guaranty is and constitutes a guaranty of payment and not merely of collection.</w:t>
      </w:r>
    </w:p>
    <w:p>
      <w:pPr>
        <w:spacing w:after="0" w:line="184" w:lineRule="exact"/>
        <w:rPr>
          <w:sz w:val="20"/>
          <w:szCs w:val="20"/>
          <w:color w:val="auto"/>
        </w:rPr>
      </w:pPr>
    </w:p>
    <w:p>
      <w:pPr>
        <w:jc w:val="both"/>
        <w:ind w:firstLine="1505"/>
        <w:spacing w:after="0" w:line="242" w:lineRule="auto"/>
        <w:tabs>
          <w:tab w:leader="none" w:pos="1875"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the Administrative Agent and each other Lender hereby confirms that it is the intention of all such Persons that this Guaranty and the Obligations of each Guarantor hereunder not constitute a fraudulent transfer or conveyance for purposes of Bankruptcy Law, the Uniform Fraudulent Conveyance Act, the Uniform Fraudulent Transfer Act or any similar foreign, federal or state law to the extent applicable to this Guaranty and the Obligations of each Guarantor hereunder. To effectuate the foregoing intention, the Guarantors, the Administrative Agent and the Lenders hereby irrevocably agree that the Obligations of each Guarantor under this Guaranty at any time shall be limited to the maximum amount as will result in the Obligations of such Guarantor under this Guaranty not constituting a fraudulent transfer or conveyance.</w:t>
      </w:r>
    </w:p>
    <w:p>
      <w:pPr>
        <w:spacing w:after="0" w:line="185" w:lineRule="exact"/>
        <w:rPr>
          <w:rFonts w:ascii="Times New Roman" w:cs="Times New Roman" w:eastAsia="Times New Roman" w:hAnsi="Times New Roman"/>
          <w:sz w:val="19"/>
          <w:szCs w:val="19"/>
          <w:color w:val="auto"/>
        </w:rPr>
      </w:pPr>
    </w:p>
    <w:p>
      <w:pPr>
        <w:jc w:val="both"/>
        <w:ind w:firstLine="1505"/>
        <w:spacing w:after="0" w:line="246" w:lineRule="auto"/>
        <w:tabs>
          <w:tab w:leader="none" w:pos="1875"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hereby unconditionally and irrevocably agrees that in the event any payment shall be required to be made to the Administrative Agent or any Lender under this Guaranty or any other guaranty, such Guarantor will contribute, to the maximum extent permitted by law, such amounts to each other Guarantor and each other guarantor so as to maximize the aggregate amount paid to the Administrative Agent or any Lender under or in respect of the Loan Documents.</w:t>
      </w:r>
    </w:p>
    <w:p>
      <w:pPr>
        <w:spacing w:after="0" w:line="184"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9"/>
          <w:szCs w:val="19"/>
          <w:color w:val="010000"/>
        </w:rPr>
        <w:t xml:space="preserve">Section 7.02 </w:t>
      </w:r>
      <w:r>
        <w:rPr>
          <w:rFonts w:ascii="Times New Roman" w:cs="Times New Roman" w:eastAsia="Times New Roman" w:hAnsi="Times New Roman"/>
          <w:sz w:val="19"/>
          <w:szCs w:val="19"/>
          <w:u w:val="single" w:color="auto"/>
          <w:color w:val="000000"/>
        </w:rPr>
        <w:t>Guaranty Absolute</w:t>
      </w:r>
      <w:r>
        <w:rPr>
          <w:rFonts w:ascii="Times New Roman" w:cs="Times New Roman" w:eastAsia="Times New Roman" w:hAnsi="Times New Roman"/>
          <w:sz w:val="19"/>
          <w:szCs w:val="19"/>
          <w:color w:val="000000"/>
        </w:rPr>
        <w:t>. Each Guarantor guarantees that the Guaranteed Obligations will be paid strictly in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accordance with the terms of this Agreement and the other Loan Documents, regardless of any law, regulation or order now or hereafter in effect in any jurisdiction affecting any of such terms or the rights of the Administrative Agent or any Lender with respect thereto. The Obligations of each Guarantor under or in respect of this Guaranty are independent of the Guaranteed Obligations or any other Obligations of any other Loan Party under or in respect of this Agreement or the other Loan Documents, and a separate action or actions may be brought and prosecuted against each Guarantor to enforce this Guaranty, irrespective of whether any action is brought against the Borrower or any other Loan Party or whether the Borrower or any other Loan Party is joined in any such action or actions. The liability of each Guarantor under this Guaranty shall be irrevocable, absolute and unconditional irrespective of, and each Guarantor hereby irrevocably waives any defenses it may now have or hereafter acquire in any way relating to, any or all of the following:</w:t>
      </w:r>
    </w:p>
    <w:p>
      <w:pPr>
        <w:spacing w:after="0" w:line="194" w:lineRule="exact"/>
        <w:rPr>
          <w:sz w:val="20"/>
          <w:szCs w:val="20"/>
          <w:color w:val="auto"/>
        </w:rPr>
      </w:pPr>
    </w:p>
    <w:p>
      <w:pPr>
        <w:ind w:left="1880" w:hanging="375"/>
        <w:spacing w:after="0"/>
        <w:tabs>
          <w:tab w:leader="none" w:pos="1880" w:val="left"/>
        </w:tabs>
        <w:numPr>
          <w:ilvl w:val="0"/>
          <w:numId w:val="10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lack of validity or enforceability of any Loan Document or any agreement or instrument relating thereto;</w:t>
      </w:r>
    </w:p>
    <w:p>
      <w:pPr>
        <w:spacing w:after="0" w:line="213" w:lineRule="exact"/>
        <w:rPr>
          <w:rFonts w:ascii="Times New Roman" w:cs="Times New Roman" w:eastAsia="Times New Roman" w:hAnsi="Times New Roman"/>
          <w:sz w:val="19"/>
          <w:szCs w:val="19"/>
          <w:color w:val="010000"/>
        </w:rPr>
      </w:pPr>
    </w:p>
    <w:p>
      <w:pPr>
        <w:jc w:val="both"/>
        <w:ind w:left="760" w:firstLine="745"/>
        <w:spacing w:after="0" w:line="246" w:lineRule="auto"/>
        <w:tabs>
          <w:tab w:leader="none" w:pos="1887" w:val="left"/>
        </w:tabs>
        <w:numPr>
          <w:ilvl w:val="0"/>
          <w:numId w:val="10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change in the time, manner or place of payment of, or in any other term of, all or any of the Guaranteed Obligations or any other Obligations of any other Loan Party under or in respect of the Loan Documents, or any other amendment or waiver of or any consent to departure from any Loan Document, including, without limitation, any increase in the Guaranteed Obligations resulting from the extension of additional credit to the Borrower, any other Loan Party or any of their Subsidiaries or otherwise;</w:t>
      </w:r>
    </w:p>
    <w:p>
      <w:pPr>
        <w:spacing w:after="0" w:line="154" w:lineRule="exact"/>
        <w:rPr>
          <w:rFonts w:ascii="Times New Roman" w:cs="Times New Roman" w:eastAsia="Times New Roman" w:hAnsi="Times New Roman"/>
          <w:sz w:val="19"/>
          <w:szCs w:val="19"/>
          <w:color w:val="010000"/>
        </w:rPr>
      </w:pPr>
    </w:p>
    <w:p>
      <w:pPr>
        <w:ind w:left="760" w:firstLine="745"/>
        <w:spacing w:after="0" w:line="252" w:lineRule="exact"/>
        <w:tabs>
          <w:tab w:leader="none" w:pos="1900" w:val="left"/>
        </w:tabs>
        <w:numPr>
          <w:ilvl w:val="0"/>
          <w:numId w:val="10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taking, exchange, release or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perfection of any collateral, or any taking, release or amendment or waiver of, or consent to departure from, any other guaranty, for all or any of the Guaranteed Obligations;</w:t>
      </w:r>
    </w:p>
    <w:p>
      <w:pPr>
        <w:spacing w:after="0" w:line="188" w:lineRule="exact"/>
        <w:rPr>
          <w:rFonts w:ascii="Times New Roman" w:cs="Times New Roman" w:eastAsia="Times New Roman" w:hAnsi="Times New Roman"/>
          <w:sz w:val="19"/>
          <w:szCs w:val="19"/>
          <w:color w:val="010000"/>
        </w:rPr>
      </w:pPr>
    </w:p>
    <w:p>
      <w:pPr>
        <w:ind w:left="760" w:right="20" w:firstLine="745"/>
        <w:spacing w:after="0" w:line="265" w:lineRule="auto"/>
        <w:tabs>
          <w:tab w:leader="none" w:pos="1887" w:val="left"/>
        </w:tabs>
        <w:numPr>
          <w:ilvl w:val="0"/>
          <w:numId w:val="10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manner of application of collateral, or proceeds thereof, to all or any of the Guaranteed Obligations, or any manner of sale or other disposition of any collateral for all or any of the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9" w:name="page90"/>
    <w:bookmarkEnd w:id="89"/>
    <w:p>
      <w:pPr>
        <w:ind w:left="760" w:right="20"/>
        <w:spacing w:after="0" w:line="265" w:lineRule="auto"/>
        <w:rPr>
          <w:sz w:val="20"/>
          <w:szCs w:val="20"/>
          <w:color w:val="auto"/>
        </w:rPr>
      </w:pPr>
      <w:r>
        <w:rPr>
          <w:rFonts w:ascii="Times New Roman" w:cs="Times New Roman" w:eastAsia="Times New Roman" w:hAnsi="Times New Roman"/>
          <w:sz w:val="19"/>
          <w:szCs w:val="19"/>
          <w:color w:val="auto"/>
        </w:rPr>
        <w:t>Guaranteed Obligations or any other Obligations of any Loan Party under the Loan Documents or any other assets of any Loan Party or any of its Subsidiaries;</w:t>
      </w:r>
    </w:p>
    <w:p>
      <w:pPr>
        <w:spacing w:after="0" w:line="166" w:lineRule="exact"/>
        <w:rPr>
          <w:sz w:val="20"/>
          <w:szCs w:val="20"/>
          <w:color w:val="auto"/>
        </w:rPr>
      </w:pPr>
    </w:p>
    <w:p>
      <w:pPr>
        <w:ind w:left="1880" w:hanging="375"/>
        <w:spacing w:after="0"/>
        <w:tabs>
          <w:tab w:leader="none" w:pos="1880" w:val="left"/>
        </w:tabs>
        <w:numPr>
          <w:ilvl w:val="0"/>
          <w:numId w:val="10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change, restructuring or termination of the corporate structure or existence of any Loan Party or any of its Subsidiaries;</w:t>
      </w:r>
    </w:p>
    <w:p>
      <w:pPr>
        <w:spacing w:after="0" w:line="225" w:lineRule="exact"/>
        <w:rPr>
          <w:rFonts w:ascii="Times New Roman" w:cs="Times New Roman" w:eastAsia="Times New Roman" w:hAnsi="Times New Roman"/>
          <w:sz w:val="18"/>
          <w:szCs w:val="18"/>
          <w:color w:val="010000"/>
        </w:rPr>
      </w:pPr>
    </w:p>
    <w:p>
      <w:pPr>
        <w:jc w:val="both"/>
        <w:ind w:left="760" w:firstLine="745"/>
        <w:spacing w:after="0" w:line="246" w:lineRule="auto"/>
        <w:tabs>
          <w:tab w:leader="none" w:pos="1914" w:val="left"/>
        </w:tabs>
        <w:numPr>
          <w:ilvl w:val="0"/>
          <w:numId w:val="10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failure of the Administrative Agent or any Lender to disclose to any Loan Party any information relating to the business, condition (financial or otherwise), operations, performance, properties or prospects of any other Loan Party now or hereafter known to the Administrative Agent or any Lender (each Guarantor waiving any duty on the part of the Administrative Agent and any Lender to disclose such information);</w:t>
      </w:r>
    </w:p>
    <w:p>
      <w:pPr>
        <w:spacing w:after="0" w:line="184" w:lineRule="exact"/>
        <w:rPr>
          <w:rFonts w:ascii="Times New Roman" w:cs="Times New Roman" w:eastAsia="Times New Roman" w:hAnsi="Times New Roman"/>
          <w:sz w:val="19"/>
          <w:szCs w:val="19"/>
          <w:color w:val="010000"/>
        </w:rPr>
      </w:pPr>
    </w:p>
    <w:p>
      <w:pPr>
        <w:jc w:val="both"/>
        <w:ind w:left="760" w:firstLine="745"/>
        <w:spacing w:after="0" w:line="251" w:lineRule="auto"/>
        <w:tabs>
          <w:tab w:leader="none" w:pos="1887" w:val="left"/>
        </w:tabs>
        <w:numPr>
          <w:ilvl w:val="0"/>
          <w:numId w:val="10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failure of any other Person to execute or deliver this Agreement, any other Loan Document, any Guaranty Supplement or any other guaranty or agreement or the release or reduction of liability of any Guarantor or other guarantor or surety with respect to the Guaranteed Obligations; or</w:t>
      </w:r>
    </w:p>
    <w:p>
      <w:pPr>
        <w:spacing w:after="0" w:line="178" w:lineRule="exact"/>
        <w:rPr>
          <w:rFonts w:ascii="Times New Roman" w:cs="Times New Roman" w:eastAsia="Times New Roman" w:hAnsi="Times New Roman"/>
          <w:sz w:val="19"/>
          <w:szCs w:val="19"/>
          <w:color w:val="010000"/>
        </w:rPr>
      </w:pPr>
    </w:p>
    <w:p>
      <w:pPr>
        <w:jc w:val="both"/>
        <w:ind w:left="760" w:firstLine="745"/>
        <w:spacing w:after="0" w:line="251" w:lineRule="auto"/>
        <w:tabs>
          <w:tab w:leader="none" w:pos="1900" w:val="left"/>
        </w:tabs>
        <w:numPr>
          <w:ilvl w:val="0"/>
          <w:numId w:val="10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other circumstance (including, without limitation, any statute of limitations) or any existence of or reliance on any representation by the Administrative Agent or any Lender that might otherwise constitute a defense available to, or a discharge of, any Loan Party or any other guarantor or surety.</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This Guaranty shall continue to be effective or be reinstated, as the case may be, if at any time any payment of any of the Guaranteed Obligations is rescinded or must otherwise be returned by the Administrative Agent or any Lender or any other Person upon the insolvency, bankruptcy or reorganization of the Borrower or any other Loan Party or otherwise, all as though such payment had not been made.</w:t>
      </w:r>
    </w:p>
    <w:p>
      <w:pPr>
        <w:spacing w:after="0" w:line="179"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7.03</w:t>
      </w:r>
      <w:r>
        <w:rPr>
          <w:sz w:val="20"/>
          <w:szCs w:val="20"/>
          <w:color w:val="auto"/>
        </w:rPr>
        <w:tab/>
      </w:r>
      <w:r>
        <w:rPr>
          <w:rFonts w:ascii="Times New Roman" w:cs="Times New Roman" w:eastAsia="Times New Roman" w:hAnsi="Times New Roman"/>
          <w:sz w:val="18"/>
          <w:szCs w:val="18"/>
          <w:u w:val="single" w:color="auto"/>
          <w:color w:val="auto"/>
        </w:rPr>
        <w:t>Waivers and Acknowledgments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1505"/>
        <w:spacing w:after="0" w:line="246" w:lineRule="auto"/>
        <w:tabs>
          <w:tab w:leader="none" w:pos="1875"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hereby unconditionally and irrevocably waives promptness, diligence, notice of acceptance, presentment, demand for performance, notice of nonperformance, default, acceleration, protest or dishonor and any other notice with respect to any of the Guaranteed Obligations and this Guaranty and any requirement that the Administrative Agent or any Lender protect, secure, perfect or insure any Lien or any property subject thereto or exhaust any right or take any action against any Loan Party or any other Person or any collateral.</w:t>
      </w:r>
    </w:p>
    <w:p>
      <w:pPr>
        <w:spacing w:after="0" w:line="184" w:lineRule="exact"/>
        <w:rPr>
          <w:rFonts w:ascii="Times New Roman" w:cs="Times New Roman" w:eastAsia="Times New Roman" w:hAnsi="Times New Roman"/>
          <w:sz w:val="19"/>
          <w:szCs w:val="19"/>
          <w:color w:val="auto"/>
        </w:rPr>
      </w:pPr>
    </w:p>
    <w:p>
      <w:pPr>
        <w:ind w:right="20" w:firstLine="1505"/>
        <w:spacing w:after="0" w:line="265" w:lineRule="auto"/>
        <w:tabs>
          <w:tab w:leader="none" w:pos="1875"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hereby unconditionally and irrevocably waives any right to revoke this Guaranty and acknowledges that this Guaranty is continuing in nature and applies to all Guaranteed Obligations, whether existing now or in the future.</w:t>
      </w:r>
    </w:p>
    <w:p>
      <w:pPr>
        <w:spacing w:after="0" w:line="165" w:lineRule="exact"/>
        <w:rPr>
          <w:rFonts w:ascii="Times New Roman" w:cs="Times New Roman" w:eastAsia="Times New Roman" w:hAnsi="Times New Roman"/>
          <w:sz w:val="19"/>
          <w:szCs w:val="19"/>
          <w:color w:val="auto"/>
        </w:rPr>
      </w:pPr>
    </w:p>
    <w:p>
      <w:pPr>
        <w:jc w:val="both"/>
        <w:ind w:firstLine="1505"/>
        <w:spacing w:after="0" w:line="231" w:lineRule="exact"/>
        <w:tabs>
          <w:tab w:leader="none" w:pos="1875"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hereby unconditionally and irrevocably waives (i) any defense arising by reason of any claim or defense based upon an election of remedies by the Administrative Agent or any Lender that in any manner impairs, reduces, releases or otherwise adversely affects the subrogation, reimbursement, exoneration, contribution or indemnification rights of such Guarantor or other rights of such Guarantor to proceed against any of the other Loan Parties, any other guarantor or any other Person or any collateral and (ii) any defense based on any right of set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off or counterclaim against or in respect of the Obligations of such Guarantor hereunder.</w:t>
      </w:r>
    </w:p>
    <w:p>
      <w:pPr>
        <w:spacing w:after="0" w:line="157" w:lineRule="exact"/>
        <w:rPr>
          <w:rFonts w:ascii="Times New Roman" w:cs="Times New Roman" w:eastAsia="Times New Roman" w:hAnsi="Times New Roman"/>
          <w:sz w:val="19"/>
          <w:szCs w:val="19"/>
          <w:color w:val="auto"/>
        </w:rPr>
      </w:pPr>
    </w:p>
    <w:p>
      <w:pPr>
        <w:jc w:val="both"/>
        <w:ind w:firstLine="1505"/>
        <w:spacing w:after="0" w:line="246" w:lineRule="auto"/>
        <w:tabs>
          <w:tab w:leader="none" w:pos="1875"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acknowledges that the Administrative Agent may, without notice to or demand upon such Guarantor and without affecting the liability of such Guarantor under this Guaranty, foreclose under any mortgage by nonjudicial sale, and each Guarantor hereby waives any defense to the recovery by the Administrative Agent and the Lenders against such Guarantor of any deficiency after such nonjudicial sale and any defense or benefits that may be afforded by applicable law.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0" w:name="page91"/>
    <w:bookmarkEnd w:id="90"/>
    <w:p>
      <w:pPr>
        <w:jc w:val="both"/>
        <w:ind w:firstLine="1505"/>
        <w:spacing w:after="0" w:line="246" w:lineRule="auto"/>
        <w:tabs>
          <w:tab w:leader="none" w:pos="1875"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hereby unconditionally and irrevocably waives any duty on the part of the Administrative Agent or any Lender to disclose to such Guarantor any matter, fact or thing relating to the business, condition (financial or otherwise), operations, performance, properties or prospects of the Borrower, any other Loan Party or any of their Subsidiaries now or hereafter known by the Administrative Agent or any Lender.</w:t>
      </w:r>
    </w:p>
    <w:p>
      <w:pPr>
        <w:spacing w:after="0" w:line="184" w:lineRule="exact"/>
        <w:rPr>
          <w:rFonts w:ascii="Times New Roman" w:cs="Times New Roman" w:eastAsia="Times New Roman" w:hAnsi="Times New Roman"/>
          <w:sz w:val="19"/>
          <w:szCs w:val="19"/>
          <w:color w:val="auto"/>
        </w:rPr>
      </w:pPr>
    </w:p>
    <w:p>
      <w:pPr>
        <w:jc w:val="both"/>
        <w:ind w:firstLine="1505"/>
        <w:spacing w:after="0" w:line="251" w:lineRule="auto"/>
        <w:tabs>
          <w:tab w:leader="none" w:pos="1875"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acknowledges that it will receive substantial direct and indirect benefits from the financing arrangements contemplated by this Agreement and the other Loan Documents and that the waivers set forth in Section 7.02 and this Section 7.03 are knowingly made in contemplation of such benefits.</w:t>
      </w:r>
    </w:p>
    <w:p>
      <w:pPr>
        <w:spacing w:after="0" w:line="179" w:lineRule="exact"/>
        <w:rPr>
          <w:sz w:val="20"/>
          <w:szCs w:val="20"/>
          <w:color w:val="auto"/>
        </w:rPr>
      </w:pPr>
    </w:p>
    <w:p>
      <w:pPr>
        <w:jc w:val="both"/>
        <w:ind w:firstLine="1497"/>
        <w:spacing w:after="0" w:line="219" w:lineRule="exact"/>
        <w:rPr>
          <w:sz w:val="20"/>
          <w:szCs w:val="20"/>
          <w:color w:val="auto"/>
        </w:rPr>
      </w:pPr>
      <w:r>
        <w:rPr>
          <w:rFonts w:ascii="Times New Roman" w:cs="Times New Roman" w:eastAsia="Times New Roman" w:hAnsi="Times New Roman"/>
          <w:sz w:val="18"/>
          <w:szCs w:val="18"/>
          <w:color w:val="010000"/>
        </w:rPr>
        <w:t xml:space="preserve">Section 7.04 </w:t>
      </w:r>
      <w:r>
        <w:rPr>
          <w:rFonts w:ascii="Times New Roman" w:cs="Times New Roman" w:eastAsia="Times New Roman" w:hAnsi="Times New Roman"/>
          <w:sz w:val="18"/>
          <w:szCs w:val="18"/>
          <w:u w:val="single" w:color="auto"/>
          <w:color w:val="000000"/>
        </w:rPr>
        <w:t>Subrogation</w:t>
      </w:r>
      <w:r>
        <w:rPr>
          <w:rFonts w:ascii="Times New Roman" w:cs="Times New Roman" w:eastAsia="Times New Roman" w:hAnsi="Times New Roman"/>
          <w:sz w:val="18"/>
          <w:szCs w:val="18"/>
          <w:color w:val="000000"/>
        </w:rPr>
        <w:t>. Each Guarantor hereby unconditionally and irrevocably agrees not to exercise any rights that it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may now have or hereafter acquire against the Borrower, any other Loan Party or any other insider guarantor that arise from the existence, payment, performance or enforcement of such Guarantor’s Obligations under or in respect of this Guaranty, this Agreement or any other Loan Document, including, without limitation, any right of subrogation, reimbursement, exoneration, contribution or indemnification and any right to participate in any claim or remedy of the Administrative Agent or any Lender against the Borrower, any other Loan Party or any other insider guarantor or any collateral, whether or not such claim, remedy or right arises in equity or under contract, statute or common law, including, without limitation, the right to take or receive from the Borrower, any other Loan Party or any other insider guarantor, directly or indirectly, in cash or other property or by set</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off or in any other manner, payment or security on account of such claim, remedy or right, unless and until all of the Guaranteed Obligations and all other amounts payable under this Guaranty shall have been indefeasibly paid in full in cash and the Commitments shall have expired or been terminated. If any amount shall be paid to any Guarantor in violation of the immediately preceding sentence at any time prior to the latest of (a) the indefeasible payment in full in cash of the Guaranteed Obligations and all other amounts payable under this Guaranty and (b) the termination in whole of the Commitments, such amount shall be received and held in trust for the benefit of the Administrative Agent and the Lenders, shall be segregated from other property and funds of such Guarantor and shall forthwith be paid or delivered to the Administrative Agent in the same form as so received (with any necessary endorsement or assignment) to be credited and applied to the Guaranteed Obligations and all other amounts payable under this Guaranty, whether matured or unmatured, in accordance with the terms of the Loan Documents. If (i) any Guarantor shall make payment to the Administrative Agent or any Lender of all or any part of the Guaranteed Obligations, (ii) all of the Guaranteed Obligations and all other amounts payable under this Guaranty shall have been indefeasibly paid in full in cash and (iii) the termination in whole of the Commitments shall have occurred, the Administrative Agent and the Lenders will, at such Guarantor’s request and expense, execute and deliver to such Guarantor appropriate documents, without recourse and without representation or warranty, necessary to evidence the transfer by subrogation to such Guarantor of an interest in the Guaranteed Obligations resulting from such payment made by such Guarantor pursuant to this Guaranty.</w:t>
      </w:r>
    </w:p>
    <w:p>
      <w:pPr>
        <w:spacing w:after="0" w:line="200" w:lineRule="exact"/>
        <w:rPr>
          <w:sz w:val="20"/>
          <w:szCs w:val="20"/>
          <w:color w:val="auto"/>
        </w:rPr>
      </w:pPr>
    </w:p>
    <w:p>
      <w:pPr>
        <w:spacing w:after="0" w:line="204"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010000"/>
        </w:rPr>
        <w:t xml:space="preserve">Section 7.05 </w:t>
      </w:r>
      <w:r>
        <w:rPr>
          <w:rFonts w:ascii="Times New Roman" w:cs="Times New Roman" w:eastAsia="Times New Roman" w:hAnsi="Times New Roman"/>
          <w:sz w:val="19"/>
          <w:szCs w:val="19"/>
          <w:u w:val="single" w:color="auto"/>
          <w:color w:val="000000"/>
        </w:rPr>
        <w:t>Guaranty Supplements</w:t>
      </w:r>
      <w:r>
        <w:rPr>
          <w:rFonts w:ascii="Times New Roman" w:cs="Times New Roman" w:eastAsia="Times New Roman" w:hAnsi="Times New Roman"/>
          <w:sz w:val="19"/>
          <w:szCs w:val="19"/>
          <w:color w:val="000000"/>
        </w:rPr>
        <w:t>. Upon the execution and delivery by any Person of a Guaranty Supplement, (i) such</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Person shall be referred to as an “</w:t>
      </w:r>
      <w:r>
        <w:rPr>
          <w:rFonts w:ascii="Times New Roman" w:cs="Times New Roman" w:eastAsia="Times New Roman" w:hAnsi="Times New Roman"/>
          <w:sz w:val="19"/>
          <w:szCs w:val="19"/>
          <w:b w:val="1"/>
          <w:bCs w:val="1"/>
          <w:i w:val="1"/>
          <w:iCs w:val="1"/>
          <w:color w:val="000000"/>
        </w:rPr>
        <w:t>Additional Guarantor</w:t>
      </w:r>
      <w:r>
        <w:rPr>
          <w:rFonts w:ascii="Times New Roman" w:cs="Times New Roman" w:eastAsia="Times New Roman" w:hAnsi="Times New Roman"/>
          <w:sz w:val="19"/>
          <w:szCs w:val="19"/>
          <w:color w:val="000000"/>
        </w:rPr>
        <w:t>” and shall become and be a Guarantor hereunder, and each reference in this Agreement to a “Guarantor” or a “Loan Party” shall also mean and be a reference to such Additional Guarantor, and each reference in any other Loan Document to a “Guarantor” shall also mean and be a reference to such Additional Guarantor, and (ii) each reference herein to “this Agreement”, “this Guaranty”, “hereunder”, “hereof” or words of like import referring to this Agreement and this Guaranty, and each reference in any other Loan Document to the “Loan Agreement”, “Guaranty”, “thereunder”, “thereof” or words of like import referring to this Agreement and this Guaranty, shall mean and be a reference to this Agreement and this Guaranty as supplemented by such Guaranty Supplement.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1" w:name="page92"/>
    <w:bookmarkEnd w:id="91"/>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7.06</w:t>
      </w:r>
      <w:r>
        <w:rPr>
          <w:sz w:val="20"/>
          <w:szCs w:val="20"/>
          <w:color w:val="auto"/>
        </w:rPr>
        <w:tab/>
      </w:r>
      <w:r>
        <w:rPr>
          <w:rFonts w:ascii="Times New Roman" w:cs="Times New Roman" w:eastAsia="Times New Roman" w:hAnsi="Times New Roman"/>
          <w:sz w:val="18"/>
          <w:szCs w:val="18"/>
          <w:u w:val="single" w:color="auto"/>
          <w:color w:val="auto"/>
        </w:rPr>
        <w:t>Indemnification by Guarantors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1505"/>
        <w:spacing w:after="0" w:line="242" w:lineRule="auto"/>
        <w:tabs>
          <w:tab w:leader="none" w:pos="1875"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limitation on any other Obligations of any Guarantor or remedies of the Administrative Agent or the Lenders under this Agreement, this Guaranty or the other Loan Documents, each Guarantor shall, to the fullest extent permitted by law, indemnify, defend and save and hold harmless the Administrative Agent, the Lenders, the Arrangers and each of their Affiliates and their respective officers, directors, employees, agents and advisors (each, an “</w:t>
      </w:r>
      <w:r>
        <w:rPr>
          <w:rFonts w:ascii="Times New Roman" w:cs="Times New Roman" w:eastAsia="Times New Roman" w:hAnsi="Times New Roman"/>
          <w:sz w:val="19"/>
          <w:szCs w:val="19"/>
          <w:b w:val="1"/>
          <w:bCs w:val="1"/>
          <w:i w:val="1"/>
          <w:iCs w:val="1"/>
          <w:color w:val="auto"/>
        </w:rPr>
        <w:t>Indemnified Party</w:t>
      </w:r>
      <w:r>
        <w:rPr>
          <w:rFonts w:ascii="Times New Roman" w:cs="Times New Roman" w:eastAsia="Times New Roman" w:hAnsi="Times New Roman"/>
          <w:sz w:val="19"/>
          <w:szCs w:val="19"/>
          <w:color w:val="auto"/>
        </w:rPr>
        <w:t>”) from and against, and shall pay on demand, any and all claims, damages, losses, liabilities and expenses (including, without limitation, reasonable fees and expenses of counsel) that may be incurred by or asserted or awarded against any Indemnified Party in connection with or as a result of any failure of any Guaranteed Obligations to be the legal, valid and binding obligations of any Loan Party enforceable against such Loan Party in accordance with their terms.</w:t>
      </w:r>
    </w:p>
    <w:p>
      <w:pPr>
        <w:spacing w:after="0" w:line="185" w:lineRule="exact"/>
        <w:rPr>
          <w:rFonts w:ascii="Times New Roman" w:cs="Times New Roman" w:eastAsia="Times New Roman" w:hAnsi="Times New Roman"/>
          <w:sz w:val="19"/>
          <w:szCs w:val="19"/>
          <w:color w:val="auto"/>
        </w:rPr>
      </w:pPr>
    </w:p>
    <w:p>
      <w:pPr>
        <w:jc w:val="both"/>
        <w:ind w:firstLine="1505"/>
        <w:spacing w:after="0" w:line="244" w:lineRule="auto"/>
        <w:tabs>
          <w:tab w:leader="none" w:pos="1875"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hereby also agrees that no Indemnified Party shall have any liability (whether direct or indirect, in contract, tort or otherwise) to any of the Guarantors or any of their respective Affiliates or any of their respective officers, directors, employees, agents and advisors, and each Guarantor hereby agrees not to assert any claim against any Indemnified Party on any theory of liability, for special, indirect, consequential or punitive damages arising out of or otherwise relating to the Facility, the actual or proposed use of the proceeds of the Advances, the Loan Documents or any of the transactions contemplated by the Loan Documents.</w:t>
      </w:r>
    </w:p>
    <w:p>
      <w:pPr>
        <w:spacing w:after="0" w:line="185"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9"/>
          <w:szCs w:val="19"/>
          <w:color w:val="010000"/>
        </w:rPr>
        <w:t xml:space="preserve">Section 7.07 </w:t>
      </w:r>
      <w:r>
        <w:rPr>
          <w:rFonts w:ascii="Times New Roman" w:cs="Times New Roman" w:eastAsia="Times New Roman" w:hAnsi="Times New Roman"/>
          <w:sz w:val="19"/>
          <w:szCs w:val="19"/>
          <w:u w:val="single" w:color="auto"/>
          <w:color w:val="000000"/>
        </w:rPr>
        <w:t>Subordination</w:t>
      </w:r>
      <w:r>
        <w:rPr>
          <w:rFonts w:ascii="Times New Roman" w:cs="Times New Roman" w:eastAsia="Times New Roman" w:hAnsi="Times New Roman"/>
          <w:sz w:val="19"/>
          <w:szCs w:val="19"/>
          <w:color w:val="000000"/>
        </w:rPr>
        <w:t>. Each Guarantor hereby subordinates any and all debts, liabilities and other Obligations owed to</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such Guarantor by each other Loan Party (the “</w:t>
      </w:r>
      <w:r>
        <w:rPr>
          <w:rFonts w:ascii="Times New Roman" w:cs="Times New Roman" w:eastAsia="Times New Roman" w:hAnsi="Times New Roman"/>
          <w:sz w:val="19"/>
          <w:szCs w:val="19"/>
          <w:b w:val="1"/>
          <w:bCs w:val="1"/>
          <w:i w:val="1"/>
          <w:iCs w:val="1"/>
          <w:color w:val="000000"/>
        </w:rPr>
        <w:t>Subordinated Obligations</w:t>
      </w:r>
      <w:r>
        <w:rPr>
          <w:rFonts w:ascii="Times New Roman" w:cs="Times New Roman" w:eastAsia="Times New Roman" w:hAnsi="Times New Roman"/>
          <w:sz w:val="19"/>
          <w:szCs w:val="19"/>
          <w:color w:val="000000"/>
        </w:rPr>
        <w:t>”) to the Guaranteed Obligations to the extent and in the manner hereinafter set forth in this Section 7.07.</w:t>
      </w:r>
    </w:p>
    <w:p>
      <w:pPr>
        <w:spacing w:after="0" w:line="179" w:lineRule="exact"/>
        <w:rPr>
          <w:sz w:val="20"/>
          <w:szCs w:val="20"/>
          <w:color w:val="auto"/>
        </w:rPr>
      </w:pPr>
    </w:p>
    <w:p>
      <w:pPr>
        <w:jc w:val="both"/>
        <w:ind w:firstLine="1505"/>
        <w:spacing w:after="0" w:line="242" w:lineRule="auto"/>
        <w:tabs>
          <w:tab w:leader="none" w:pos="1902" w:val="left"/>
        </w:tabs>
        <w:numPr>
          <w:ilvl w:val="0"/>
          <w:numId w:val="10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Prohibited Payments, Etc</w:t>
      </w:r>
      <w:r>
        <w:rPr>
          <w:rFonts w:ascii="Times New Roman" w:cs="Times New Roman" w:eastAsia="Times New Roman" w:hAnsi="Times New Roman"/>
          <w:sz w:val="19"/>
          <w:szCs w:val="19"/>
          <w:color w:val="auto"/>
        </w:rPr>
        <w:t>. Except during the continuance of an Event of Default (including the commencement and continuation of any proceeding under any Bankruptcy Law relating to any other Loan Party), each Guarantor may receive regularly scheduled payments or payments made in the ordinary course of business from any other Loan Party on account of the Subordinated Obligations. After the occurrence and during the continuance of any Event of Default (including the commencement and continuation of any proceeding under any Bankruptcy Law relating to any other Loan Party), however, unless the Administrative Agent otherwise agrees, no Guarantor shall demand, accept or take any action to collect any payment on account of the Subordinated Obligations.</w:t>
      </w:r>
    </w:p>
    <w:p>
      <w:pPr>
        <w:spacing w:after="0" w:line="190" w:lineRule="exact"/>
        <w:rPr>
          <w:rFonts w:ascii="Times New Roman" w:cs="Times New Roman" w:eastAsia="Times New Roman" w:hAnsi="Times New Roman"/>
          <w:sz w:val="19"/>
          <w:szCs w:val="19"/>
          <w:color w:val="010000"/>
        </w:rPr>
      </w:pPr>
    </w:p>
    <w:p>
      <w:pPr>
        <w:jc w:val="both"/>
        <w:ind w:firstLine="1505"/>
        <w:spacing w:after="0" w:line="244" w:lineRule="auto"/>
        <w:tabs>
          <w:tab w:leader="none" w:pos="1875" w:val="left"/>
        </w:tabs>
        <w:numPr>
          <w:ilvl w:val="0"/>
          <w:numId w:val="10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Prior Payment of Guaranteed Obligations</w:t>
      </w:r>
      <w:r>
        <w:rPr>
          <w:rFonts w:ascii="Times New Roman" w:cs="Times New Roman" w:eastAsia="Times New Roman" w:hAnsi="Times New Roman"/>
          <w:sz w:val="19"/>
          <w:szCs w:val="19"/>
          <w:color w:val="auto"/>
        </w:rPr>
        <w:t>. In any proceeding under any Bankruptcy Law relating to any other Loan Party, each Guarantor agrees that the Administrative Agent and the Lenders shall be entitled to receive payment in full in cash of all Guaranteed Obligations (including all interest and expenses accruing after the commencement of a proceeding under any Bankruptcy Law, whether or not constituting an allowed claim in such proceeding (“</w:t>
      </w:r>
      <w:r>
        <w:rPr>
          <w:rFonts w:ascii="Times New Roman" w:cs="Times New Roman" w:eastAsia="Times New Roman" w:hAnsi="Times New Roman"/>
          <w:sz w:val="19"/>
          <w:szCs w:val="19"/>
          <w:b w:val="1"/>
          <w:bCs w:val="1"/>
          <w:i w:val="1"/>
          <w:iCs w:val="1"/>
          <w:color w:val="auto"/>
        </w:rPr>
        <w:t>Post Petition Interest</w:t>
      </w:r>
      <w:r>
        <w:rPr>
          <w:rFonts w:ascii="Times New Roman" w:cs="Times New Roman" w:eastAsia="Times New Roman" w:hAnsi="Times New Roman"/>
          <w:sz w:val="19"/>
          <w:szCs w:val="19"/>
          <w:color w:val="auto"/>
        </w:rPr>
        <w:t>”)) before such Guarantor receives payment of any Subordinated Obligations.</w:t>
      </w:r>
    </w:p>
    <w:p>
      <w:pPr>
        <w:spacing w:after="0" w:line="155" w:lineRule="exact"/>
        <w:rPr>
          <w:rFonts w:ascii="Times New Roman" w:cs="Times New Roman" w:eastAsia="Times New Roman" w:hAnsi="Times New Roman"/>
          <w:sz w:val="19"/>
          <w:szCs w:val="19"/>
          <w:color w:val="010000"/>
        </w:rPr>
      </w:pPr>
    </w:p>
    <w:p>
      <w:pPr>
        <w:jc w:val="both"/>
        <w:ind w:firstLine="1505"/>
        <w:spacing w:after="0" w:line="228" w:lineRule="exact"/>
        <w:tabs>
          <w:tab w:leader="none" w:pos="1889" w:val="left"/>
        </w:tabs>
        <w:numPr>
          <w:ilvl w:val="0"/>
          <w:numId w:val="10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Turn</w:t>
      </w:r>
      <w:r>
        <w:rPr>
          <w:rFonts w:ascii="MS PGothic" w:cs="MS PGothic" w:eastAsia="MS PGothic" w:hAnsi="MS PGothic"/>
          <w:sz w:val="19"/>
          <w:szCs w:val="19"/>
          <w:u w:val="single" w:color="auto"/>
          <w:color w:val="auto"/>
        </w:rPr>
        <w:t>‑</w:t>
      </w:r>
      <w:r>
        <w:rPr>
          <w:rFonts w:ascii="Times New Roman" w:cs="Times New Roman" w:eastAsia="Times New Roman" w:hAnsi="Times New Roman"/>
          <w:sz w:val="19"/>
          <w:szCs w:val="19"/>
          <w:u w:val="single" w:color="auto"/>
          <w:color w:val="auto"/>
        </w:rPr>
        <w:t>Over</w:t>
      </w:r>
      <w:r>
        <w:rPr>
          <w:rFonts w:ascii="Times New Roman" w:cs="Times New Roman" w:eastAsia="Times New Roman" w:hAnsi="Times New Roman"/>
          <w:sz w:val="19"/>
          <w:szCs w:val="19"/>
          <w:color w:val="auto"/>
        </w:rPr>
        <w:t>. After the occurrence and during the continuance of any Event of Default (including the commencement and continuation of any proceeding under any Bankruptcy Law relating to any other Loan Party), each Guarantor shall, if the Administrative Agent so requests, collect, enforce and receive payments on account of the Subordinated Obligations as trustee for the Administrative Agent and the Lenders and deliver such payments to the Administrative Agent on account of the Guaranteed Obligations (including all Post Petition Interest), together with any necessary endorsements or other instruments of transfer, but without reducing or affecting in any manner the liability of such Guarantor under the other provisions of this Guaranty.</w:t>
      </w:r>
    </w:p>
    <w:p>
      <w:pPr>
        <w:spacing w:after="0" w:line="189" w:lineRule="exact"/>
        <w:rPr>
          <w:rFonts w:ascii="Times New Roman" w:cs="Times New Roman" w:eastAsia="Times New Roman" w:hAnsi="Times New Roman"/>
          <w:sz w:val="19"/>
          <w:szCs w:val="19"/>
          <w:color w:val="010000"/>
        </w:rPr>
      </w:pPr>
    </w:p>
    <w:p>
      <w:pPr>
        <w:jc w:val="both"/>
        <w:ind w:firstLine="1505"/>
        <w:spacing w:after="0" w:line="246" w:lineRule="auto"/>
        <w:tabs>
          <w:tab w:leader="none" w:pos="1875" w:val="left"/>
        </w:tabs>
        <w:numPr>
          <w:ilvl w:val="0"/>
          <w:numId w:val="10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Administrative Agent Authorization</w:t>
      </w:r>
      <w:r>
        <w:rPr>
          <w:rFonts w:ascii="Times New Roman" w:cs="Times New Roman" w:eastAsia="Times New Roman" w:hAnsi="Times New Roman"/>
          <w:sz w:val="19"/>
          <w:szCs w:val="19"/>
          <w:color w:val="auto"/>
        </w:rPr>
        <w:t>. After the occurrence and during the continuance of any Event of Default (including the commencement and continuation of any proceeding under any Bankruptcy Law relating to any other Loan Party), the Administrative Agent is authorized and empowered (but without any obligation to so do), in its discretion, (i) in the name of each Guarantor, to collect and enforce, and to submit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2" w:name="page93"/>
    <w:bookmarkEnd w:id="92"/>
    <w:p>
      <w:pPr>
        <w:jc w:val="both"/>
        <w:spacing w:after="0" w:line="246" w:lineRule="auto"/>
        <w:rPr>
          <w:sz w:val="20"/>
          <w:szCs w:val="20"/>
          <w:color w:val="auto"/>
        </w:rPr>
      </w:pPr>
      <w:r>
        <w:rPr>
          <w:rFonts w:ascii="Times New Roman" w:cs="Times New Roman" w:eastAsia="Times New Roman" w:hAnsi="Times New Roman"/>
          <w:sz w:val="19"/>
          <w:szCs w:val="19"/>
          <w:color w:val="auto"/>
        </w:rPr>
        <w:t>claims in respect of, Subordinated Obligations and to apply any amounts received thereon to the Guaranteed Obligations (including any and all Post Petition Interest), and (ii) to require each Guarantor (A) to collect and enforce, and to submit claims in respect of, Subordinated Obligations and (B) to pay any amounts received on such obligations to the Administrative Agent for application to the Guaranteed Obligations (including any and all Post Petition Interest).</w:t>
      </w:r>
    </w:p>
    <w:p>
      <w:pPr>
        <w:spacing w:after="0" w:line="184"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7.08</w:t>
      </w:r>
      <w:r>
        <w:rPr>
          <w:sz w:val="20"/>
          <w:szCs w:val="20"/>
          <w:color w:val="auto"/>
        </w:rPr>
        <w:tab/>
      </w:r>
      <w:r>
        <w:rPr>
          <w:rFonts w:ascii="Times New Roman" w:cs="Times New Roman" w:eastAsia="Times New Roman" w:hAnsi="Times New Roman"/>
          <w:sz w:val="18"/>
          <w:szCs w:val="18"/>
          <w:u w:val="single" w:color="auto"/>
          <w:color w:val="auto"/>
        </w:rPr>
        <w:t>Continuing Guaranty; Effect of Release</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1505"/>
        <w:spacing w:after="0" w:line="246" w:lineRule="auto"/>
        <w:tabs>
          <w:tab w:leader="none" w:pos="1875"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Guaranty is a continuing guaranty and shall (a) remain in full force and effect until the later of (i) the indefeasible payment in full in cash of the Guaranteed Obligations and all other amounts payable under this Guaranty and (ii) the termination in whole of the Commitments, (b) be binding upon the Guarantors, their successors and assigns and (c) inure to the benefit of and be enforceable by the Administrative Agent and the Lenders and their successors, transferees and assigns.</w:t>
      </w:r>
    </w:p>
    <w:p>
      <w:pPr>
        <w:spacing w:after="0" w:line="184" w:lineRule="exact"/>
        <w:rPr>
          <w:rFonts w:ascii="Times New Roman" w:cs="Times New Roman" w:eastAsia="Times New Roman" w:hAnsi="Times New Roman"/>
          <w:sz w:val="19"/>
          <w:szCs w:val="19"/>
          <w:color w:val="auto"/>
        </w:rPr>
      </w:pPr>
    </w:p>
    <w:p>
      <w:pPr>
        <w:jc w:val="both"/>
        <w:ind w:firstLine="1505"/>
        <w:spacing w:after="0" w:line="246" w:lineRule="auto"/>
        <w:tabs>
          <w:tab w:leader="none" w:pos="1875"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or anything to the contrary contained in this Agreement (including, without limitation, in this Article VII), in no event shall any applicable Subsidiary Guarantor have any liability or obligation of any kind or nature under the Guaranty (including for such purpose, any Guaranty Supplement) and/or this Agreement and any other Loan Document from and after the date such Subsidiary Guarantor is released from its obligations under this Agreement and the other Loan Documents pursuant to Section 9.14.</w:t>
      </w:r>
    </w:p>
    <w:p>
      <w:pPr>
        <w:spacing w:after="0" w:line="184"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9"/>
          <w:szCs w:val="19"/>
          <w:color w:val="010000"/>
        </w:rPr>
        <w:t xml:space="preserve">Section 7.09 </w:t>
      </w:r>
      <w:r>
        <w:rPr>
          <w:rFonts w:ascii="Times New Roman" w:cs="Times New Roman" w:eastAsia="Times New Roman" w:hAnsi="Times New Roman"/>
          <w:sz w:val="19"/>
          <w:szCs w:val="19"/>
          <w:u w:val="single" w:color="auto"/>
          <w:color w:val="000000"/>
        </w:rPr>
        <w:t>Keepwell</w:t>
      </w:r>
      <w:r>
        <w:rPr>
          <w:rFonts w:ascii="Times New Roman" w:cs="Times New Roman" w:eastAsia="Times New Roman" w:hAnsi="Times New Roman"/>
          <w:sz w:val="19"/>
          <w:szCs w:val="19"/>
          <w:color w:val="000000"/>
        </w:rPr>
        <w:t>. Each Qualified ECP Guarantor hereby jointly and severally absolutely, unconditionally and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irrevocably undertakes to provide such funds or other support as may be needed from time to time by each other Loan Party to honor all of its Guaranteed Obligations in respect of Swap Obligations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i w:val="1"/>
          <w:iCs w:val="1"/>
          <w:color w:val="000000"/>
        </w:rPr>
        <w:t>however</w:t>
      </w:r>
      <w:r>
        <w:rPr>
          <w:rFonts w:ascii="Times New Roman" w:cs="Times New Roman" w:eastAsia="Times New Roman" w:hAnsi="Times New Roman"/>
          <w:sz w:val="19"/>
          <w:szCs w:val="19"/>
          <w:color w:val="000000"/>
        </w:rPr>
        <w:t>, that each Qualified ECP Guarantor shall only be liable under this Section 7.09 for the maximum amount of such liability that can be hereby incurred without rendering its obligations under this Section 7.09, or otherwise in respect of the Guaranteed Obligations, as it relates to such other Loan Party, voidable under applicable law relating to fraudulent conveyance or fraudulent transfer, and not for any greater amount). The obligations of each Qualified ECP Guarantor under this Section shall remain in full force and effect until a discharge of the Guaranteed Obligations. Each Qualified ECP Guarantor intends that this Section 7.09 constitute, and this Section 7.09 shall be deemed to constitute, a “keepwell, support, or other agreement” for the benefit of each other Loan Party for all purposes of Section 1a(18)(A)(v)(II) of the Commodity Exchange Act.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VIII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THE ADMINISTRATIVE AGENT</w:t>
      </w:r>
    </w:p>
    <w:p>
      <w:pPr>
        <w:spacing w:after="0" w:line="21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19"/>
          <w:szCs w:val="19"/>
          <w:color w:val="010000"/>
        </w:rPr>
        <w:t xml:space="preserve">Section 8.01 </w:t>
      </w:r>
      <w:r>
        <w:rPr>
          <w:rFonts w:ascii="Times New Roman" w:cs="Times New Roman" w:eastAsia="Times New Roman" w:hAnsi="Times New Roman"/>
          <w:sz w:val="19"/>
          <w:szCs w:val="19"/>
          <w:u w:val="single" w:color="auto"/>
          <w:color w:val="000000"/>
        </w:rPr>
        <w:t>Authorization and Action</w:t>
      </w:r>
      <w:r>
        <w:rPr>
          <w:rFonts w:ascii="Times New Roman" w:cs="Times New Roman" w:eastAsia="Times New Roman" w:hAnsi="Times New Roman"/>
          <w:sz w:val="19"/>
          <w:szCs w:val="19"/>
          <w:color w:val="000000"/>
        </w:rPr>
        <w:t>. Each Lender (in its capacity as a Lender and on behalf of itself and its Affiliates as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potential Hedge Banks) hereby appoints and authorizes the Administrative Agent to take such action as agent on its behalf and to exercise such powers and discretion under this Agreement and the other Loan Documents as are delegated to the Administrative Agent by the terms hereof and thereof, together with such powers and discretion as are reasonably incidental thereto. As to any matters not expressly provided for by the Loan Documents (including, without limitation, enforcement or collection of the Notes), the Administrative Agent shall not be required to exercise any discretion or take any action, but shall be required to act or to refrain from acting (and shall be fully protected in so acting or refraining from acting) upon the instructions of the Required Lenders or such greater number of Lenders as may be required pursuant to this Agreement, and such instructions shall be binding upon all Lenders and all holders of Notes;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i w:val="1"/>
          <w:iCs w:val="1"/>
          <w:color w:val="000000"/>
        </w:rPr>
        <w:t>however</w:t>
      </w:r>
      <w:r>
        <w:rPr>
          <w:rFonts w:ascii="Times New Roman" w:cs="Times New Roman" w:eastAsia="Times New Roman" w:hAnsi="Times New Roman"/>
          <w:sz w:val="19"/>
          <w:szCs w:val="19"/>
          <w:color w:val="000000"/>
        </w:rPr>
        <w:t>, that the Administrative Agent shall not be required to take any action that exposes the Administrative Agent to personal liability or that is contrary to this Agreement or applicable law. The Administrative Agent agrees to give to each Lender prompt notice of each notice given to it by the Borrower pursuant to the terms of this Agreement. Notwithstanding anything to the contrary in any Loan Document, no Person identified as a syndication agent, documentation agent, senior manager, joint lead arranger or joint bookrunner, in such Person’s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3" w:name="page94"/>
    <w:bookmarkEnd w:id="93"/>
    <w:p>
      <w:pPr>
        <w:jc w:val="both"/>
        <w:spacing w:after="0" w:line="240" w:lineRule="exact"/>
        <w:rPr>
          <w:sz w:val="20"/>
          <w:szCs w:val="20"/>
          <w:color w:val="auto"/>
        </w:rPr>
      </w:pPr>
      <w:r>
        <w:rPr>
          <w:rFonts w:ascii="Times New Roman" w:cs="Times New Roman" w:eastAsia="Times New Roman" w:hAnsi="Times New Roman"/>
          <w:sz w:val="19"/>
          <w:szCs w:val="19"/>
          <w:color w:val="auto"/>
        </w:rPr>
        <w:t>capacity as such, shall have any obligations or duties to any Loan Party, the Administrative Agent or any Lender under any of such Loan Documents. In its capacity as the Lenders’ contractual representative, the Administrative Agent is a “representative” of the Lenders as used within the meaning of “Secured Party” under Section 9</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102 of the Uniform Commercial Code.</w:t>
      </w:r>
    </w:p>
    <w:p>
      <w:pPr>
        <w:spacing w:after="0" w:line="159"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19"/>
          <w:szCs w:val="19"/>
          <w:color w:val="010000"/>
        </w:rPr>
        <w:t xml:space="preserve">Section 8.02 </w:t>
      </w:r>
      <w:r>
        <w:rPr>
          <w:rFonts w:ascii="Times New Roman" w:cs="Times New Roman" w:eastAsia="Times New Roman" w:hAnsi="Times New Roman"/>
          <w:sz w:val="19"/>
          <w:szCs w:val="19"/>
          <w:u w:val="single" w:color="auto"/>
          <w:color w:val="000000"/>
        </w:rPr>
        <w:t>The Administrative Agent’s Reliance, Etc.</w:t>
      </w:r>
      <w:r>
        <w:rPr>
          <w:rFonts w:ascii="Times New Roman" w:cs="Times New Roman" w:eastAsia="Times New Roman" w:hAnsi="Times New Roman"/>
          <w:sz w:val="19"/>
          <w:szCs w:val="19"/>
          <w:color w:val="000000"/>
        </w:rPr>
        <w:t>. Neither the Administrative Agent nor any of its directors, officers,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agents or employees shall be liable for any action taken or omitted to be taken by it or them under or in connection with the Loan Documents, except for its or their own gross negligence or willful misconduct. Without limitation of the generality of the foregoing, the Administrative Agent:</w:t>
      </w:r>
    </w:p>
    <w:p>
      <w:pPr>
        <w:spacing w:after="0" w:line="2" w:lineRule="exact"/>
        <w:rPr>
          <w:sz w:val="20"/>
          <w:szCs w:val="20"/>
          <w:color w:val="auto"/>
        </w:rPr>
      </w:pPr>
    </w:p>
    <w:p>
      <w:pPr>
        <w:jc w:val="both"/>
        <w:ind w:firstLine="8"/>
        <w:spacing w:after="0" w:line="251" w:lineRule="auto"/>
        <w:tabs>
          <w:tab w:leader="none" w:pos="2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Administrative Agent, may treat the payee of any Note as the holder thereof until the Administrative Agent receives and accepts an Accession Agreement entered into by an Acceding Lender as provided in Section 2.17 or an Assignment and Acceptance entered into by the Lender that is the payee of such Note, as assignor, and an Eligible Assignee, as assignee, or, in the case of any other Agent, the Administrative Agent has received notice from the Administrative Agent that it has received and accepted such Accession Agreement or Assignment and Acceptance, as the case may be, in each case as provided in Section 9.07; (b) may consult with legal counsel (including counsel for any Loan Party), independent public accountants and other experts selected by it and shall not be liable for any action taken or omitted to be taken in good faith by it in accordance with the advice of such counsel, accountants or experts; (c) makes no warranty or representation to any Lender and shall not be responsible to any Lender for any statements, warranties or representations (whether written or oral) made in or in connection with the Loan Documents; (d) shall not have any duty to ascertain or to inquire as to the performance, observance or satisfaction of any of the terms, covenants or conditions of any Loan Document on the part of any Loan Party or the existence at any time of any Default under the Loan Documents or to inspect the property (including the books and records) of any Loan Party; (e) shall not be responsible to any Lender for the due execution, legality, validity, enforceability, genuineness, sufficiency or value of, or the perfection or priority of any lien or security interest created or purported to be created under or in connection with, any Loan Document or any other instrument or document furnished pursuant thereto (including, for the avoidance of doubt, in connection with the Administrative Agent’s reliance on any electronic signature delivered pursuant to Section 9.08); (f) shall incur no liability under or in respect of any Loan Document by acting upon any notice, consent, certificate or other instrument or writing (which may be by telecopy or other electronic communication) believed by it to be genuine and signed or sent by the proper party or parties; and (g)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Bankruptcy Law or that may effect a forfeiture, modification or termination of property of a Defaulting Lender in violation of any Bankruptcy Law.</w:t>
      </w:r>
    </w:p>
    <w:p>
      <w:pPr>
        <w:spacing w:after="0" w:line="187"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010000"/>
        </w:rPr>
        <w:t xml:space="preserve">Section 8.03 </w:t>
      </w:r>
      <w:r>
        <w:rPr>
          <w:rFonts w:ascii="Times New Roman" w:cs="Times New Roman" w:eastAsia="Times New Roman" w:hAnsi="Times New Roman"/>
          <w:sz w:val="19"/>
          <w:szCs w:val="19"/>
          <w:u w:val="single" w:color="auto"/>
          <w:color w:val="000000"/>
        </w:rPr>
        <w:t>PNC and Affiliates</w:t>
      </w:r>
      <w:r>
        <w:rPr>
          <w:rFonts w:ascii="Times New Roman" w:cs="Times New Roman" w:eastAsia="Times New Roman" w:hAnsi="Times New Roman"/>
          <w:sz w:val="19"/>
          <w:szCs w:val="19"/>
          <w:color w:val="000000"/>
        </w:rPr>
        <w:t>. With respect to its Commitments, the Advances made by it and the Notes issued to it, PNC</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shall have the same rights and powers under the Loan Documents as any other Lender and may exercise the same as though it were not the Administrative Agent; and the term “Lender” or “Lenders” shall, unless otherwise expressly indicated, include PNC in its individual capacity. PNC and its Affiliates may accept deposits from, lend money to, act as trustee under indentures of, accept investment banking engagements from and generally engage in any kind of business with, any Loan Party, any Subsidiary of any Loan Party and any Person that may do business with or own securities of any Loan Party or any such Subsidiary, all as if PNC were not the Administrative Agent and without any duty to account therefor to the Lenders.</w:t>
      </w:r>
    </w:p>
    <w:p>
      <w:pPr>
        <w:spacing w:after="0" w:line="186"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010000"/>
        </w:rPr>
        <w:t xml:space="preserve">Section 8.04 </w:t>
      </w:r>
      <w:r>
        <w:rPr>
          <w:rFonts w:ascii="Times New Roman" w:cs="Times New Roman" w:eastAsia="Times New Roman" w:hAnsi="Times New Roman"/>
          <w:sz w:val="19"/>
          <w:szCs w:val="19"/>
          <w:u w:val="single" w:color="auto"/>
          <w:color w:val="000000"/>
        </w:rPr>
        <w:t>Lender Credit Decision</w:t>
      </w:r>
      <w:r>
        <w:rPr>
          <w:rFonts w:ascii="Times New Roman" w:cs="Times New Roman" w:eastAsia="Times New Roman" w:hAnsi="Times New Roman"/>
          <w:sz w:val="19"/>
          <w:szCs w:val="19"/>
          <w:color w:val="000000"/>
        </w:rPr>
        <w:t>. Each Lender acknowledges that it has, independently and without reliance upon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Administrative Agent or any other Lender and based on the financial statements referred to in Section 4.01 and such other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deem appropriate at the time, continue to make its own credit decisions in taking or not taking action under this Agreement. Nothing in this Agreement or any other Loan Document shall require the Administrative Agent or any of its respective directors, officers, agents or employees to carry out any “know your customer” or other checks in relation to any Person on behalf of any Lender and each Lender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4" w:name="page95"/>
    <w:bookmarkEnd w:id="94"/>
    <w:p>
      <w:pPr>
        <w:spacing w:after="0" w:line="265" w:lineRule="auto"/>
        <w:rPr>
          <w:sz w:val="20"/>
          <w:szCs w:val="20"/>
          <w:color w:val="auto"/>
        </w:rPr>
      </w:pPr>
      <w:r>
        <w:rPr>
          <w:rFonts w:ascii="Times New Roman" w:cs="Times New Roman" w:eastAsia="Times New Roman" w:hAnsi="Times New Roman"/>
          <w:sz w:val="19"/>
          <w:szCs w:val="19"/>
          <w:color w:val="auto"/>
        </w:rPr>
        <w:t>confirms to the Administrative Agent that it is solely responsible for any such checks it is required to carry out and that it may not rely on any statement in relation to such checks made by the Administrative Agent or any of its respective directors, officers, agents or employees.</w:t>
      </w:r>
    </w:p>
    <w:p>
      <w:pPr>
        <w:spacing w:after="0" w:line="166"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8.05</w:t>
      </w:r>
      <w:r>
        <w:rPr>
          <w:sz w:val="20"/>
          <w:szCs w:val="20"/>
          <w:color w:val="auto"/>
        </w:rPr>
        <w:tab/>
      </w:r>
      <w:r>
        <w:rPr>
          <w:rFonts w:ascii="Times New Roman" w:cs="Times New Roman" w:eastAsia="Times New Roman" w:hAnsi="Times New Roman"/>
          <w:sz w:val="18"/>
          <w:szCs w:val="18"/>
          <w:u w:val="single" w:color="auto"/>
          <w:color w:val="auto"/>
        </w:rPr>
        <w:t>Indemnification by Lenders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1505"/>
        <w:spacing w:after="0" w:line="219" w:lineRule="exact"/>
        <w:tabs>
          <w:tab w:leader="none" w:pos="1875"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severally agrees to indemnify the Administrative Agent (to the extent not promptly reimbursed by the Borrower) from and against such Lender’s ratable share (determined as provided below) of any and all liabilities, obligations, losses, damages, penalties, actions, judgments, litigation, costs, expenses or disbursements of any kind or nature whatsoever that may be imposed on, incurred by, or asserted against the Administrative Agent in any way relating to or arising out of the Loan Documents or any action taken or omitted by the Administrative Agent under the Loan Documents (collectively, the “</w:t>
      </w:r>
      <w:r>
        <w:rPr>
          <w:rFonts w:ascii="Times New Roman" w:cs="Times New Roman" w:eastAsia="Times New Roman" w:hAnsi="Times New Roman"/>
          <w:sz w:val="19"/>
          <w:szCs w:val="19"/>
          <w:b w:val="1"/>
          <w:bCs w:val="1"/>
          <w:i w:val="1"/>
          <w:iCs w:val="1"/>
          <w:color w:val="auto"/>
        </w:rPr>
        <w:t>Indemnified Costs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no Lender shall be liable for any portion of such liabilities, obligations, losses, damages, penalties, actions, judgments, litigation, costs, expenses or disbursements resulting from the Administrative Agent’s gross negligence or willful misconduct as found in a final,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appealable judgment by a court of competent jurisdiction. Without limitation of the foregoing, each Lender severally agrees to reimburse the Administrative Agent promptly upon demand for its ratable share of any costs and expenses (including, without limitation, fees and expenses of counsel) payable by the Borrower under Section 9.04, to the extent that the Administrative Agent is not promptly reimbursed for such costs and expenses by the Borrower. In the case of any investigation, litigation or proceeding giving rise to any Indemnified Costs, this Section 8.05 applies whether any such investigation, litigation or proceeding is brought by any Lender or any other Person. If the Borrower shall reimburse the Administrative Agent for any Indemnified Costs following payment by any Lender to the Administrative Agent in respect of such Indemnified Costs pursuant to this Section, the Administrative Agent shall share such reimbursement on a ratable basis with each Lender making any such payment.</w:t>
      </w:r>
    </w:p>
    <w:p>
      <w:pPr>
        <w:spacing w:after="0" w:line="194" w:lineRule="exact"/>
        <w:rPr>
          <w:rFonts w:ascii="Times New Roman" w:cs="Times New Roman" w:eastAsia="Times New Roman" w:hAnsi="Times New Roman"/>
          <w:sz w:val="19"/>
          <w:szCs w:val="19"/>
          <w:color w:val="auto"/>
        </w:rPr>
      </w:pPr>
    </w:p>
    <w:p>
      <w:pPr>
        <w:jc w:val="both"/>
        <w:ind w:firstLine="1505"/>
        <w:spacing w:after="0"/>
        <w:tabs>
          <w:tab w:leader="none" w:pos="1875"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Section 8.05, the Lenders’ respective ratable shares of any amount shall be determined, at any time, according to their respective Commitments at such time. The failure of any Lender to reimburse the Administrative Agent promptly upon demand for its ratable share of any amount required to be paid by the Lenders to the Administrative Agent as provided herein shall not relieve any other Lender of its obligation hereunder to reimburse the Administrative Agent for its ratable share of such amount, but no Lender shall be responsible for the failure of any other Lender to reimburse the Administrative Agent for such other Lender’s ratable share of such amount. The term “Administrative Agent” shall be deemed to include the employees, directors, officers and Affiliates of the Administrative Agent for purposes of this Section 8.05. Without prejudice to the survival of any other agreement of any Lender hereunder, the agreement and obligations of each Lender contained in this Section 8.05 shall survive the payment in full of principal, interest and all other amounts payable hereunder and under the other Loan Documents.</w:t>
      </w:r>
    </w:p>
    <w:p>
      <w:pPr>
        <w:spacing w:after="0" w:line="194"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19"/>
          <w:szCs w:val="19"/>
          <w:color w:val="010000"/>
        </w:rPr>
        <w:t xml:space="preserve">Section 8.06 </w:t>
      </w:r>
      <w:r>
        <w:rPr>
          <w:rFonts w:ascii="Times New Roman" w:cs="Times New Roman" w:eastAsia="Times New Roman" w:hAnsi="Times New Roman"/>
          <w:sz w:val="19"/>
          <w:szCs w:val="19"/>
          <w:u w:val="single" w:color="auto"/>
          <w:color w:val="000000"/>
        </w:rPr>
        <w:t>Successor Agent</w:t>
      </w:r>
      <w:r>
        <w:rPr>
          <w:rFonts w:ascii="Times New Roman" w:cs="Times New Roman" w:eastAsia="Times New Roman" w:hAnsi="Times New Roman"/>
          <w:sz w:val="19"/>
          <w:szCs w:val="19"/>
          <w:color w:val="000000"/>
        </w:rPr>
        <w:t>. The Administrative Agent may resign at any time by giving 30 days’ prior written notice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thereof to the Lenders and the Borrower and may be removed at any time with or without cause by the Required Lenders. Upon any such resignation or removal, the Required Lenders shall have the right to appoint a successor Administrative Agent, which appointment shall,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that no Default or Event of Default shall have occurred and be continuing, be subject to the consent of the Borrower, such consent not to be unreasonably withheld, conditioned or delayed. If no successor Administrative Agent shall have been so appointed by the Required Lenders, and shall have accepted such appointment, within 30 days after the retiring Administrative Agent’s giving of notice of resignation or the Required Lenders’ removal of the retiring Administrative Agent, then the retiring Administrative Agent may, on behalf of the Lenders, appoint a successor Administrative Agent, which shall be a commercial bank organized under the laws of the United States or of any State thereof and having a combined capital and surplus of at least $500,000,000. Upon the acceptance of any appointment as the Administrative Agent hereunder by a successor Administrative Agent, and upon the execution and filing or recording of such financing statements, or amendments thereto and such other instruments or notices, as may be necessary or desirable, or as the Required Lenders may request, in order to continue the perfection of the Liens granted or purported to be granted by this Agreement, such successor Administrative Agent shall succeed to and become vested with all the rights, powers, discretion, privileges and duties of the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5" w:name="page96"/>
    <w:bookmarkEnd w:id="95"/>
    <w:p>
      <w:pPr>
        <w:jc w:val="both"/>
        <w:spacing w:after="0" w:line="241" w:lineRule="auto"/>
        <w:rPr>
          <w:sz w:val="20"/>
          <w:szCs w:val="20"/>
          <w:color w:val="auto"/>
        </w:rPr>
      </w:pPr>
      <w:r>
        <w:rPr>
          <w:rFonts w:ascii="Times New Roman" w:cs="Times New Roman" w:eastAsia="Times New Roman" w:hAnsi="Times New Roman"/>
          <w:sz w:val="19"/>
          <w:szCs w:val="19"/>
          <w:color w:val="auto"/>
        </w:rPr>
        <w:t>retiring Administrative Agent, and the retiring Administrative Agent shall be discharged from its duties and obligations under the Loan Documents. If within 45 days after written notice is given of the retiring Administrative Agent’s resignation or removal under this Section 8.06 no successor Administrative Agent shall have been appointed and shall have accepted such appointment, then on such 45th day (i) the retiring Administrative Agent’s resignation or removal shall become effective, (ii) the retiring Administrative Agent shall thereupon be discharged from its duties and obligations under the Loan Documents and (iii) the Required Lenders shall thereafter perform all duties of the retiring Administrative Agent under the Loan Documents until such time, if any, as the Required Lenders appoint a successor Administrative Agent as provided above. After any retiring Administrative Agent’s resignation or removal hereunder as the Administrative Agent shall have become effective, the provisions of this Article IX shall inure to its benefit as to any actions taken or omitted to be taken by it while it was the Administrative Agent under this Agreement.</w:t>
      </w:r>
    </w:p>
    <w:p>
      <w:pPr>
        <w:spacing w:after="0" w:line="189"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9"/>
          <w:szCs w:val="19"/>
          <w:color w:val="010000"/>
        </w:rPr>
        <w:t xml:space="preserve">Section 8.07 </w:t>
      </w:r>
      <w:r>
        <w:rPr>
          <w:rFonts w:ascii="Times New Roman" w:cs="Times New Roman" w:eastAsia="Times New Roman" w:hAnsi="Times New Roman"/>
          <w:sz w:val="19"/>
          <w:szCs w:val="19"/>
          <w:u w:val="single" w:color="auto"/>
          <w:color w:val="000000"/>
        </w:rPr>
        <w:t>Relationship of Administrative Agent and Lenders</w:t>
      </w:r>
      <w:r>
        <w:rPr>
          <w:rFonts w:ascii="Times New Roman" w:cs="Times New Roman" w:eastAsia="Times New Roman" w:hAnsi="Times New Roman"/>
          <w:sz w:val="19"/>
          <w:szCs w:val="19"/>
          <w:color w:val="000000"/>
        </w:rPr>
        <w:t>. The relationship between the Administrative Agent and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Lenders, and the relationship among the Lenders, is not intended by the parties to create, and shall not create, any trust, joint venture or partnership relation between them.</w:t>
      </w:r>
    </w:p>
    <w:p>
      <w:pPr>
        <w:spacing w:after="0" w:line="179"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8.08</w:t>
      </w:r>
      <w:r>
        <w:rPr>
          <w:sz w:val="20"/>
          <w:szCs w:val="20"/>
          <w:color w:val="auto"/>
        </w:rPr>
        <w:tab/>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right="20" w:firstLine="1505"/>
        <w:spacing w:after="0" w:line="246" w:lineRule="auto"/>
        <w:tabs>
          <w:tab w:leader="none" w:pos="1875"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(x) represents and warrants, as of the date such Person became a Lender party hereto,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at least one of the following is and will be true:</w:t>
      </w:r>
    </w:p>
    <w:p>
      <w:pPr>
        <w:spacing w:after="0" w:line="184" w:lineRule="exact"/>
        <w:rPr>
          <w:rFonts w:ascii="Times New Roman" w:cs="Times New Roman" w:eastAsia="Times New Roman" w:hAnsi="Times New Roman"/>
          <w:sz w:val="19"/>
          <w:szCs w:val="19"/>
          <w:color w:val="auto"/>
        </w:rPr>
      </w:pPr>
    </w:p>
    <w:p>
      <w:pPr>
        <w:ind w:left="2640" w:hanging="386"/>
        <w:spacing w:after="0"/>
        <w:tabs>
          <w:tab w:leader="none" w:pos="2640" w:val="left"/>
        </w:tabs>
        <w:numPr>
          <w:ilvl w:val="1"/>
          <w:numId w:val="11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such Lender is not using “plan assets” of one or more Benefit Plans in connection with the Advances or the</w:t>
      </w:r>
    </w:p>
    <w:p>
      <w:pPr>
        <w:spacing w:after="0" w:line="17" w:lineRule="exact"/>
        <w:rPr>
          <w:rFonts w:ascii="Times New Roman" w:cs="Times New Roman" w:eastAsia="Times New Roman" w:hAnsi="Times New Roman"/>
          <w:sz w:val="19"/>
          <w:szCs w:val="19"/>
          <w:color w:val="010000"/>
        </w:rPr>
      </w:pPr>
    </w:p>
    <w:p>
      <w:pPr>
        <w:ind w:left="760"/>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Commitments,</w:t>
      </w:r>
    </w:p>
    <w:p>
      <w:pPr>
        <w:spacing w:after="0" w:line="193" w:lineRule="exact"/>
        <w:rPr>
          <w:rFonts w:ascii="Times New Roman" w:cs="Times New Roman" w:eastAsia="Times New Roman" w:hAnsi="Times New Roman"/>
          <w:sz w:val="19"/>
          <w:szCs w:val="19"/>
          <w:color w:val="010000"/>
        </w:rPr>
      </w:pPr>
    </w:p>
    <w:p>
      <w:pPr>
        <w:jc w:val="both"/>
        <w:ind w:left="760" w:firstLine="1494"/>
        <w:spacing w:after="0" w:line="242" w:lineRule="auto"/>
        <w:tabs>
          <w:tab w:leader="none" w:pos="2662" w:val="left"/>
        </w:tabs>
        <w:numPr>
          <w:ilvl w:val="1"/>
          <w:numId w:val="11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Obligations of such Lender in respect of the Advances, the Commitments and this Agreement, or</w:t>
      </w:r>
    </w:p>
    <w:p>
      <w:pPr>
        <w:spacing w:after="0" w:line="185" w:lineRule="exact"/>
        <w:rPr>
          <w:rFonts w:ascii="Times New Roman" w:cs="Times New Roman" w:eastAsia="Times New Roman" w:hAnsi="Times New Roman"/>
          <w:sz w:val="19"/>
          <w:szCs w:val="19"/>
          <w:color w:val="010000"/>
        </w:rPr>
      </w:pPr>
    </w:p>
    <w:p>
      <w:pPr>
        <w:jc w:val="both"/>
        <w:ind w:left="760" w:firstLine="1494"/>
        <w:spacing w:after="0" w:line="241" w:lineRule="auto"/>
        <w:tabs>
          <w:tab w:leader="none" w:pos="2662" w:val="left"/>
        </w:tabs>
        <w:numPr>
          <w:ilvl w:val="1"/>
          <w:numId w:val="11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Obligations of such Lender in respect of the Advances, the Commitments and this Agreement, (C) the entrance into, participation in, administration of and performance of the Obligations of such Lender in respect of the Advances,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Obligations of such Lender in respect of the Advances, the Commitments and this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6" w:name="page97"/>
    <w:bookmarkEnd w:id="96"/>
    <w:p>
      <w:pPr>
        <w:jc w:val="both"/>
        <w:ind w:left="760" w:firstLine="745"/>
        <w:spacing w:after="0" w:line="244" w:lineRule="auto"/>
        <w:tabs>
          <w:tab w:leader="none" w:pos="1900" w:val="left"/>
        </w:tabs>
        <w:numPr>
          <w:ilvl w:val="0"/>
          <w:numId w:val="11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addition, unless sub-clause (i) in the immediately preceding clause (a) is true with respect to a Lender, such Lender further (x) represents and warrants, as of the date such Person became a Lender party hereto,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w:t>
      </w:r>
    </w:p>
    <w:p>
      <w:pPr>
        <w:spacing w:after="0" w:line="185" w:lineRule="exact"/>
        <w:rPr>
          <w:rFonts w:ascii="Times New Roman" w:cs="Times New Roman" w:eastAsia="Times New Roman" w:hAnsi="Times New Roman"/>
          <w:sz w:val="19"/>
          <w:szCs w:val="19"/>
          <w:color w:val="010000"/>
        </w:rPr>
      </w:pPr>
    </w:p>
    <w:p>
      <w:pPr>
        <w:jc w:val="both"/>
        <w:ind w:left="760" w:firstLine="1494"/>
        <w:spacing w:after="0" w:line="251" w:lineRule="auto"/>
        <w:tabs>
          <w:tab w:leader="none" w:pos="2649" w:val="left"/>
        </w:tabs>
        <w:numPr>
          <w:ilvl w:val="1"/>
          <w:numId w:val="11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none of the Administrative Agent, the Arrangers or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78" w:lineRule="exact"/>
        <w:rPr>
          <w:rFonts w:ascii="Times New Roman" w:cs="Times New Roman" w:eastAsia="Times New Roman" w:hAnsi="Times New Roman"/>
          <w:sz w:val="19"/>
          <w:szCs w:val="19"/>
          <w:color w:val="010000"/>
        </w:rPr>
      </w:pPr>
    </w:p>
    <w:p>
      <w:pPr>
        <w:jc w:val="both"/>
        <w:ind w:left="760" w:firstLine="1494"/>
        <w:spacing w:after="0" w:line="244" w:lineRule="auto"/>
        <w:tabs>
          <w:tab w:leader="none" w:pos="2689" w:val="left"/>
        </w:tabs>
        <w:numPr>
          <w:ilvl w:val="1"/>
          <w:numId w:val="11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Person making the investment decision on behalf of such Lender with respect to the entrance into, participation in, administration of and performance of the Obligations of such Lender in respect of the Advances, the Commitments and this Agreement is independent (within the meaning of 29 CFR § 2510.3-21) and is a bank, an insurance carrier, an investment adviser, a broker-dealer or other person that has under management or control, total assets of at least $50 million, in each case as described in 29 CFR § 2510.3-21(c)(1)(A)-(E),</w:t>
      </w:r>
    </w:p>
    <w:p>
      <w:pPr>
        <w:spacing w:after="0" w:line="185" w:lineRule="exact"/>
        <w:rPr>
          <w:rFonts w:ascii="Times New Roman" w:cs="Times New Roman" w:eastAsia="Times New Roman" w:hAnsi="Times New Roman"/>
          <w:sz w:val="19"/>
          <w:szCs w:val="19"/>
          <w:color w:val="010000"/>
        </w:rPr>
      </w:pPr>
    </w:p>
    <w:p>
      <w:pPr>
        <w:jc w:val="both"/>
        <w:ind w:left="760" w:firstLine="1494"/>
        <w:spacing w:after="0" w:line="246" w:lineRule="auto"/>
        <w:tabs>
          <w:tab w:leader="none" w:pos="2689" w:val="left"/>
        </w:tabs>
        <w:numPr>
          <w:ilvl w:val="1"/>
          <w:numId w:val="11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Person making the investment decision on behalf of such Lender with respect to the entrance into, participation in, administration of and performance of the Obligations of such Lender in respect of the Advances, the Commitments and this Agreement is capable of evaluating investment risks independently, both in general and with regard to particular transactions and investment strategies,</w:t>
      </w:r>
    </w:p>
    <w:p>
      <w:pPr>
        <w:spacing w:after="0" w:line="184" w:lineRule="exact"/>
        <w:rPr>
          <w:rFonts w:ascii="Times New Roman" w:cs="Times New Roman" w:eastAsia="Times New Roman" w:hAnsi="Times New Roman"/>
          <w:sz w:val="19"/>
          <w:szCs w:val="19"/>
          <w:color w:val="010000"/>
        </w:rPr>
      </w:pPr>
    </w:p>
    <w:p>
      <w:pPr>
        <w:jc w:val="both"/>
        <w:ind w:left="760" w:firstLine="1494"/>
        <w:spacing w:after="0" w:line="246" w:lineRule="auto"/>
        <w:tabs>
          <w:tab w:leader="none" w:pos="2689" w:val="left"/>
        </w:tabs>
        <w:numPr>
          <w:ilvl w:val="1"/>
          <w:numId w:val="11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Person making the investment decision on behalf of such Lender with respect to the entrance into, participation in, administration of and performance of the Obligations of such Lender in respect of the Advances, the Commitments and this Agreement is a fiduciary under ERISA or the Internal Revenue Code, or both, with respect to the Advances, the Commitments and this Agreement and is responsible for exercising independent judgment in evaluating the transactions hereunder, and</w:t>
      </w:r>
    </w:p>
    <w:p>
      <w:pPr>
        <w:spacing w:after="0" w:line="184" w:lineRule="exact"/>
        <w:rPr>
          <w:rFonts w:ascii="Times New Roman" w:cs="Times New Roman" w:eastAsia="Times New Roman" w:hAnsi="Times New Roman"/>
          <w:sz w:val="19"/>
          <w:szCs w:val="19"/>
          <w:color w:val="010000"/>
        </w:rPr>
      </w:pPr>
    </w:p>
    <w:p>
      <w:pPr>
        <w:jc w:val="both"/>
        <w:ind w:left="760" w:firstLine="1494"/>
        <w:spacing w:after="0" w:line="251" w:lineRule="auto"/>
        <w:tabs>
          <w:tab w:leader="none" w:pos="2662" w:val="left"/>
        </w:tabs>
        <w:numPr>
          <w:ilvl w:val="1"/>
          <w:numId w:val="11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 fee or other compensation is being paid by such Lender or any of its Affiliates or agents directly to the Administrative Agent, any Arranger or any of their respective Affiliates for investment advice (as opposed to other services) in connection with the Advances, the Commitments or this Agreement.</w:t>
      </w:r>
    </w:p>
    <w:p>
      <w:pPr>
        <w:spacing w:after="0" w:line="179"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9"/>
          <w:szCs w:val="19"/>
          <w:color w:val="auto"/>
        </w:rPr>
        <w:t>Each of the Administrative Agent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Advances, the Commitments and this Agreement, (ii) may recognize a gain if it extended the Advances or the Commitments for an amount less than the amount being paid for an interest in the Advances or the Commitments by such Lender or (iii) may receive fees or other payments in connection with the transactions contemplated hereby, the Loan Documents or otherwise, including, without limitation,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7" w:name="page98"/>
    <w:bookmarkEnd w:id="97"/>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8.09</w:t>
      </w:r>
      <w:r>
        <w:rPr>
          <w:sz w:val="20"/>
          <w:szCs w:val="20"/>
          <w:color w:val="auto"/>
        </w:rPr>
        <w:tab/>
      </w:r>
      <w:r>
        <w:rPr>
          <w:rFonts w:ascii="Times New Roman" w:cs="Times New Roman" w:eastAsia="Times New Roman" w:hAnsi="Times New Roman"/>
          <w:sz w:val="18"/>
          <w:szCs w:val="18"/>
          <w:u w:val="single" w:color="auto"/>
          <w:color w:val="auto"/>
        </w:rPr>
        <w:t>Payments in Error</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1505"/>
        <w:spacing w:after="0" w:line="239" w:lineRule="auto"/>
        <w:tabs>
          <w:tab w:leader="none" w:pos="1875"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Administrative Agent notifies a Lender or any other Person who has received funds on behalf of a Lender (any such Lender or other recipient, a “</w:t>
      </w:r>
      <w:r>
        <w:rPr>
          <w:rFonts w:ascii="Times New Roman" w:cs="Times New Roman" w:eastAsia="Times New Roman" w:hAnsi="Times New Roman"/>
          <w:sz w:val="19"/>
          <w:szCs w:val="19"/>
          <w:b w:val="1"/>
          <w:bCs w:val="1"/>
          <w:i w:val="1"/>
          <w:iCs w:val="1"/>
          <w:color w:val="auto"/>
        </w:rPr>
        <w:t>Payment Recipient</w:t>
      </w:r>
      <w:r>
        <w:rPr>
          <w:rFonts w:ascii="Times New Roman" w:cs="Times New Roman" w:eastAsia="Times New Roman" w:hAnsi="Times New Roman"/>
          <w:sz w:val="19"/>
          <w:szCs w:val="19"/>
          <w:color w:val="auto"/>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any Payment Recipient) (any such funds, whether received as a payment, prepayment or repayment of principal, interest, fees, distribution or otherwise, individually and collectively, an “</w:t>
      </w:r>
      <w:r>
        <w:rPr>
          <w:rFonts w:ascii="Times New Roman" w:cs="Times New Roman" w:eastAsia="Times New Roman" w:hAnsi="Times New Roman"/>
          <w:sz w:val="19"/>
          <w:szCs w:val="19"/>
          <w:b w:val="1"/>
          <w:bCs w:val="1"/>
          <w:i w:val="1"/>
          <w:iCs w:val="1"/>
          <w:color w:val="auto"/>
        </w:rPr>
        <w:t>Erroneous Payment</w:t>
      </w:r>
      <w:r>
        <w:rPr>
          <w:rFonts w:ascii="Times New Roman" w:cs="Times New Roman" w:eastAsia="Times New Roman" w:hAnsi="Times New Roman"/>
          <w:sz w:val="19"/>
          <w:szCs w:val="19"/>
          <w:color w:val="auto"/>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Payment Recipient shall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94" w:lineRule="exact"/>
        <w:rPr>
          <w:rFonts w:ascii="Times New Roman" w:cs="Times New Roman" w:eastAsia="Times New Roman" w:hAnsi="Times New Roman"/>
          <w:sz w:val="19"/>
          <w:szCs w:val="19"/>
          <w:color w:val="auto"/>
        </w:rPr>
      </w:pPr>
    </w:p>
    <w:p>
      <w:pPr>
        <w:jc w:val="both"/>
        <w:ind w:firstLine="1505"/>
        <w:spacing w:after="0" w:line="242" w:lineRule="auto"/>
        <w:tabs>
          <w:tab w:leader="none" w:pos="1875"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immediately preceding clause (a), if any Payment Recipient receives a payment, prepayment or repayment (whether received as a payment, prepayment or repayment of principal, interest, fees, distribution or otherwise) from the Administrative Agent (or any of its Affiliates) that (x) is in a different amount than, or on a different date from, that specified in a notice of payment, prepayment or repayment sent by the Administrative Agent (or any of its Affiliates) with respect to such payment, prepayment or repayment, (y) was not preceded or accompanied by a notice of payment, prepayment or repayment sent by the Administrative Agent (or any of its Affiliates), or (z) such Payment Recipient otherwise becomes aware was transmitted, or received, in error or by mistake (in whole or in part) in each case:</w:t>
      </w:r>
    </w:p>
    <w:p>
      <w:pPr>
        <w:spacing w:after="0" w:line="190" w:lineRule="exact"/>
        <w:rPr>
          <w:rFonts w:ascii="Times New Roman" w:cs="Times New Roman" w:eastAsia="Times New Roman" w:hAnsi="Times New Roman"/>
          <w:sz w:val="19"/>
          <w:szCs w:val="19"/>
          <w:color w:val="auto"/>
        </w:rPr>
      </w:pPr>
    </w:p>
    <w:p>
      <w:pPr>
        <w:jc w:val="both"/>
        <w:ind w:left="760" w:firstLine="1494"/>
        <w:spacing w:after="0" w:line="251" w:lineRule="auto"/>
        <w:tabs>
          <w:tab w:leader="none" w:pos="2635" w:val="left"/>
        </w:tabs>
        <w:numPr>
          <w:ilvl w:val="1"/>
          <w:numId w:val="11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in the case of immediately preceding clauses (x) or (y), an error shall be presumed to have been made (absent written confirmation from the Administrative Agent to the contrary) or (B) an error has been made (in the case of immediately preceding clause (z)), in each case, with respect to such payment, prepayment or repayment; and</w:t>
      </w:r>
    </w:p>
    <w:p>
      <w:pPr>
        <w:spacing w:after="0" w:line="178" w:lineRule="exact"/>
        <w:rPr>
          <w:rFonts w:ascii="Times New Roman" w:cs="Times New Roman" w:eastAsia="Times New Roman" w:hAnsi="Times New Roman"/>
          <w:sz w:val="19"/>
          <w:szCs w:val="19"/>
          <w:color w:val="010000"/>
        </w:rPr>
      </w:pPr>
    </w:p>
    <w:p>
      <w:pPr>
        <w:jc w:val="both"/>
        <w:ind w:left="760" w:firstLine="1494"/>
        <w:spacing w:after="0" w:line="251" w:lineRule="auto"/>
        <w:tabs>
          <w:tab w:leader="none" w:pos="2649" w:val="left"/>
        </w:tabs>
        <w:numPr>
          <w:ilvl w:val="1"/>
          <w:numId w:val="11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such Payment Recipient shall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Section 8.09(b).</w:t>
      </w:r>
    </w:p>
    <w:p>
      <w:pPr>
        <w:spacing w:after="0" w:line="178" w:lineRule="exact"/>
        <w:rPr>
          <w:rFonts w:ascii="Times New Roman" w:cs="Times New Roman" w:eastAsia="Times New Roman" w:hAnsi="Times New Roman"/>
          <w:sz w:val="19"/>
          <w:szCs w:val="19"/>
          <w:color w:val="010000"/>
        </w:rPr>
      </w:pPr>
    </w:p>
    <w:p>
      <w:pPr>
        <w:jc w:val="both"/>
        <w:ind w:firstLine="1505"/>
        <w:spacing w:after="0" w:line="251" w:lineRule="auto"/>
        <w:tabs>
          <w:tab w:leader="none" w:pos="1875" w:val="left"/>
        </w:tabs>
        <w:numPr>
          <w:ilvl w:val="0"/>
          <w:numId w:val="11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Lender hereby authorizes the Administrative Agent to set off, net and apply any and all amounts at any time owing to such Lender under any Loan Document, or otherwise payable or distributable by the Administrative Agent to such Lender from any source, against any amount due to the Administrative Agent under immediately preceding clause (a) or under the indemnification provisions of this Agreement.</w:t>
      </w:r>
    </w:p>
    <w:p>
      <w:pPr>
        <w:spacing w:after="0" w:line="178" w:lineRule="exact"/>
        <w:rPr>
          <w:rFonts w:ascii="Times New Roman" w:cs="Times New Roman" w:eastAsia="Times New Roman" w:hAnsi="Times New Roman"/>
          <w:sz w:val="19"/>
          <w:szCs w:val="19"/>
          <w:color w:val="010000"/>
        </w:rPr>
      </w:pPr>
    </w:p>
    <w:p>
      <w:pPr>
        <w:jc w:val="both"/>
        <w:ind w:firstLine="1505"/>
        <w:spacing w:after="0" w:line="242" w:lineRule="auto"/>
        <w:tabs>
          <w:tab w:leader="none" w:pos="1875" w:val="left"/>
        </w:tabs>
        <w:numPr>
          <w:ilvl w:val="0"/>
          <w:numId w:val="11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the event that an Erroneous Payment (or portion thereof) is not recovered by the Administrative Agent for any reason, after demand therefor by the Administrative Agent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9"/>
          <w:szCs w:val="19"/>
          <w:b w:val="1"/>
          <w:bCs w:val="1"/>
          <w:i w:val="1"/>
          <w:iCs w:val="1"/>
          <w:color w:val="auto"/>
        </w:rPr>
        <w:t>Erroneous Payment Return Deficiency</w:t>
      </w:r>
      <w:r>
        <w:rPr>
          <w:rFonts w:ascii="Times New Roman" w:cs="Times New Roman" w:eastAsia="Times New Roman" w:hAnsi="Times New Roman"/>
          <w:sz w:val="19"/>
          <w:szCs w:val="19"/>
          <w:color w:val="auto"/>
        </w:rPr>
        <w:t>”), upon the Administrative Agent’s notice to such Lender at any time, (i) such Lender shall be deemed to have assigned its Advances (but not its Commitments) with respect to which such Erroneous Payment was made in an amount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8" w:name="page99"/>
    <w:bookmarkEnd w:id="98"/>
    <w:p>
      <w:pPr>
        <w:jc w:val="both"/>
        <w:spacing w:after="0" w:line="254" w:lineRule="auto"/>
        <w:rPr>
          <w:sz w:val="20"/>
          <w:szCs w:val="20"/>
          <w:color w:val="auto"/>
        </w:rPr>
      </w:pPr>
      <w:r>
        <w:rPr>
          <w:rFonts w:ascii="Times New Roman" w:cs="Times New Roman" w:eastAsia="Times New Roman" w:hAnsi="Times New Roman"/>
          <w:sz w:val="18"/>
          <w:szCs w:val="18"/>
          <w:color w:val="auto"/>
        </w:rPr>
        <w:t>equal to the Erroneous Payment Return Deficiency (or such lesser amount as the Administrative Agent may specify) (such assignment of the Advances (but not Commitments), the “</w:t>
      </w:r>
      <w:r>
        <w:rPr>
          <w:rFonts w:ascii="Times New Roman" w:cs="Times New Roman" w:eastAsia="Times New Roman" w:hAnsi="Times New Roman"/>
          <w:sz w:val="18"/>
          <w:szCs w:val="18"/>
          <w:b w:val="1"/>
          <w:bCs w:val="1"/>
          <w:i w:val="1"/>
          <w:iCs w:val="1"/>
          <w:color w:val="auto"/>
        </w:rPr>
        <w:t>Erroneous Payment Deficiency Assignment</w:t>
      </w:r>
      <w:r>
        <w:rPr>
          <w:rFonts w:ascii="Times New Roman" w:cs="Times New Roman" w:eastAsia="Times New Roman" w:hAnsi="Times New Roman"/>
          <w:sz w:val="18"/>
          <w:szCs w:val="18"/>
          <w:color w:val="auto"/>
        </w:rPr>
        <w:t>”) at par plus any accrued and unpaid interest (with the assignment fee to be waived by the Administrative Agent in such instance), and is hereby (together with the Borrower) deemed to have executed and delivered an Assignment and Acceptance (or, to the extent applicable, an agreement incorporating an Assignment and Acceptance by reference pursuant to an Approved Electronic Platform as to which the Administrative Agent and such parties are participants) with respect to such Erroneous Payment Deficiency Assignment, and such Lender shall deliver any Notes evidencing such Advances to the Borrower or the Administrative Agent,</w:t>
      </w:r>
    </w:p>
    <w:p>
      <w:pPr>
        <w:spacing w:after="0" w:line="2" w:lineRule="exact"/>
        <w:rPr>
          <w:sz w:val="20"/>
          <w:szCs w:val="20"/>
          <w:color w:val="auto"/>
        </w:rPr>
      </w:pPr>
    </w:p>
    <w:p>
      <w:pPr>
        <w:jc w:val="both"/>
        <w:ind w:firstLine="8"/>
        <w:spacing w:after="0" w:line="237" w:lineRule="auto"/>
        <w:tabs>
          <w:tab w:leader="none" w:pos="294"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as the assignee shall be deemed to acquire the Erroneous Payment Deficiency Assignment, (iii) upon such deemed acquisition, the Administrative Agent as the assignee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and (iv) the Administrative Agent may reflect in the Register its ownership interest in the Advances subject to the Erroneous Payment Deficiency Assignment. The Administrative Agent may, in its discretion, sell any Advances acquired pursuant to an Erroneous Payment Deficiency Assignment and upon receipt of the proceeds of such sale, the Erroneous Payment Return Deficiency owing by the applicable Lender shall be reduced by the net proceeds of the sale of such Advance (or portion thereof), and the Administrative Agent shall retain all other rights, remedies and claims against such Lender (and/or against any Payment Recipient that receives funds on its respective behalf). For the avoidance of doubt, no Erroneous Payment Deficiency Assignment will reduce the Commitments of any Lender and such Commitments shall remain available in accordance with the terms of this Agreement. In addition, each party hereto agrees that, except to the extent that the Administrative Agent has sold an Advance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under the Loan Documents with respect to each Erroneous Payment Return Deficiency (the “</w:t>
      </w:r>
      <w:r>
        <w:rPr>
          <w:rFonts w:ascii="Times New Roman" w:cs="Times New Roman" w:eastAsia="Times New Roman" w:hAnsi="Times New Roman"/>
          <w:sz w:val="19"/>
          <w:szCs w:val="19"/>
          <w:b w:val="1"/>
          <w:bCs w:val="1"/>
          <w:i w:val="1"/>
          <w:iCs w:val="1"/>
          <w:color w:val="auto"/>
        </w:rPr>
        <w:t>Erroneous Payment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Subrogation Rights</w:t>
      </w:r>
      <w:r>
        <w:rPr>
          <w:rFonts w:ascii="Times New Roman" w:cs="Times New Roman" w:eastAsia="Times New Roman" w:hAnsi="Times New Roman"/>
          <w:sz w:val="19"/>
          <w:szCs w:val="19"/>
          <w:color w:val="auto"/>
        </w:rPr>
        <w:t>”).</w:t>
      </w:r>
    </w:p>
    <w:p>
      <w:pPr>
        <w:spacing w:after="0" w:line="199" w:lineRule="exact"/>
        <w:rPr>
          <w:rFonts w:ascii="Times New Roman" w:cs="Times New Roman" w:eastAsia="Times New Roman" w:hAnsi="Times New Roman"/>
          <w:sz w:val="19"/>
          <w:szCs w:val="19"/>
          <w:color w:val="auto"/>
        </w:rPr>
      </w:pPr>
    </w:p>
    <w:p>
      <w:pPr>
        <w:jc w:val="both"/>
        <w:ind w:firstLine="1505"/>
        <w:spacing w:after="0" w:line="246" w:lineRule="auto"/>
        <w:tabs>
          <w:tab w:leader="none" w:pos="1902" w:val="left"/>
        </w:tabs>
        <w:numPr>
          <w:ilvl w:val="1"/>
          <w:numId w:val="11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parties hereto agree that an Erroneous Payment shall not pay, prepay, repay, discharge or otherwise satisfy any Obligation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IX</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MISCELLANEOUS</w:t>
      </w:r>
    </w:p>
    <w:p>
      <w:pPr>
        <w:spacing w:after="0" w:line="218"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9.01</w:t>
      </w:r>
      <w:r>
        <w:rPr>
          <w:sz w:val="20"/>
          <w:szCs w:val="20"/>
          <w:color w:val="auto"/>
        </w:rPr>
        <w:tab/>
      </w:r>
      <w:r>
        <w:rPr>
          <w:rFonts w:ascii="Times New Roman" w:cs="Times New Roman" w:eastAsia="Times New Roman" w:hAnsi="Times New Roman"/>
          <w:sz w:val="18"/>
          <w:szCs w:val="18"/>
          <w:u w:val="single" w:color="auto"/>
          <w:color w:val="auto"/>
        </w:rPr>
        <w:t>Amendments, Etc.</w:t>
      </w:r>
    </w:p>
    <w:p>
      <w:pPr>
        <w:spacing w:after="0" w:line="214" w:lineRule="exact"/>
        <w:rPr>
          <w:sz w:val="20"/>
          <w:szCs w:val="20"/>
          <w:color w:val="auto"/>
        </w:rPr>
      </w:pPr>
    </w:p>
    <w:p>
      <w:pPr>
        <w:jc w:val="both"/>
        <w:ind w:firstLine="1505"/>
        <w:spacing w:after="0"/>
        <w:tabs>
          <w:tab w:leader="none" w:pos="1875"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amendment or waiver of any provision of this Agreement, the Notes or any other Loan Document, nor consent to any departure by any Loan Party therefrom, shall in any event be effective unless the same shall be in writing and signed by the Required Lenders, and then such waiver or consent shall be effective only in the specific instance and for the specific purpose for which given;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no amendment, waiver or consent shall, unless in writing and signed by the Lenders indicated below, do any of the following at any time: (i) modify the definition of Required Lenders or otherwise change the percentage vote of the Lenders required to take any action under this Agreement or any other Loan Document, in each case without the consent of each affected Lender, (ii) release the Borrower with respect to the Obligations or, except to the extent expressly permitted under this Agreement, reduce or limit the obligations of any Guarantor under Article VII or release such Guarantor or otherwise limit such Guarantor’s liability with respect to the Guaranteed Obligations without the consent of each Lender, (iii) permit the Borrower Parties to encumber the Unencumbered Assets, except as expressly permitted in the Loan Documents, without the consent of each Lender, (iv) amend this Section 9.01 without the consent of each Lender, (v) increase the Commitment of any Lender or subject any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9" w:name="page100"/>
    <w:bookmarkEnd w:id="99"/>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Lender to any additional obligations (other than as provided by Section 2.17), without the consent of such Lender, (vi) forgive or reduce the principal of, or interest on (other than (x) a waiver or amendment of the interest rate increase provided for in Section 2.07(b) or (y) an amendment to any financial covenant (or any defined term directly or indirectly used therein), even if the effect of such amendment would be to reduce the rate of interest on any Advance or other Obligation or to reduce any fee payable hereunder), the Obligations of the Loan Parties under the Loan Documents or any fees or other amounts payable thereunder to any Lender, without the consent of such Lender, (vii) postpone or extend any date fixed for any payment of principal of, or interest on, the Notes or any fees or other amounts payable hereunder to any Lender (other than as provided by Section 2.07(d)), in each case without the consent of such Lender, (viii) extend the Maturity Date without the consent of each affected Lender, (ix) modify the definition of Pro Rata Share without the consent of each Lender, (x) subordinate, or have the effect of subordinating, the Obligations hereunder to any other Debt without the consent of each Lender or (xi) modify Section 2.11(f) or any provisions requiring payment to be made for the ratable account of the Lenders without the consent of each Lender;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no amendment, waiver or consent shall, unless in writing and signed by the Administrative Agent in addition to the Lenders required above to take such action, affect the rights or duties of the Administrative Agent under this Agreement or the other Loan Documents and (B) no amendment, waiver or consent shall, unless in writing and signed by the Administrative Agent in addition to the Lenders required above to take such action, amend, waive or consent to any departure from the provisions of Section 2.07(e) or the defined terms herein pertaining to the establishment, replacement or computation of any interest rate or interest rate margin applicable to any Obligations hereunder (except, in each case, in accordance with Sections 2.07(d), 2.07(e) and 9.01(e)).</w:t>
      </w:r>
    </w:p>
    <w:p>
      <w:pPr>
        <w:spacing w:after="0" w:line="154" w:lineRule="exact"/>
        <w:rPr>
          <w:sz w:val="20"/>
          <w:szCs w:val="20"/>
          <w:color w:val="auto"/>
        </w:rPr>
      </w:pPr>
    </w:p>
    <w:p>
      <w:pPr>
        <w:jc w:val="both"/>
        <w:ind w:firstLine="1505"/>
        <w:spacing w:after="0" w:line="227" w:lineRule="exact"/>
        <w:tabs>
          <w:tab w:leader="none" w:pos="1875"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any Lender (a “ </w:t>
      </w:r>
      <w:r>
        <w:rPr>
          <w:rFonts w:ascii="Times New Roman" w:cs="Times New Roman" w:eastAsia="Times New Roman" w:hAnsi="Times New Roman"/>
          <w:sz w:val="19"/>
          <w:szCs w:val="19"/>
          <w:b w:val="1"/>
          <w:bCs w:val="1"/>
          <w:i w:val="1"/>
          <w:iCs w:val="1"/>
          <w:color w:val="auto"/>
        </w:rPr>
        <w:t>Non</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b w:val="1"/>
          <w:bCs w:val="1"/>
          <w:i w:val="1"/>
          <w:iCs w:val="1"/>
          <w:color w:val="auto"/>
        </w:rPr>
        <w:t>Consenting Lender</w:t>
      </w:r>
      <w:r>
        <w:rPr>
          <w:rFonts w:ascii="Times New Roman" w:cs="Times New Roman" w:eastAsia="Times New Roman" w:hAnsi="Times New Roman"/>
          <w:sz w:val="19"/>
          <w:szCs w:val="19"/>
          <w:color w:val="auto"/>
        </w:rPr>
        <w:t>”) shall fail to consent to a waiver or amendment to, or a departure from, the provisions of this Agreement which requires the consent of all Lenders and that has been consented to by the Administrative Agent and the Required Lenders, then the Borrower shall have the right, upon written demand to such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Consenting Lender and the Administrative Agent given within 30 days after the first date on which such consent was solicited in writing from the Lenders by the Administrative Agent (a “</w:t>
      </w:r>
      <w:r>
        <w:rPr>
          <w:rFonts w:ascii="Times New Roman" w:cs="Times New Roman" w:eastAsia="Times New Roman" w:hAnsi="Times New Roman"/>
          <w:sz w:val="19"/>
          <w:szCs w:val="19"/>
          <w:b w:val="1"/>
          <w:bCs w:val="1"/>
          <w:i w:val="1"/>
          <w:iCs w:val="1"/>
          <w:color w:val="auto"/>
        </w:rPr>
        <w:t>Consent Request Date</w:t>
      </w:r>
      <w:r>
        <w:rPr>
          <w:rFonts w:ascii="Times New Roman" w:cs="Times New Roman" w:eastAsia="Times New Roman" w:hAnsi="Times New Roman"/>
          <w:sz w:val="19"/>
          <w:szCs w:val="19"/>
          <w:color w:val="auto"/>
        </w:rPr>
        <w:t>”), to cause such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Consenting Lender to assign its rights and obligations under this Agreement (including, without limitation, its Commitment or Commitments, the Advances owing to it and the Note or Notes, if any, held by it) to a Replacement Lender,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as of such Consent Request Date, no Default or Event of Default shall have occurred and be continuing, (ii) as of the date of the Borrower’s written demand to replace such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Consenting Lender, no Default or Event of Default shall have occurred and be continuing other than a Default or Event of Default that resulted solely from the subject matter of the waiver or amendment for which such consent was being solicited from the Lenders by the Administrative Agent and (iii) the replacement of any Non-Consenting Lender shall be consummated in accordance with and subject to the provisions of Section 2.19. The Replacement Lender shall purchase such interests of the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Consenting Lender and shall assume the rights and obligations of the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Consenting Lender under this Agreement upon execution by the Replacement Lender of an Assignment and Acceptance delivered pursuant to Section 9.07.</w:t>
      </w:r>
    </w:p>
    <w:p>
      <w:pPr>
        <w:spacing w:after="0" w:line="187" w:lineRule="exact"/>
        <w:rPr>
          <w:rFonts w:ascii="Times New Roman" w:cs="Times New Roman" w:eastAsia="Times New Roman" w:hAnsi="Times New Roman"/>
          <w:sz w:val="19"/>
          <w:szCs w:val="19"/>
          <w:color w:val="auto"/>
        </w:rPr>
      </w:pPr>
    </w:p>
    <w:p>
      <w:pPr>
        <w:jc w:val="both"/>
        <w:ind w:firstLine="1505"/>
        <w:spacing w:after="0" w:line="241" w:lineRule="auto"/>
        <w:tabs>
          <w:tab w:leader="none" w:pos="1875"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Anything herein to the contrary notwithstanding, during such period as a Lender is a Defaulting Lender, to the fullest extent permitted by applicable law, such Lender will not be entitled to vote in respect of amendments and waivers hereunder and the Commitment and the outstanding Advances or other extensions of credit of such Lender hereunder will not be taken into account in determining whether the Required Lenders or all of the Lenders, as required, have approved any such amendment or waiver (and the definition of “Required Lenders” will automatically be deemed modified accordingly for the duration of such period);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such amendment or waiver that would increase or extend the term of the Commitment of such Defaulting Lender, extend the date fixed for the payment of principal or interest owing to such Defaulting Lender hereunder, reduce the principal amount of any obligation owing to such Defaulting Lender, reduce the amount of or the rate or amount of interest on any amount owing to such Defaulting Lender or of any fee payable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3136265</wp:posOffset>
            </wp:positionH>
            <wp:positionV relativeFrom="paragraph">
              <wp:posOffset>-3012440</wp:posOffset>
            </wp:positionV>
            <wp:extent cx="66040"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04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9"/>
          <w:szCs w:val="19"/>
          <w:color w:val="auto"/>
        </w:rPr>
        <w:t>Defaulting Lender hereunder, or alter the terms of this proviso, will require the consent of such Defaulting Lender.</w:t>
      </w:r>
    </w:p>
    <w:p>
      <w:pPr>
        <w:spacing w:after="0" w:line="214" w:lineRule="exact"/>
        <w:rPr>
          <w:sz w:val="20"/>
          <w:szCs w:val="20"/>
          <w:color w:val="auto"/>
        </w:rPr>
      </w:pPr>
    </w:p>
    <w:p>
      <w:pPr>
        <w:jc w:val="both"/>
        <w:ind w:firstLine="1505"/>
        <w:spacing w:after="0" w:line="242" w:lineRule="auto"/>
        <w:tabs>
          <w:tab w:leader="none" w:pos="1875"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Anything herein to the contrary notwithstanding, but subject to Section 2.07(d), if the Administrative Agent and the Borrower have jointly identified an ambiguity, omission, mistake or defect in any provision of this Agreement or the other Loan Documents or an inconsistency between a provision of this Agreement and/or a provision of the other Loan Documents, the Administrative Agent and the Borrower shall be permitted to amend such provision to cure such ambiguity, omission, mistake, defect or inconsistency, and, in each case, such amendment shall become effective without any further action or consent of any other party to any Loan Document if the Required Lenders do not provide the Administrative Agent with written notice of objection to such amendment within ten Business Days following receipt of notice thereof and a copy of such amendment.</w:t>
      </w:r>
    </w:p>
    <w:p>
      <w:pPr>
        <w:spacing w:after="0" w:line="179" w:lineRule="exact"/>
        <w:rPr>
          <w:rFonts w:ascii="Times New Roman" w:cs="Times New Roman" w:eastAsia="Times New Roman" w:hAnsi="Times New Roman"/>
          <w:sz w:val="19"/>
          <w:szCs w:val="19"/>
          <w:color w:val="auto"/>
        </w:rPr>
      </w:pPr>
    </w:p>
    <w:p>
      <w:pPr>
        <w:jc w:val="both"/>
        <w:ind w:firstLine="1505"/>
        <w:spacing w:after="0" w:line="239" w:lineRule="auto"/>
        <w:tabs>
          <w:tab w:leader="none" w:pos="1875"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a consent or approval (a “ </w:t>
      </w:r>
      <w:r>
        <w:rPr>
          <w:rFonts w:ascii="Times New Roman" w:cs="Times New Roman" w:eastAsia="Times New Roman" w:hAnsi="Times New Roman"/>
          <w:sz w:val="19"/>
          <w:szCs w:val="19"/>
          <w:b w:val="1"/>
          <w:bCs w:val="1"/>
          <w:i w:val="1"/>
          <w:iCs w:val="1"/>
          <w:color w:val="auto"/>
        </w:rPr>
        <w:t>Proposed Modification</w:t>
      </w:r>
      <w:r>
        <w:rPr>
          <w:rFonts w:ascii="Times New Roman" w:cs="Times New Roman" w:eastAsia="Times New Roman" w:hAnsi="Times New Roman"/>
          <w:sz w:val="19"/>
          <w:szCs w:val="19"/>
          <w:color w:val="auto"/>
        </w:rPr>
        <w:t>”) is issued by the Required Lenders (as defined in the Existing Credit Agreement) of any waiver, amendment and/or modification to any economic or financial covenant (including any associated definitions) of the Existing Credit Agreement (the “</w:t>
      </w:r>
      <w:r>
        <w:rPr>
          <w:rFonts w:ascii="Times New Roman" w:cs="Times New Roman" w:eastAsia="Times New Roman" w:hAnsi="Times New Roman"/>
          <w:sz w:val="19"/>
          <w:szCs w:val="19"/>
          <w:b w:val="1"/>
          <w:bCs w:val="1"/>
          <w:i w:val="1"/>
          <w:iCs w:val="1"/>
          <w:color w:val="auto"/>
        </w:rPr>
        <w:t>Existing Credit Agreement Provisions</w:t>
      </w:r>
      <w:r>
        <w:rPr>
          <w:rFonts w:ascii="Times New Roman" w:cs="Times New Roman" w:eastAsia="Times New Roman" w:hAnsi="Times New Roman"/>
          <w:sz w:val="19"/>
          <w:szCs w:val="19"/>
          <w:color w:val="auto"/>
        </w:rPr>
        <w:t>”) in writing then (A) for purposes of determining if the requisite approvals hereunder have been obtained, any Lender under this Agreement shall be deemed to have approved a waiver, amendment and/or modification, as applicable, to the corresponding economic or financial covenant hereunder (including any associated definitions) identical to such Proposed Modification if such Lender or an Affiliate of such Lender shall have approved the Proposed Modification under the Existing Credit Agreement in its capacity as a Lender thereunder and (B) if the Lenders under this Agreement described in the immediately preceding clause (A) constitute the Required Lenders (or, to the extent required by Section 9.01(a), all Lenders) hereunder, then substantially simultaneously with the agreement to or granting of such Proposed Modification under the Existing Credit Agreement, this Agreement shall be deemed modified or amended, or that applicable provision shall be deemed waived (a “</w:t>
      </w:r>
      <w:r>
        <w:rPr>
          <w:rFonts w:ascii="Times New Roman" w:cs="Times New Roman" w:eastAsia="Times New Roman" w:hAnsi="Times New Roman"/>
          <w:sz w:val="19"/>
          <w:szCs w:val="19"/>
          <w:b w:val="1"/>
          <w:bCs w:val="1"/>
          <w:i w:val="1"/>
          <w:iCs w:val="1"/>
          <w:color w:val="auto"/>
        </w:rPr>
        <w:t>Conforming Amendment</w:t>
      </w:r>
      <w:r>
        <w:rPr>
          <w:rFonts w:ascii="Times New Roman" w:cs="Times New Roman" w:eastAsia="Times New Roman" w:hAnsi="Times New Roman"/>
          <w:sz w:val="19"/>
          <w:szCs w:val="19"/>
          <w:color w:val="auto"/>
        </w:rPr>
        <w:t>”) in a manner consistent with the Proposed Modifications under the Existing Credit Agreement. The Borrower, the Administrative Agent and each such approving Lender (including any Lender deemed to have approved pursuant to this Section 9.01(e)) shall, upon the written request of any party hereunder, execute and deliver a written amendment to the applicable Loan Document(s) to memorialize any Conforming Amendment approved (or deemed approved) pursuant to this Section 9.01(e). For clarification, in the event that the Existing Credit Agreement is replaced and/or amended and restated, and the terms of such replacements or amendment and restatement do not include an economic or financial covenant that is included in this Agreement, such exclusion shall be deemed a Proposed Modification of an Existing Credit Agreement Provision for purposes of this Section 9.01(e). In the event any fees are paid in connection with any such waiver, amendment and/or modification of the Existing Credit Agreement described in this Section 9.01(e), as a condition to any Conforming Amendment, a corresponding amount of such fees shall be paid to the Lenders, subject to any applicable conditions to payment of such fees contained in the Existing Credit Agreement.</w:t>
      </w:r>
    </w:p>
    <w:p>
      <w:pPr>
        <w:spacing w:after="0" w:line="192" w:lineRule="exact"/>
        <w:rPr>
          <w:rFonts w:ascii="Times New Roman" w:cs="Times New Roman" w:eastAsia="Times New Roman" w:hAnsi="Times New Roman"/>
          <w:sz w:val="19"/>
          <w:szCs w:val="19"/>
          <w:color w:val="auto"/>
        </w:rPr>
      </w:pPr>
    </w:p>
    <w:p>
      <w:pPr>
        <w:jc w:val="both"/>
        <w:ind w:firstLine="1505"/>
        <w:spacing w:after="0"/>
        <w:tabs>
          <w:tab w:leader="none" w:pos="1875"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Administrative Agent shall request the consent of the Lenders pursuant to Section 9.01(a) and any Lender shall fail to respond to such consent request (which response must include any non-confidential information as may have been reasonably requested by the Administrative Agent from such Lender in connection with such consent request) within the earlier of (x) the applicable time period specified for the granting or withholding of such consent pursuant to the Loan Documents, if any, and (y) ten (10) Business Days after delivery of such request, then the Administrative Agent shall deliver a second request, in writing, to such non-responding Lender, which second request shall include a legend in capital letters stating “YOUR RESPONSE IS REQUIRED WITHIN TEN (10) BUSINESS DAYS OF RECEIPT OF THIS NOTICE PURSUANT TO THE TERMS OF THE TERM LOAN AGREEMENT DATED AS OF JUNE 25, 2026, AS AMENDED, AMONG EASTERLY GOVERNMENT PROPERTIES LP, EASTERLY GOVERNMENT PROPERTIES, INC., PNC BANK, NATIONAL ASSOCIATION AND THE LENDERS PARTY THERETO. FAILURE TO RESPOND IN WRITING TO THIS REQUEST WITHIN SUCH TEN (10) BUSINESS DAY PERIOD SHALL RESULT IN YOUR DEEMED CONSENT TO THIS REQUEST.” and if such Lender fails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9"/>
          <w:szCs w:val="19"/>
          <w:color w:val="auto"/>
        </w:rPr>
        <w:t>to respond to such second request within such second period, such Lender shall be deemed to have consented to such request.</w:t>
      </w:r>
    </w:p>
    <w:p>
      <w:pPr>
        <w:spacing w:after="0" w:line="214"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9.02</w:t>
      </w:r>
      <w:r>
        <w:rPr>
          <w:sz w:val="20"/>
          <w:szCs w:val="20"/>
          <w:color w:val="auto"/>
        </w:rPr>
        <w:tab/>
      </w:r>
      <w:r>
        <w:rPr>
          <w:rFonts w:ascii="Times New Roman" w:cs="Times New Roman" w:eastAsia="Times New Roman" w:hAnsi="Times New Roman"/>
          <w:sz w:val="18"/>
          <w:szCs w:val="18"/>
          <w:u w:val="single" w:color="auto"/>
          <w:color w:val="auto"/>
        </w:rPr>
        <w:t>Notices, Etc.</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1505"/>
        <w:spacing w:after="0" w:line="221" w:lineRule="exact"/>
        <w:tabs>
          <w:tab w:leader="none" w:pos="1875"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notices and other Communications provided for hereunder shall be either (x) in writing (including telecopier communication) and mailed, telecopied or delivered by hand or by overnight courier service, (y) as and to the extent set forth in Section 9.02(b) and in the proviso to this Section 9.02(a), in an electronic medium and delivered as set forth in Section 9.02(b) or (z) as and to the extent expressly permitted in this Agreement, transmitted by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mail,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mail shall in all cases include an attachment (in PDF format or similar format) containing a legible signature of the person providing such notice, if to the Borrower, at its address at c/o Easterly Government Properties, Inc., 2001 K Street NW, Suite 775 North, Washington, D.C. 20006, Attention: Allison Marino, Chief Financial Officer or, if applicable, at amarino@easterlyreit.com (and in the case of transmission by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mail, with a copy by U.S. mail to the attention of Allison Marino, Chief Financial Officer at c/o Easterly Government Properties, Inc., 2001 K Street NW, Suite 775 North, Washington, D.C. 20006); if to any Initial Lender, at its Domestic Lending Office or, if applicable, at the telecopy number or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mail address specified opposite its name on Schedule I hereto (and in the case of a transmission by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mail, with a copy by U.S. mail to its Domestic Lending Office); if to any other Lender, at its Domestic Lending Office or, if applicable, at the telecopy number or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mail address specified in the Assignment and Acceptance pursuant to which it became a Lender (and in the case of a transmission by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mail, with a copy by U.S. mail to its Domestic Lending Office); and if to the Administrative Agent, at its address at PNC Real Estate, 800 17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Street NW, Washington, DC 20006, Attention: Shari Reams-Henofer, Senior Vice President, or, if applicable, at shari.reams@pnc.com (and in the case of a transmission by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mail, with a copy by U.S. mail to PNC Real Estate, 800 17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Street NW, Washington, DC 20006, Attention: Shari Reams-Henofer, Senior Vice President) or, as to the Borrower or the Administrative Agent, at such other address as shall be designated by such party in a written notice to the other parties and, as to each other party, at such other address as shall be designated by such party in a written notice to the Borrower and the Administrative Agent. All notices, demands, requests, consents and other Communications described in this clause (a) shall be effective (i) if delivered by hand, including any overnight courier service, upon personal delivery, (ii) if delivered by mail, when deposited in the mails, (iii) if delivered by posting to an Approved Electronic Platform, an Internet website or a similar telecommunication device requiring that a user have prior access to such Approved Electronic Platform, website or other device (to the extent permitted by Section 9.02(b) to be delivered thereunder), when such notice, demand, request, consent and other Communication shall have been made generally available on such Approved Electronic Platform, Internet website or similar device to the class of Person being notified (regardless of whether any such Person must accomplish, and whether or not any such Person shall have accomplished, any action prior to obtaining access to such items, including registration, disclosure of contact information, compliance with a standard user agreement or undertaking a duty of confidentiality) and such Person has been notified in respect of such posting that a Communication has been posted to the Approved Electronic Platform,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requested by any Lender, the Administrative Agent shall deliver a copy of the Communications to such Lender by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mail or telecopier and (iv) if delivered by electronic mail or any other telecommunications device, upon receipt by the sender of a response from any one recipient, or from an employee or representative of the Person receiving notice on behalf of such Person, acknowledging receipt (which response may not be an automatic computer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generated response) and an identical notice is also sent simultaneously by mail, overnight courier or personal delivery as otherwise provide in this Section 9.02;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notices and Communications to the Administrative Agent pursuant to Article II, III or IX shall not be effective until received by the Administrative Agent. Delivery by telecopier of an executed counterpart of a signature page to any amendment or waiver of any provision of this Agreement or the Notes or of any Exhibit hereto to be executed and delivered hereunder shall be effective as delivery of an original executed counterpart thereof. Each Lender agrees (i) to notify the Administrative Agent in writing of such Lender’s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mail address to which a notice may be sent by electronic transmission (including by electronic communication) on or before the date such Lender becomes 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2" w:name="page103"/>
    <w:bookmarkEnd w:id="102"/>
    <w:p>
      <w:pPr>
        <w:spacing w:after="0" w:line="274" w:lineRule="exact"/>
        <w:rPr>
          <w:sz w:val="20"/>
          <w:szCs w:val="20"/>
          <w:color w:val="auto"/>
        </w:rPr>
      </w:pPr>
      <w:r>
        <w:rPr>
          <w:rFonts w:ascii="Times New Roman" w:cs="Times New Roman" w:eastAsia="Times New Roman" w:hAnsi="Times New Roman"/>
          <w:sz w:val="19"/>
          <w:szCs w:val="19"/>
          <w:color w:val="auto"/>
        </w:rPr>
        <w:t>party to this Agreement (and from time to time thereafter to ensure that the Administrative Agent has on record an effective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mail address for such Lender) and (ii) that any notice may be sent to such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mail address.</w:t>
      </w:r>
    </w:p>
    <w:p>
      <w:pPr>
        <w:spacing w:after="0" w:line="158" w:lineRule="exact"/>
        <w:rPr>
          <w:sz w:val="20"/>
          <w:szCs w:val="20"/>
          <w:color w:val="auto"/>
        </w:rPr>
      </w:pPr>
    </w:p>
    <w:p>
      <w:pPr>
        <w:jc w:val="both"/>
        <w:ind w:firstLine="1505"/>
        <w:spacing w:after="0" w:line="244" w:lineRule="auto"/>
        <w:tabs>
          <w:tab w:leader="none" w:pos="1875"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clause (a) (unless the Administrative Agent requests that the provisions of clause (a) be followed) and any other provision in this Agreement or any other Loan Document providing for the delivery of any Approved Electronic Communication by any other means, the Loan Parties shall deliver all Approved Electronic Communications to the Administrative Agent by properly transmitting such Approved Electronic Communications in an electronic/soft medium in a format acceptable to the Administrative Agent to Shari Reams-Henofer at shari.reams@pnc.com or such other electronic mail address (or similar means of electronic delivery) as the Administrative Agent may notify to the Borrower. Nothing in this clause (b) shall prejudice the right of the Administrative Agent or any Lender to deliver any Approved Electronic Communication to any Loan Party in any manner authorized in this Agreement or to request that the Borrower effect delivery in such manner.</w:t>
      </w:r>
    </w:p>
    <w:p>
      <w:pPr>
        <w:spacing w:after="0" w:line="186" w:lineRule="exact"/>
        <w:rPr>
          <w:rFonts w:ascii="Times New Roman" w:cs="Times New Roman" w:eastAsia="Times New Roman" w:hAnsi="Times New Roman"/>
          <w:sz w:val="19"/>
          <w:szCs w:val="19"/>
          <w:color w:val="auto"/>
        </w:rPr>
      </w:pPr>
    </w:p>
    <w:p>
      <w:pPr>
        <w:jc w:val="both"/>
        <w:ind w:firstLine="1505"/>
        <w:spacing w:after="0" w:line="222" w:lineRule="exact"/>
        <w:tabs>
          <w:tab w:leader="none" w:pos="1875"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Lenders and each Loan Party agrees that the Administrative Agent may, but shall not be obligated to, make the Approved Electronic Communications available to the Lenders by posting such Approved Electronic Communications on IntraLinks™ or a substantially similar electronic platform chosen by the Administrative Agent to be its electronic transmission system (the “</w:t>
      </w:r>
      <w:r>
        <w:rPr>
          <w:rFonts w:ascii="Times New Roman" w:cs="Times New Roman" w:eastAsia="Times New Roman" w:hAnsi="Times New Roman"/>
          <w:sz w:val="19"/>
          <w:szCs w:val="19"/>
          <w:b w:val="1"/>
          <w:bCs w:val="1"/>
          <w:i w:val="1"/>
          <w:iCs w:val="1"/>
          <w:color w:val="auto"/>
        </w:rPr>
        <w:t>Approved Electronic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Platform</w:t>
      </w:r>
      <w:r>
        <w:rPr>
          <w:rFonts w:ascii="Times New Roman" w:cs="Times New Roman" w:eastAsia="Times New Roman" w:hAnsi="Times New Roman"/>
          <w:sz w:val="19"/>
          <w:szCs w:val="19"/>
          <w:color w:val="auto"/>
        </w:rPr>
        <w:t>”). Although the Approved Electronic Platform and its primary web portal are secured with generally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applicable security procedures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policies implemented or modified by the Administrative Agent from time to time (including, as of the Closing Date, a dual firewall and a User ID/Password Authorization System) and the Approved Electronic Platform is secured through a single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user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per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deal authorization method whereby each user may access the Approved Electronic Platform only on a deal</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by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deal basis, each of the Lenders and each Loan Party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Lenders and each Loan Party hereby approves distribution of the Approved Electronic Communications through the Approved Electronic Platform and understands and assumes the risks of such distribution.</w:t>
      </w:r>
    </w:p>
    <w:p>
      <w:pPr>
        <w:spacing w:after="0" w:line="194" w:lineRule="exact"/>
        <w:rPr>
          <w:rFonts w:ascii="Times New Roman" w:cs="Times New Roman" w:eastAsia="Times New Roman" w:hAnsi="Times New Roman"/>
          <w:sz w:val="19"/>
          <w:szCs w:val="19"/>
          <w:color w:val="auto"/>
        </w:rPr>
      </w:pPr>
    </w:p>
    <w:p>
      <w:pPr>
        <w:jc w:val="both"/>
        <w:ind w:firstLine="1505"/>
        <w:spacing w:after="0" w:line="220" w:lineRule="exact"/>
        <w:tabs>
          <w:tab w:leader="none" w:pos="1875"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APPROVED ELECTRONIC PLATFORM AND THE APPROVED ELECTRONIC COMMUNICATIONS ARE PROVIDED “AS IS” AND “AS AVAILABLE”. NONE OF THE ADMINISTRATIVE AGENT NOR ANY OF ITS DIRECTORS, OFFICERS, AGENTS OR EMPLOYEES WARRANT THE ACCURACY, ADEQUACY OR COMPLETENESS OF THE APPROVED ELECTRONIC COMMUNICATIONS OR THE APPROVED ELECTRONIC PLATFORM AND EACH EXPRESSLY DISCLAIMS ANY LIABILITY FOR ERRORS OR OMISSIONS IN THE APPROVED ELECTRONIC COMMUNICATIONS OR THE APPROVED ELECTRONIC PLATFORM. NO WARRANTY OF ANY KIND, EXPRESS, IMPLIED OR STATUTORY, INCLUDING, WITHOUT LIMITATION, ANY WARRANTY OF MERCHANTABILITY, FITNESS FOR A PARTICULAR PURPOSE,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INFRINGEMENT OF THIRD PARTY RIGHTS OR FREEDOM FROM VIRUSES OR OTHER CODE DEFECTS, IS MADE BY THE ADMINISTRATIVE AGENT OR ANY OF ITS DIRECTORS, OFFICERS, AGENTS OR EMPLOYEES IN CONNECTION WITH THE APPROVED ELECTRONIC COMMUNICATIONS OR THE APPROVED ELECTRONIC PLATFORM.</w:t>
      </w:r>
    </w:p>
    <w:p>
      <w:pPr>
        <w:spacing w:after="0" w:line="195" w:lineRule="exact"/>
        <w:rPr>
          <w:rFonts w:ascii="Times New Roman" w:cs="Times New Roman" w:eastAsia="Times New Roman" w:hAnsi="Times New Roman"/>
          <w:sz w:val="19"/>
          <w:szCs w:val="19"/>
          <w:color w:val="auto"/>
        </w:rPr>
      </w:pPr>
    </w:p>
    <w:p>
      <w:pPr>
        <w:jc w:val="both"/>
        <w:ind w:firstLine="1505"/>
        <w:spacing w:after="0" w:line="240" w:lineRule="exact"/>
        <w:tabs>
          <w:tab w:leader="none" w:pos="1875"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Lenders and each Loan Party agrees that the Administrative Agent may, but (except as may be required by applicable law) shall not be obligated to, store the Approved Electronic Communications on the Approved Electronic Platform in accordance with the Administrative Agent’s generally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applicable document retention procedures and policies.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103" w:name="page104"/>
    <w:bookmarkEnd w:id="103"/>
    <w:p>
      <w:pPr>
        <w:jc w:val="both"/>
        <w:ind w:firstLine="1505"/>
        <w:spacing w:after="0" w:line="242" w:lineRule="auto"/>
        <w:tabs>
          <w:tab w:leader="none" w:pos="1875"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herein, if the Borrower and the Administrative Agent agree, the Borrower may request a Borrowing, continuation or Conversion of Advances through the Credit Management Module of PNC’s PINACLE® system in accordance with the applicable security procedures therefor. Each request submitted through the Credit Management Module of PNC’s PINACLE® system in accordance with the applicable security procedures therefor shall be deemed delivered to the Administrative Agent (i) in the form required by Sections 2.02(a), 2.07 or 2.09, as applicable, and (ii) on the date and time such request was submitted through the Credit Management Module of PNC’s PINACLE® system.</w:t>
      </w:r>
    </w:p>
    <w:p>
      <w:pPr>
        <w:spacing w:after="0" w:line="19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010000"/>
        </w:rPr>
        <w:t xml:space="preserve">Section 9.03 </w:t>
      </w:r>
      <w:r>
        <w:rPr>
          <w:rFonts w:ascii="Times New Roman" w:cs="Times New Roman" w:eastAsia="Times New Roman" w:hAnsi="Times New Roman"/>
          <w:sz w:val="19"/>
          <w:szCs w:val="19"/>
          <w:u w:val="single" w:color="auto"/>
          <w:color w:val="000000"/>
        </w:rPr>
        <w:t>No Waiver; Remedies</w:t>
      </w:r>
      <w:r>
        <w:rPr>
          <w:rFonts w:ascii="Times New Roman" w:cs="Times New Roman" w:eastAsia="Times New Roman" w:hAnsi="Times New Roman"/>
          <w:sz w:val="19"/>
          <w:szCs w:val="19"/>
          <w:color w:val="000000"/>
        </w:rPr>
        <w:t>. No failure on the part of any Lender or the Administrative Agent to exercise, and no</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delay in exercising, any right hereunder or under any other Loan Document shall operate as a waiver thereof; nor shall any single or partial exercise of any such right preclude any other or further exercise thereof or the exercise of any other right. The remedies herein and therein provided are cumulative and not exclusive of any remedies provided by law.</w:t>
      </w:r>
    </w:p>
    <w:p>
      <w:pPr>
        <w:spacing w:after="0" w:line="184"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9.04</w:t>
      </w:r>
      <w:r>
        <w:rPr>
          <w:sz w:val="20"/>
          <w:szCs w:val="20"/>
          <w:color w:val="auto"/>
        </w:rPr>
        <w:tab/>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1505"/>
        <w:spacing w:after="0" w:line="221" w:lineRule="exact"/>
        <w:tabs>
          <w:tab w:leader="none" w:pos="1875"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Loan Party agrees jointly and severally to pay on demand (i) all reasonable and documented out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pocket costs and expenses of the Administrative Agent in connection with the preparation, execution, delivery, administration, modification and amendment of the Loan Documents (including, without limitation, reasonable and documented out-of-pocket (A) all due diligence, Asset review, syndication, transportation, computer, duplication, appraisal, audit, insurance, consultant, search, filing and recording fees and expenses, (B) fees and expenses of counsel for the Administrative Agent with respect thereto (including, without limitation, with respect to reviewing and advising on any matters required to be completed by the Loan Parties on a post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closing basis), with respect to advising the Administrative Agent as to its rights and responsibilities, or the perfection, protection or preservation of rights or interests, under the Loan Documents, with respect to negotiations with any Loan Party or with other creditors of any Loan Party or any of its Subsidiaries arising out of any Default or any events or circumstances that may give rise to a Default and with respect to presenting claims in or otherwise participating in or monitoring any bankruptcy, insolvency or other similar proceeding involving creditors’ rights generally and any proceeding ancillary thereto and (C) fees and expenses of counsel for the Administrative Agent with respect to the preparation, execution, delivery and review of any documents and instruments at any time delivered pursuant to Sections 3.01, 3.02 or 5.01(j)) and (ii) all out-of-pocket costs and expenses of the Administrative Agent and, following the occurrence of any Event of Default, each Lender, in connection with the enforcement (whether through negotiations, legal proceedings or otherwise) of the Loan Documents, whether in any action, litigation, or any bankruptcy, insolvency or other similar proceeding affecting creditors’ rights generally (including, without limitation, the reasonable fees and expenses of counsel for the Administrative Agent and each such Lender with respect thereto),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however</w:t>
      </w:r>
      <w:r>
        <w:rPr>
          <w:rFonts w:ascii="Times New Roman" w:cs="Times New Roman" w:eastAsia="Times New Roman" w:hAnsi="Times New Roman"/>
          <w:sz w:val="19"/>
          <w:szCs w:val="19"/>
          <w:color w:val="auto"/>
        </w:rPr>
        <w:t>, that the Loan Parties shall not be required to pay the costs and expenses of more than one counsel for the Administrative Agent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the Lenders, absent a conflict of interest (or in the case of a conflict of interest, one additional counsel for all similarly conflicted Lenders), and any necessary or desirable local counsel (limited to tax, litigation and corporate counsel in each applicable jurisdiction or, in the case of a conflict of interest, one additional tax, litigation and corporate counsel in such jurisdiction for all similarly conflicted Lenders).</w:t>
      </w:r>
    </w:p>
    <w:p>
      <w:pPr>
        <w:spacing w:after="0" w:line="190" w:lineRule="exact"/>
        <w:rPr>
          <w:rFonts w:ascii="Times New Roman" w:cs="Times New Roman" w:eastAsia="Times New Roman" w:hAnsi="Times New Roman"/>
          <w:sz w:val="19"/>
          <w:szCs w:val="19"/>
          <w:color w:val="auto"/>
        </w:rPr>
      </w:pPr>
    </w:p>
    <w:p>
      <w:pPr>
        <w:jc w:val="both"/>
        <w:ind w:firstLine="1505"/>
        <w:spacing w:after="0" w:line="241" w:lineRule="auto"/>
        <w:tabs>
          <w:tab w:leader="none" w:pos="1875"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Loan Party agrees to indemnify, defend and save and hold harmless each Indemnified Party from and against, and shall pay on demand, any and all claims, damages, losses, liabilities and expenses (including, without limitation, reasonable fees and expenses of one counsel for the Indemnified Parties, absent a conflict of interest (or in the case of a conflict of interest, one additional counsel for all similarly conflicted Indemnified Parties), and any necessary or desirable local counsel (limited to tax, litigation and corporate counsel in each applicable jurisdiction or, in the case of a conflict of interest, one additional tax, litigation and corporate counsel in such jurisdiction for all similarly conflicted Indemnified Parties)) that may be incurred by or asserted or awarded against any Indemnified Party, in each case arising out of or in connection with or by reason of (including, without limitation, in connection with any investigation, litigation or proceeding or preparation of a defense in connection therewith) (i) the Facility, the actual or proposed use of the proceeds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4" w:name="page105"/>
    <w:bookmarkEnd w:id="104"/>
    <w:p>
      <w:pPr>
        <w:jc w:val="both"/>
        <w:spacing w:after="0" w:line="219" w:lineRule="exact"/>
        <w:rPr>
          <w:sz w:val="20"/>
          <w:szCs w:val="20"/>
          <w:color w:val="auto"/>
        </w:rPr>
      </w:pPr>
      <w:r>
        <w:rPr>
          <w:rFonts w:ascii="Times New Roman" w:cs="Times New Roman" w:eastAsia="Times New Roman" w:hAnsi="Times New Roman"/>
          <w:sz w:val="18"/>
          <w:szCs w:val="18"/>
          <w:color w:val="auto"/>
        </w:rPr>
        <w:t>of the Advances, the Loan Documents or any of the transactions contemplated thereby or (ii) the actual or alleged presence of Hazardous Materials on any property of any Loan Party or any of its Subsidiaries or any Environmental Action relating in any way to any Loan Party or any of its Subsidiaries, except to the extent such claim, damage, loss, liability or expense (x) is found in a final,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appealable judgment by a court of competent jurisdiction to have resulted primarily from such Indemnified Party’s gross negligence, willful misconduct or bad faith material breach of the Loan Documents or (y) arises out of or in connection with any dispute solely among the Indemnified Parties and not arising out of or in connection with any act or omission of any Loan Parties or any of their Subsidiaries (other than a dispute involving a claim against the Administrative Agent or any Arranger solely in such capacity). In the case of an investigation, litigation or other proceeding to which the indemnity in this Section 9.04(b) applies, such indemnity shall be effective whether or not such investigation, litigation or proceeding is brought by any Borrower Party, its directors, shareholders or creditors or an Indemnified Party, whether or not any Indemnified Party is otherwise a party thereto and whether or not the transactions contemplated by the Loan Documents are consummated. Each Loan Party also agrees not to assert any claim against the Administrative Agent, any Lender or any of their respective Related Parties, on any theory of liability, for special, indirect, incidental, consequential or punitive damages arising out of or otherwise relating to the Facility, the actual or proposed use of the proceeds of the Advances, the Loan Documents or any of the transactions contemplated by the Loan Documents. This Section 9.04(b) shall not apply with respect to Taxes, as to which Section 2.12 shall govern, other than any Taxes that represent losses, claims, damages and similar costs arising from any non-Tax claim.</w:t>
      </w:r>
    </w:p>
    <w:p>
      <w:pPr>
        <w:spacing w:after="0" w:line="199" w:lineRule="exact"/>
        <w:rPr>
          <w:sz w:val="20"/>
          <w:szCs w:val="20"/>
          <w:color w:val="auto"/>
        </w:rPr>
      </w:pPr>
    </w:p>
    <w:p>
      <w:pPr>
        <w:jc w:val="both"/>
        <w:ind w:firstLine="1505"/>
        <w:spacing w:after="0"/>
        <w:tabs>
          <w:tab w:leader="none" w:pos="1875"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payment of principal of, or Conversion of, any Term SOFR Advance is made by the Borrower to or for the account of a Lender other than on the last day of the Interest Period for such Advance, as a result of a payment or Conversion pursuant to Section 2.06, 2.09(b)(i) or 2.10(d), replacement of a Lender pursuant to Section 2.19 or 9.01(b), acceleration of the maturity of the Notes pursuant to Section 6.01 or for any other reason, if the Borrower fails to make any payment or prepayment of an Advance for which a notice of prepayment has been given or that is otherwise required to be made, whether pursuant to Section 2.04, 2.06 or 6.01 or otherwise, or a Benchmark Replacement occurs pursuant to Section 2.07(e), the Borrower shall, upon demand by such Lender (with a copy of such demand to the Administrative Agent), pay to the Administrative Agent for the account of such Lender any amounts required to compensate such Lender for any additional losses, costs or expenses that it may reasonably incur as a result of such payment or Conversion or such failure to pay or prepay, as the case may be, including, without limitation, any loss, cost or expense incurred by reason of the liquidation or reemployment of deposits or other funds acquired by any Lender to fund or maintain such Advance.</w:t>
      </w:r>
    </w:p>
    <w:p>
      <w:pPr>
        <w:spacing w:after="0" w:line="191" w:lineRule="exact"/>
        <w:rPr>
          <w:rFonts w:ascii="Times New Roman" w:cs="Times New Roman" w:eastAsia="Times New Roman" w:hAnsi="Times New Roman"/>
          <w:sz w:val="19"/>
          <w:szCs w:val="19"/>
          <w:color w:val="auto"/>
        </w:rPr>
      </w:pPr>
    </w:p>
    <w:p>
      <w:pPr>
        <w:jc w:val="both"/>
        <w:ind w:firstLine="1505"/>
        <w:spacing w:after="0" w:line="251" w:lineRule="auto"/>
        <w:tabs>
          <w:tab w:leader="none" w:pos="1875"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Loan Party fails to pay when due any costs, expenses or other amounts payable by it under any Loan Document, including, without limitation, fees and expenses of counsel and indemnities, such amount may be paid on behalf of such Loan Party by the Administrative Agent or any Lender, in its sole discretion.</w:t>
      </w:r>
    </w:p>
    <w:p>
      <w:pPr>
        <w:spacing w:after="0" w:line="178" w:lineRule="exact"/>
        <w:rPr>
          <w:rFonts w:ascii="Times New Roman" w:cs="Times New Roman" w:eastAsia="Times New Roman" w:hAnsi="Times New Roman"/>
          <w:sz w:val="19"/>
          <w:szCs w:val="19"/>
          <w:color w:val="auto"/>
        </w:rPr>
      </w:pPr>
    </w:p>
    <w:p>
      <w:pPr>
        <w:jc w:val="both"/>
        <w:ind w:firstLine="1505"/>
        <w:spacing w:after="0" w:line="251" w:lineRule="auto"/>
        <w:tabs>
          <w:tab w:leader="none" w:pos="1875"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prejudice to the survival of any other agreement of any Loan Party hereunder or under any other Loan Document, the agreements and obligations of the Borrower and the other Loan Parties contained in Sections 2.10 and 2.12, Section 7.06 and this Section 9.04 shall survive the payment in full of principal, interest and all other amounts payable hereunder and under any of the other Loan Documents.</w:t>
      </w:r>
    </w:p>
    <w:p>
      <w:pPr>
        <w:spacing w:after="0" w:line="178" w:lineRule="exact"/>
        <w:rPr>
          <w:rFonts w:ascii="Times New Roman" w:cs="Times New Roman" w:eastAsia="Times New Roman" w:hAnsi="Times New Roman"/>
          <w:sz w:val="19"/>
          <w:szCs w:val="19"/>
          <w:color w:val="auto"/>
        </w:rPr>
      </w:pPr>
    </w:p>
    <w:p>
      <w:pPr>
        <w:jc w:val="both"/>
        <w:ind w:firstLine="1505"/>
        <w:spacing w:after="0" w:line="251" w:lineRule="auto"/>
        <w:tabs>
          <w:tab w:leader="none" w:pos="1875"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Indemnified Party referred to in Section 9.04(b)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5" w:name="page106"/>
    <w:bookmarkEnd w:id="105"/>
    <w:p>
      <w:pPr>
        <w:jc w:val="both"/>
        <w:ind w:firstLine="1497"/>
        <w:spacing w:after="0" w:line="223" w:lineRule="exact"/>
        <w:rPr>
          <w:sz w:val="20"/>
          <w:szCs w:val="20"/>
          <w:color w:val="auto"/>
        </w:rPr>
      </w:pPr>
      <w:r>
        <w:rPr>
          <w:rFonts w:ascii="Times New Roman" w:cs="Times New Roman" w:eastAsia="Times New Roman" w:hAnsi="Times New Roman"/>
          <w:sz w:val="18"/>
          <w:szCs w:val="18"/>
          <w:color w:val="010000"/>
        </w:rPr>
        <w:t xml:space="preserve">Section 9.05 </w:t>
      </w:r>
      <w:r>
        <w:rPr>
          <w:rFonts w:ascii="Times New Roman" w:cs="Times New Roman" w:eastAsia="Times New Roman" w:hAnsi="Times New Roman"/>
          <w:sz w:val="18"/>
          <w:szCs w:val="18"/>
          <w:u w:val="single" w:color="auto"/>
          <w:color w:val="000000"/>
        </w:rPr>
        <w:t>Right of Set</w:t>
      </w:r>
      <w:r>
        <w:rPr>
          <w:rFonts w:ascii="MS PGothic" w:cs="MS PGothic" w:eastAsia="MS PGothic" w:hAnsi="MS PGothic"/>
          <w:sz w:val="18"/>
          <w:szCs w:val="18"/>
          <w:u w:val="single" w:color="auto"/>
          <w:color w:val="000000"/>
        </w:rPr>
        <w:t>‑</w:t>
      </w:r>
      <w:r>
        <w:rPr>
          <w:rFonts w:ascii="Times New Roman" w:cs="Times New Roman" w:eastAsia="Times New Roman" w:hAnsi="Times New Roman"/>
          <w:sz w:val="18"/>
          <w:szCs w:val="18"/>
          <w:u w:val="single" w:color="auto"/>
          <w:color w:val="000000"/>
        </w:rPr>
        <w:t>off</w:t>
      </w:r>
      <w:r>
        <w:rPr>
          <w:rFonts w:ascii="Times New Roman" w:cs="Times New Roman" w:eastAsia="Times New Roman" w:hAnsi="Times New Roman"/>
          <w:sz w:val="18"/>
          <w:szCs w:val="18"/>
          <w:color w:val="000000"/>
        </w:rPr>
        <w:t>. Upon (a) the occurrence and during the continuance of any Event of Default and (b) the making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the request or the granting of the consent specified by Section 6.01 to authorize the Administrative Agent to declare the Notes due and payable pursuant to the provisions of Section 6.01, the Administrative Agent and each Lender and each of their respective Affiliates is hereby authorized at any time and from time to time, to the fullest extent permitted by law, to set off and otherwise apply any and all deposits (general or special, time or demand, provisional or final) at any time held and other indebtedness at any time owing by the Administrative Agent, such Lender or such Affiliate to or for the credit or the account of the Borrower or any other Loan Party against any and all of the Obligations of the Borrower or such Loan Party now or hereafter existing under the Loan Documents, irrespective of whether the Administrative Agent or such Lender shall have made any demand under this Agreement or such Note or Notes and although such obligations may be unmatured. The Administrative Agent and each Lender agrees promptly to notify the Borrower or such Loan Party after any such set</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 xml:space="preserve">off and application;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that the failure to give such notice shall not affect the validity of such set</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off and application. The rights of the Administrative Agent and each Lender and their respective Affiliates under this Section 9.05 are in addition to other rights and remedies (including, without limitation, other rights of set</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 xml:space="preserve">off) that the Administrative Agent, such Lender and their respective Affiliates may have;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that in the event that any Defaulting Lender exercises such right of setoff, (x) all amounts so set off will be paid over immediately to the Administrative Agent for further application in accordance with the provisions of Section 2.18(a) and, pending such payment, will be segregated by such Defaulting Lender from its other funds and deemed held in trust for the benefit of the Administrative Agent and the Lenders and (y) the Defaulting Lender will provide promptly to the Administrative Agent a statement describing in reasonable detail the Obligations owing to such Defaulting Lender as to which it exercised such right of setoff.</w:t>
      </w:r>
    </w:p>
    <w:p>
      <w:pPr>
        <w:spacing w:after="0" w:line="195"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010000"/>
        </w:rPr>
        <w:t xml:space="preserve">Section 9.06 </w:t>
      </w:r>
      <w:r>
        <w:rPr>
          <w:rFonts w:ascii="Times New Roman" w:cs="Times New Roman" w:eastAsia="Times New Roman" w:hAnsi="Times New Roman"/>
          <w:sz w:val="19"/>
          <w:szCs w:val="19"/>
          <w:u w:val="single" w:color="auto"/>
          <w:color w:val="000000"/>
        </w:rPr>
        <w:t>Binding Effect</w:t>
      </w:r>
      <w:r>
        <w:rPr>
          <w:rFonts w:ascii="Times New Roman" w:cs="Times New Roman" w:eastAsia="Times New Roman" w:hAnsi="Times New Roman"/>
          <w:sz w:val="19"/>
          <w:szCs w:val="19"/>
          <w:color w:val="000000"/>
        </w:rPr>
        <w:t>. This Agreement shall become effective when it shall have been executed by the Parent,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Borrower, each Subsidiary Guarantor named on the signature pages hereto and the Administrative Agent shall have been notified by each Initial Lender that such Initial Lender has executed it and thereafter shall be binding upon and inure to the benefit of the Parent, the Borrower, the Subsidiary Guarantors named on the signature pages hereto and the Administrative Agent and each Lender and their respective successors and assigns, except that neither the Borrower nor any other Loan Party shall have the right to assign its rights hereunder or any interest herein without the prior written consent of the Lenders.</w:t>
      </w:r>
    </w:p>
    <w:p>
      <w:pPr>
        <w:spacing w:after="0" w:line="190"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9.07</w:t>
      </w:r>
      <w:r>
        <w:rPr>
          <w:sz w:val="20"/>
          <w:szCs w:val="20"/>
          <w:color w:val="auto"/>
        </w:rPr>
        <w:tab/>
      </w:r>
      <w:r>
        <w:rPr>
          <w:rFonts w:ascii="Times New Roman" w:cs="Times New Roman" w:eastAsia="Times New Roman" w:hAnsi="Times New Roman"/>
          <w:sz w:val="18"/>
          <w:szCs w:val="18"/>
          <w:u w:val="single" w:color="auto"/>
          <w:color w:val="auto"/>
        </w:rPr>
        <w:t>Assignments and Participations; Replacement Notes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1505"/>
        <w:spacing w:after="0" w:line="239" w:lineRule="auto"/>
        <w:tabs>
          <w:tab w:leader="none" w:pos="1875"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may (and, if demanded by the Borrower in accordance with Section 2.19 or Section 9.01(b) will) assign to one or more Eligible Assignees all or a portion of its rights and obligations under this Agreement (including, without limitation, all or a portion of its Commitment or Commitments, the Advances owing to it and any Note or Notes held by 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 except in the case of an assignment to a Person that, immediately prior to such assignment, was a Lender, an Affiliate of any Lender or a Fund Affiliate of any Lender or an assignment of all of a Lender’s rights and obligations under this Agreement, the aggregate amount of the Commitments being assigned to such Eligible Assignee pursuant to such assignment (determined as of the date of the Assignment and Acceptance with respect to such assignment) shall in no event be less than $5,000,000 or an integral multiple of $1,000,000 in excess thereof (or such lesser amount as shall be approved by the Administrative Agent and, so long as no Default shall have occurred and be continuing at the time of effectiveness of such assignment, the Borrower), (ii) each such assignment shall be to an Eligible Assignee, (iii) each such assignment made as a result of a demand by the Borrower pursuant to Section 2.19 or Section 9.01(b) shall be an assignment at par of all rights and obligations of the assigning Lender under this Agreement,</w:t>
      </w:r>
    </w:p>
    <w:p>
      <w:pPr>
        <w:spacing w:after="0" w:line="4" w:lineRule="exact"/>
        <w:rPr>
          <w:rFonts w:ascii="Times New Roman" w:cs="Times New Roman" w:eastAsia="Times New Roman" w:hAnsi="Times New Roman"/>
          <w:sz w:val="19"/>
          <w:szCs w:val="19"/>
          <w:color w:val="auto"/>
        </w:rPr>
      </w:pPr>
    </w:p>
    <w:p>
      <w:pPr>
        <w:jc w:val="both"/>
        <w:ind w:firstLine="8"/>
        <w:spacing w:after="0" w:line="238" w:lineRule="auto"/>
        <w:tabs>
          <w:tab w:leader="none" w:pos="346"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such assignments shall be permitted (A) until the Administrative Agent shall have notified the Lenders that syndication of the Facility hereunder has been completed, without the consent of the Administrative Agent, and (B) at any other time without the consent of the Administrative Agent and, so long as no Default or Event of Default shall have occurred and be continuing, the Borrower (which consent, in each case, shall not be unreasonably withheld, conditioned or delayed, and in the case of the Borrower, such approval shall be deemed given if not denied in writing within ten (10) Business Days following a request therefor), except if such assignment is being made by a Lender to an Affiliate or Fund Affiliate of such Lender, (v) no such</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106" w:name="page107"/>
    <w:bookmarkEnd w:id="106"/>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assignments shall be made to any Defaulting Lender or Potential Defaulting Lender or any of their respective Subsidiaries, or any Person who, upon becoming a Lender hereunder, would constitute any of the foregoing Persons described in this clause, and (vi) except to the extent contemplated by Sections 2.19 and 9.01(b), the parties to each such assignment shall execute and deliver to the Administrative Agent, for its acceptance and recording in the Register, an Assignment and Acceptance, together with any Note or Notes subject to such assignment and, except if such assignment is being made by a Lender to an Affiliate or Fund Affiliate of such Lender, a processing and recordation fee of $3,500;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(x) the Administrative Agent may, in its sole discretion, elect to waive such processing and recordation fee in the case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assignment, and (y) for each such assignment made as a result of a demand by the Borrower pursuant to Section 2.19 or Section 9.01(b), the Borrower shall pay to the Administrative Agent the applicable processing and recordation fee. In connection with any assignment of rights and obligations of any Defaulting Lender hereunder, no such assignment will be effective unless and until, in addition to the other conditions thereto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Advances previously requested but not funded by the Defaulting Lender, to each of which the applicable assignee and assignor hereby irrevocably consent), to</w:t>
      </w:r>
    </w:p>
    <w:p>
      <w:pPr>
        <w:spacing w:after="0" w:line="3" w:lineRule="exact"/>
        <w:rPr>
          <w:sz w:val="20"/>
          <w:szCs w:val="20"/>
          <w:color w:val="auto"/>
        </w:rPr>
      </w:pPr>
    </w:p>
    <w:p>
      <w:pPr>
        <w:jc w:val="both"/>
        <w:ind w:firstLine="8"/>
        <w:spacing w:after="0" w:line="239" w:lineRule="auto"/>
        <w:tabs>
          <w:tab w:leader="none" w:pos="269"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pay and satisfy in full all payment liabilities then owed by such Defaulting Lender to the Administrative Agent and each other Lender hereunder (and interest accrued thereon), and (y) acquire (and fund as appropriate) its full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share of all Advances in accordance with its Pro Rata Share. Notwithstanding the foregoing, in the event that any assignment of rights and obligations of any Defaulting Lender hereunder becomes effective under applicable law without compliance with the provisions of this Section 9.07(a), then the assignee of such interest will be deemed to be a Defaulting Lender for all purposes of this Agreement until such compliance occurs.</w:t>
      </w:r>
    </w:p>
    <w:p>
      <w:pPr>
        <w:spacing w:after="0" w:line="188" w:lineRule="exact"/>
        <w:rPr>
          <w:rFonts w:ascii="Times New Roman" w:cs="Times New Roman" w:eastAsia="Times New Roman" w:hAnsi="Times New Roman"/>
          <w:sz w:val="19"/>
          <w:szCs w:val="19"/>
          <w:color w:val="auto"/>
        </w:rPr>
      </w:pPr>
    </w:p>
    <w:p>
      <w:pPr>
        <w:jc w:val="both"/>
        <w:ind w:firstLine="1505"/>
        <w:spacing w:after="0" w:line="242" w:lineRule="auto"/>
        <w:tabs>
          <w:tab w:leader="none" w:pos="1875"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such execution, delivery, acceptance and recording, from and after the effective date specified in such Assignment and Acceptance, (i) the assignee thereunder shall be a party hereto and, to the extent that rights and obligations hereunder have been assigned to it pursuant to such Assignment and Acceptance, have the rights and obligations of a Lender hereunder and (ii) the Lender assignor thereunder shall, to the extent that rights and obligations hereunder have been assigned by it pursuant to such Assignment and Acceptance, relinquish its rights (other than its rights under Sections 2.10, 2.12, 7.06, 8.05 and 9.04 to the extent any claim thereunder relates to an event arising prior to such assignment) and be released from its obligations under this Agreement (and, in the case of an Assignment and Acceptance covering all of the remaining portion of an assigning Lender’s rights and obligations under this Agreement or such Lender shall cease to be a party hereto).</w:t>
      </w:r>
    </w:p>
    <w:p>
      <w:pPr>
        <w:spacing w:after="0" w:line="185" w:lineRule="exact"/>
        <w:rPr>
          <w:rFonts w:ascii="Times New Roman" w:cs="Times New Roman" w:eastAsia="Times New Roman" w:hAnsi="Times New Roman"/>
          <w:sz w:val="19"/>
          <w:szCs w:val="19"/>
          <w:color w:val="auto"/>
        </w:rPr>
      </w:pPr>
    </w:p>
    <w:p>
      <w:pPr>
        <w:jc w:val="both"/>
        <w:ind w:firstLine="1505"/>
        <w:spacing w:after="0" w:line="239" w:lineRule="auto"/>
        <w:tabs>
          <w:tab w:leader="none" w:pos="1875"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executing and delivering an Assignment and Acceptance, each Lender assignor thereunder and each assignee thereunder confirm to and agree with each other and the other parties thereto and hereto as follows: (i) other than as provided in such Assignment and Acceptance, such assigning Lender makes no representation or warranty and assumes no responsibility with respect to any statements, warranties or representations made in or in connection with any Loan Document or the execution, legality, validity, enforceability, genuineness, sufficiency or value of, or the perfection or priority of any lien or security interest created or purported to be created under or in connection with, any Loan Document or any other instrument or document furnished pursuant thereto; (ii) such assigning Lender makes no representation or warranty and assumes no responsibility with respect to the financial condition of any Borrower Party or the performance or observance by any Borrower Party of any of its obligations under any Loan Document or any other instrument or document furnished pursuant thereto; (iii) such assignee confirms that it has received a copy of this Agreement, together with copies of the financial statements referred to in Section 4.01 and such other documents and information as it has deemed appropriate to make its own credit analysis and decision to enter into such Assignment and Acceptance; (iv) such assignee will, independently and without reliance upon the Administrative Agent, such assigning Lender or any other Lender and based on such documents and information as it shall deem appropriate at the time, continue to make its own credit decisions in taking or not taking action under this Agreement; (v) such assignee confirms that it is an Eligible Assignee; (vi) such assignee appoints and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7" w:name="page108"/>
    <w:bookmarkEnd w:id="107"/>
    <w:p>
      <w:pPr>
        <w:jc w:val="both"/>
        <w:spacing w:after="0" w:line="246" w:lineRule="auto"/>
        <w:rPr>
          <w:sz w:val="20"/>
          <w:szCs w:val="20"/>
          <w:color w:val="auto"/>
        </w:rPr>
      </w:pPr>
      <w:r>
        <w:rPr>
          <w:rFonts w:ascii="Times New Roman" w:cs="Times New Roman" w:eastAsia="Times New Roman" w:hAnsi="Times New Roman"/>
          <w:sz w:val="19"/>
          <w:szCs w:val="19"/>
          <w:color w:val="auto"/>
        </w:rPr>
        <w:t>authorizes the Administrative Agent to take such action as agent on its behalf and to exercise such powers and discretion under the Loan Documents as are delegated to the Administrative Agent by the terms hereof and thereof, together with such powers and discretion as are reasonably incidental thereto; and (vii) such assignee agrees that it will perform in accordance with their terms all of the obligations that by the terms of this Agreement are required to be performed by it as a Lender.</w:t>
      </w:r>
    </w:p>
    <w:p>
      <w:pPr>
        <w:spacing w:after="0" w:line="184" w:lineRule="exact"/>
        <w:rPr>
          <w:sz w:val="20"/>
          <w:szCs w:val="20"/>
          <w:color w:val="auto"/>
        </w:rPr>
      </w:pPr>
    </w:p>
    <w:p>
      <w:pPr>
        <w:jc w:val="both"/>
        <w:ind w:firstLine="1505"/>
        <w:spacing w:after="0" w:line="242" w:lineRule="auto"/>
        <w:tabs>
          <w:tab w:leader="none" w:pos="1875"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maintain at its address referred to in Section 9.02 a copy of each Assignment and Acceptance delivered to and accepted by it and a register for the recordation of the names and addresses of the Lenders and the Commitment of, and principal amount (and stated interest) of the Advances owing to, each Lender from time to time (the “</w:t>
      </w:r>
      <w:r>
        <w:rPr>
          <w:rFonts w:ascii="Times New Roman" w:cs="Times New Roman" w:eastAsia="Times New Roman" w:hAnsi="Times New Roman"/>
          <w:sz w:val="19"/>
          <w:szCs w:val="19"/>
          <w:b w:val="1"/>
          <w:bCs w:val="1"/>
          <w:i w:val="1"/>
          <w:iCs w:val="1"/>
          <w:color w:val="auto"/>
        </w:rPr>
        <w:t>Register</w:t>
      </w:r>
      <w:r>
        <w:rPr>
          <w:rFonts w:ascii="Times New Roman" w:cs="Times New Roman" w:eastAsia="Times New Roman" w:hAnsi="Times New Roman"/>
          <w:sz w:val="19"/>
          <w:szCs w:val="19"/>
          <w:color w:val="auto"/>
        </w:rPr>
        <w:t>”). The entries in the Register shall be conclusive and binding for all purposes, absent manifest error, and the Borrower, the Administrative Agent and the Lenders shall treat each Person whose name is recorded in the Register as a Lender hereunder for all purposes of this Agreement. The Register shall be available for inspection by the Borrower or the Administrative Agent or any Lender at any reasonable time and from time to time upon reasonable prior notice.</w:t>
      </w:r>
    </w:p>
    <w:p>
      <w:pPr>
        <w:spacing w:after="0" w:line="190" w:lineRule="exact"/>
        <w:rPr>
          <w:rFonts w:ascii="Times New Roman" w:cs="Times New Roman" w:eastAsia="Times New Roman" w:hAnsi="Times New Roman"/>
          <w:sz w:val="19"/>
          <w:szCs w:val="19"/>
          <w:color w:val="auto"/>
        </w:rPr>
      </w:pPr>
    </w:p>
    <w:p>
      <w:pPr>
        <w:jc w:val="both"/>
        <w:ind w:firstLine="1505"/>
        <w:spacing w:after="0"/>
        <w:tabs>
          <w:tab w:leader="none" w:pos="1875"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its receipt of an Assignment and Acceptance executed by an assigning Lender and an assignee, together with any Note or Notes subject to such assignment, the Administrative Agent shall, if such Assignment and Acceptance has been completed and is in substantially the form of Exhibit D hereto, (i) accept such Assignment and Acceptance, (ii) record the information contained therein in the Register and (iii) give prompt notice thereof to the Borrower and each other Agent. In the case of any assignment by a Lender, within five Business Days after its receipt of such notice, the Borrower, at its own expense, shall, if requested by the applicable Lender, execute and deliver to the Administrative Agent in exchange for the surrendered Note or Notes a substitute Note to the order of such Eligible Assignee in an amount equal to the portion of the Advances purchased by it and any unfunded Commitment assumed by it pursuant to such Assignment and Acceptance and, if any assigning Lender has retained any portion of the Advances or any unfunded Commitment hereunder, a substitute Note to the order of such assigning Lender in an amount equal to the portion of the Advances and such unfunded Commitment retained by it hereunder. Such substitute Note or Notes, if any, shall be in an aggregate principal amount equal to the aggregate principal amount of such surrendered Note or Notes, shall be dated the effective date of such Assignment and Acceptance and shall otherwise be in substantially the form of Exhibit A hereto.</w:t>
      </w:r>
    </w:p>
    <w:p>
      <w:pPr>
        <w:spacing w:after="0" w:line="188" w:lineRule="exact"/>
        <w:rPr>
          <w:rFonts w:ascii="Times New Roman" w:cs="Times New Roman" w:eastAsia="Times New Roman" w:hAnsi="Times New Roman"/>
          <w:sz w:val="19"/>
          <w:szCs w:val="19"/>
          <w:color w:val="auto"/>
        </w:rPr>
      </w:pPr>
    </w:p>
    <w:p>
      <w:pPr>
        <w:ind w:left="1880" w:hanging="375"/>
        <w:spacing w:after="0"/>
        <w:tabs>
          <w:tab w:leader="none" w:pos="1880"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[Intentionally Omitted].</w:t>
      </w:r>
    </w:p>
    <w:p>
      <w:pPr>
        <w:spacing w:after="0" w:line="213" w:lineRule="exact"/>
        <w:rPr>
          <w:rFonts w:ascii="Times New Roman" w:cs="Times New Roman" w:eastAsia="Times New Roman" w:hAnsi="Times New Roman"/>
          <w:sz w:val="19"/>
          <w:szCs w:val="19"/>
          <w:color w:val="auto"/>
        </w:rPr>
      </w:pPr>
    </w:p>
    <w:p>
      <w:pPr>
        <w:jc w:val="both"/>
        <w:ind w:firstLine="1505"/>
        <w:spacing w:after="0" w:line="239" w:lineRule="auto"/>
        <w:tabs>
          <w:tab w:leader="none" w:pos="1875"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may sell participations to one or more Persons (other than any Defaulting Lender, natural person (or holding company, investment vehicle or trust for, or owned and operated for the primary benefit of, a natural person), Loan Party or any Affiliate of any Loan Party) (each such Person, a “</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xml:space="preserve">”) in or to all or a portion of its rights and obligations under this Agreement (including, without limitation, all or a portion of its Commitments, the Advances owing to it and the Note or Notes (if any) held by 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 such Lender’s obligations under this Agreement (including, without limitation, its Commitments) shall remain unchanged, (ii) such Lender shall remain solely responsible to the other parties hereto for the performance of such obligations, (iii) such Lender shall remain the holder of any such Note for all purposes of this Agreement, (iv) the Borrower, the Administrative Agent and the other Lenders shall continue to deal solely and directly with such Lender in connection with such Lender’s rights and obligations under this Agreement, (v) no Participant under any such participation shall have any right to approve any amendment or waiver of any provision of any Loan Document, or any consent to any departure by any Loan Party therefrom, except that any agreement with respect to such participation may provide that such Participant may have a consent right regarding whether the applicable Lender will approve of an amendment, waiver or consent to the extent such amendment, waiver or consent would reduce the principal of, or interest on, the Notes or any fees or other amounts payable hereunder, in each case to the extent subject to such participation, or postpone any date fixed for any payment of principal of, or interest on, the Notes or any fees or other amounts payable hereunder, in each case to the extent subject to such participation and (vi) a Participant shall be entitled to the benefits of Sections 2.10, 2.12 and 9.04(c) (subject to the requirements and limitations therein, including the requirements under Sections 2.12(f) and 2.12(g) (it being understood that the documentation required under Sections 2.12(f)</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8" w:name="page109"/>
    <w:bookmarkEnd w:id="108"/>
    <w:p>
      <w:pPr>
        <w:jc w:val="both"/>
        <w:spacing w:after="0" w:line="220" w:lineRule="exact"/>
        <w:rPr>
          <w:sz w:val="20"/>
          <w:szCs w:val="20"/>
          <w:color w:val="auto"/>
        </w:rPr>
      </w:pPr>
      <w:r>
        <w:rPr>
          <w:rFonts w:ascii="Times New Roman" w:cs="Times New Roman" w:eastAsia="Times New Roman" w:hAnsi="Times New Roman"/>
          <w:sz w:val="19"/>
          <w:szCs w:val="19"/>
          <w:color w:val="auto"/>
        </w:rPr>
        <w:t xml:space="preserve">and 2.12(g) shall be delivered to the participating Lender)) to the same extent as if it were a Lender and had acquired its interest by assignment pursuant to Section 9.07(a);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such Participant shall not be entitled to receive any greater payment under Section 2.10, 2.12, or 9.04(c) with respect to any participation than its participating Lender would have been entitled to receive, except, in the case of Sections 2.10 and 2.12 only, to the extent such entitlement to receive a greater payment results from a change in law or increased cost, as applicable, that occurs after the Participant acquired the applicable participation. Each Lender that sells a participation shall, acting solely for this purpose as a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fiduciary agent of the Borrower, maintain a register on which it enters the name and address of each Participant and the principal amounts (and stated interest) of each Participant’s interest in the Advances or any other Obligations under the Loan Documents (the “</w:t>
      </w:r>
      <w:r>
        <w:rPr>
          <w:rFonts w:ascii="Times New Roman" w:cs="Times New Roman" w:eastAsia="Times New Roman" w:hAnsi="Times New Roman"/>
          <w:sz w:val="19"/>
          <w:szCs w:val="19"/>
          <w:b w:val="1"/>
          <w:bCs w:val="1"/>
          <w:i w:val="1"/>
          <w:iCs w:val="1"/>
          <w:color w:val="auto"/>
        </w:rPr>
        <w:t>Participant Register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no Lender shall have any obligation to disclose all or any portion of such Participant Register (including the identity of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Participant or any information relating to any Participant’s interest in any such Commitment, Advances or any other Obligations, under any Loan Document) to any Person except to the extent that such disclosure is necessary to establish that such Commitment, Advance or other Obligation is in registered form under Section 5f.103</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6" w:lineRule="exact"/>
        <w:rPr>
          <w:sz w:val="20"/>
          <w:szCs w:val="20"/>
          <w:color w:val="auto"/>
        </w:rPr>
      </w:pPr>
    </w:p>
    <w:p>
      <w:pPr>
        <w:jc w:val="both"/>
        <w:ind w:firstLine="1505"/>
        <w:spacing w:after="0" w:line="244" w:lineRule="auto"/>
        <w:tabs>
          <w:tab w:leader="none" w:pos="1875"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Lender may, in connection with any assignment or participation or proposed assignment or participation pursuant to this Section 9.07, disclose to the assignee or Participant or proposed assignee or Participant any information relating to the Borrower Parties (or any of them) furnished to such Lender by or on behalf of any Loan Party;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prior to any such disclosure, the assignee or Participant or proposed assignee or Participant shall agree to preserve the confidentiality of any Information received by it from such Lender on the same terms as provided in Section 9.13.</w:t>
      </w:r>
    </w:p>
    <w:p>
      <w:pPr>
        <w:spacing w:after="0" w:line="185" w:lineRule="exact"/>
        <w:rPr>
          <w:rFonts w:ascii="Times New Roman" w:cs="Times New Roman" w:eastAsia="Times New Roman" w:hAnsi="Times New Roman"/>
          <w:sz w:val="19"/>
          <w:szCs w:val="19"/>
          <w:color w:val="auto"/>
        </w:rPr>
      </w:pPr>
    </w:p>
    <w:p>
      <w:pPr>
        <w:jc w:val="both"/>
        <w:ind w:firstLine="1505"/>
        <w:spacing w:after="0" w:line="244" w:lineRule="auto"/>
        <w:tabs>
          <w:tab w:leader="none" w:pos="1875"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 set forth in this Agreement, any Lender may at any time pledge or assign, or grant a security interest in all or any portion of its rights under this Agreement (including, without limitation, any pledge or assignment of, or grant of a security interest in, the Advances owing to such Lender and any Note or Notes held by it), including in favor of any Federal Reserve Bank in accordance with Regulation A of the Board of Governors of the Federal Reserve System or any other central bank in accordance with applicable local laws or regulations.</w:t>
      </w:r>
    </w:p>
    <w:p>
      <w:pPr>
        <w:spacing w:after="0" w:line="185" w:lineRule="exact"/>
        <w:rPr>
          <w:rFonts w:ascii="Times New Roman" w:cs="Times New Roman" w:eastAsia="Times New Roman" w:hAnsi="Times New Roman"/>
          <w:sz w:val="19"/>
          <w:szCs w:val="19"/>
          <w:color w:val="auto"/>
        </w:rPr>
      </w:pPr>
    </w:p>
    <w:p>
      <w:pPr>
        <w:jc w:val="both"/>
        <w:ind w:firstLine="1505"/>
        <w:spacing w:after="0" w:line="244" w:lineRule="auto"/>
        <w:tabs>
          <w:tab w:leader="none" w:pos="1875"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notice to the Borrower from the Administrative Agent or any Lender of the loss, theft, destruction or mutilation of any Lender’s Note, the Borrower will execute and deliver, in lieu of such original Note, a replacement promissory note, identical in form and substance to, and dated as of the same date as, the Note so lost, stolen or mutilated, subject to delivery by such Lender to the Borrower of an affidavit of lost note and indemnity in form reasonably acceptable to the Borrower. Upon the execution and delivery of the replacement Note, all references herein or in any of the other Loan Documents to the lost, stolen or mutilated Note shall be deemed references to the replacement Note.</w:t>
      </w:r>
    </w:p>
    <w:p>
      <w:pPr>
        <w:spacing w:after="0" w:line="185"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9"/>
          <w:szCs w:val="19"/>
          <w:color w:val="010000"/>
        </w:rPr>
        <w:t xml:space="preserve">Section 9.08 </w:t>
      </w:r>
      <w:r>
        <w:rPr>
          <w:rFonts w:ascii="Times New Roman" w:cs="Times New Roman" w:eastAsia="Times New Roman" w:hAnsi="Times New Roman"/>
          <w:sz w:val="19"/>
          <w:szCs w:val="19"/>
          <w:u w:val="single" w:color="auto"/>
          <w:color w:val="000000"/>
        </w:rPr>
        <w:t>Execution in Counterparts</w:t>
      </w:r>
      <w:r>
        <w:rPr>
          <w:rFonts w:ascii="Times New Roman" w:cs="Times New Roman" w:eastAsia="Times New Roman" w:hAnsi="Times New Roman"/>
          <w:sz w:val="19"/>
          <w:szCs w:val="19"/>
          <w:color w:val="000000"/>
        </w:rPr>
        <w:t>. This Agreement may be executed in any number of counterparts and by different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parties hereto in separate counterparts, each of which when so executed shall be deemed to be an original and all of which taken together shall constitute one and the same agreement. Delivery of an executed counterpart of a signature page to this Agreement by telecopier or by e-mail with a pdf or similar attachment shall be effective as delivery of an original executed counterpart of this Agreement. Copies of originals, including copies delivered by facsimile, .pdf, or other electronic means, shall have the same import and effect as original counterparts and shall be valid, enforceable and binding for the purposes of this Agreement. The words “execution,” “signed,” “signature,” and words of like import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9" w:name="page110"/>
    <w:bookmarkEnd w:id="109"/>
    <w:p>
      <w:pPr>
        <w:jc w:val="both"/>
        <w:spacing w:after="0"/>
        <w:rPr>
          <w:sz w:val="20"/>
          <w:szCs w:val="20"/>
          <w:color w:val="auto"/>
        </w:rPr>
      </w:pPr>
      <w:r>
        <w:rPr>
          <w:rFonts w:ascii="Times New Roman" w:cs="Times New Roman" w:eastAsia="Times New Roman" w:hAnsi="Times New Roman"/>
          <w:sz w:val="19"/>
          <w:szCs w:val="19"/>
          <w:color w:val="auto"/>
        </w:rPr>
        <w:t>similar state laws based on the Uniform Electronic Transactions Act. Notwithstanding anything contained herein to the contrary, the Administrative Agent is under no obligation to accept an electronic signature in any form or in any format unless expressly agreed to by the Administrative Agent pursuant to procedures approved by it. Without limitation of the foregoing, (a) to the extent the Administrative Agent has agreed to accept such electronic signature, the Administrative Agent and each of the Lenders shall be entitled to rely on any such electronic signature purportedly given by or on behalf of any Loan Party or any other party hereto without further verification and regardless of the appearance or form of such electronic signature and (b) upon the request of the Administrative Agent or any Lender, any electronic signature shall be promptly followed by a manually executed counterpart. Each Loan Party hereby waives (i) any argument, defense or right to contest the legal effect, validity or enforceability of this Agreement and/or any other Loan Document based solely on the lack of paper original copies of this Agreement and/or such other Loan Document and (ii) any claim against the Administrative Agent, each Lender for any liabilities arising solely from such Person’s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89"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9"/>
          <w:szCs w:val="19"/>
          <w:color w:val="010000"/>
        </w:rPr>
        <w:t xml:space="preserve">Section 9.09 </w:t>
      </w:r>
      <w:r>
        <w:rPr>
          <w:rFonts w:ascii="Times New Roman" w:cs="Times New Roman" w:eastAsia="Times New Roman" w:hAnsi="Times New Roman"/>
          <w:sz w:val="19"/>
          <w:szCs w:val="19"/>
          <w:u w:val="single" w:color="auto"/>
          <w:color w:val="000000"/>
        </w:rPr>
        <w:t>Severability</w:t>
      </w:r>
      <w:r>
        <w:rPr>
          <w:rFonts w:ascii="Times New Roman" w:cs="Times New Roman" w:eastAsia="Times New Roman" w:hAnsi="Times New Roman"/>
          <w:sz w:val="19"/>
          <w:szCs w:val="19"/>
          <w:color w:val="000000"/>
        </w:rPr>
        <w:t>. In case one or more provisions of this Agreement or the other Loan Documents shall be invalid,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illegal or unenforceable in any respect under any applicable law, the validity, legality and enforceability of the remaining provisions contained herein or therein shall not be affected or impaired thereby.</w:t>
      </w:r>
    </w:p>
    <w:p>
      <w:pPr>
        <w:spacing w:after="0" w:line="179"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010000"/>
        </w:rPr>
        <w:t xml:space="preserve">Section 9.10 </w:t>
      </w:r>
      <w:r>
        <w:rPr>
          <w:rFonts w:ascii="Times New Roman" w:cs="Times New Roman" w:eastAsia="Times New Roman" w:hAnsi="Times New Roman"/>
          <w:sz w:val="19"/>
          <w:szCs w:val="19"/>
          <w:u w:val="single" w:color="auto"/>
          <w:color w:val="000000"/>
        </w:rPr>
        <w:t>Survival of Representations</w:t>
      </w:r>
      <w:r>
        <w:rPr>
          <w:rFonts w:ascii="Times New Roman" w:cs="Times New Roman" w:eastAsia="Times New Roman" w:hAnsi="Times New Roman"/>
          <w:sz w:val="19"/>
          <w:szCs w:val="19"/>
          <w:color w:val="000000"/>
        </w:rPr>
        <w:t>. All representations and warranties contained in this Agreement and in any other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Loan Document or made in writing by or on behalf of any Loan Party in connection herewith or therewith shall survive the execution and delivery of this Agreement and the Loan Documents, the making of the Advances and any investigation made by or on behalf of the any Lender, none of which investigations shall diminish any Lender’s right to rely on such representations and warranties.</w:t>
      </w:r>
    </w:p>
    <w:p>
      <w:pPr>
        <w:spacing w:after="0" w:line="184"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18"/>
          <w:szCs w:val="18"/>
          <w:color w:val="010000"/>
        </w:rPr>
        <w:t xml:space="preserve">Section 9.11 </w:t>
      </w:r>
      <w:r>
        <w:rPr>
          <w:rFonts w:ascii="Times New Roman" w:cs="Times New Roman" w:eastAsia="Times New Roman" w:hAnsi="Times New Roman"/>
          <w:sz w:val="18"/>
          <w:szCs w:val="18"/>
          <w:u w:val="single" w:color="auto"/>
          <w:color w:val="000000"/>
        </w:rPr>
        <w:t>Usury Not Intended</w:t>
      </w:r>
      <w:r>
        <w:rPr>
          <w:rFonts w:ascii="Times New Roman" w:cs="Times New Roman" w:eastAsia="Times New Roman" w:hAnsi="Times New Roman"/>
          <w:sz w:val="18"/>
          <w:szCs w:val="18"/>
          <w:color w:val="000000"/>
        </w:rPr>
        <w:t>. It is the intent of the Borrower and each Lender in the execution and performance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and the other Loan Documents to contract in strict compliance with applicable usury laws, including conflicts of law concepts, governing the Advances of each Lender including such applicable laws of the State of New York and the United States of America from time to time in effect. In furtherance thereof, the Lenders and the Borrower stipulate and agree that none of the terms and provisions contained in this Agreement or the other Loan Documents shall ever be construed to create a contract to pay, as consideration for the use forbearance or detention of money, interest at a rate in excess of the Maximum Rate and that for purposes hereof “interest” shall include the aggregate of all charges which constitute interest under such laws that are contracted for, taken, charged, received, reserved or paid under this Agreement; and in the event that, notwithstanding the foregoing, under any circumstances the aggregate amounts contracted for, taken, charged, received, reserved or paid on the Advances, include amounts which, by applicable law, are deemed interest which would exceed the Maximum Rate, then such excess shall be deemed to be a mistake and, each Lender receiving the same shall credit the same on the principal of the Obligations of the Borrower under the Loan Documents (or if such Obligations shall have been paid in full, refund said excess to the Borrower). In the event that the Obligations of the Borrower under the Loan Documents are accelerated by reason of any Event of Default under this Agreement or otherwise, or in the event of any required or permitted prepayment, then such consideration that constitutes interest may never include more than the Maximum Rate and excess interest, if any, provided for in this Agreement or otherwise shall be canceled automatically as of the date of such acceleration or prepayment and, if theretofore paid, shall be credited on the principal of the Obligations of the Borrower under the Loan Documents (or, if such Obligations shall have been paid in full, refunded to the Borrower). In determining whether or not the interest paid or payable under any specific contingencies exceeds the Maximum Rate, the Borrower and the Lenders shall to the maximum extent permitted under applicable law amortize, prorate, allocate and spread in equal parts during the period of the full stated term of the Facility all amounts considered to be interest under applicable law at any time contracted for, taken, charged, received, reserved or paid in connection with the Obligations of the Loan Parties under the Loan Documents.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0" w:name="page111"/>
    <w:bookmarkEnd w:id="110"/>
    <w:p>
      <w:pPr>
        <w:spacing w:after="0" w:line="265" w:lineRule="auto"/>
        <w:rPr>
          <w:sz w:val="20"/>
          <w:szCs w:val="20"/>
          <w:color w:val="auto"/>
        </w:rPr>
      </w:pPr>
      <w:r>
        <w:rPr>
          <w:rFonts w:ascii="Times New Roman" w:cs="Times New Roman" w:eastAsia="Times New Roman" w:hAnsi="Times New Roman"/>
          <w:sz w:val="19"/>
          <w:szCs w:val="19"/>
          <w:color w:val="auto"/>
        </w:rPr>
        <w:t>provisions of this Section shall control over all other provisions of this Agreement or the other Loan Documents which may be in apparent conflict herewith.</w:t>
      </w:r>
    </w:p>
    <w:p>
      <w:pPr>
        <w:spacing w:after="0" w:line="166"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9.12</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9.13</w:t>
      </w:r>
      <w:r>
        <w:rPr>
          <w:sz w:val="20"/>
          <w:szCs w:val="20"/>
          <w:color w:val="auto"/>
        </w:rPr>
        <w:tab/>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both"/>
        <w:ind w:firstLine="1505"/>
        <w:spacing w:after="0" w:line="222" w:lineRule="exact"/>
        <w:tabs>
          <w:tab w:leader="none" w:pos="1875" w:val="left"/>
        </w:tabs>
        <w:numPr>
          <w:ilvl w:val="1"/>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Administrative Agent and the Lenders agrees to maintain the confidentiality of the Information (as defined below), except that Information may be disclosed (i) to its Affiliates and to its and its Affiliates’ Related Parties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such Person or any such Related Party (including any self</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regulatory authority, such as the National Association of Insurance Commissioners) or any pledgee in connection with any pledge made pursuant to Section 9.07(i), (iii) to the extent required by applicable laws or regulations or by any subpoena or similar legal process,</w:t>
      </w:r>
    </w:p>
    <w:p>
      <w:pPr>
        <w:spacing w:after="0" w:line="2" w:lineRule="exact"/>
        <w:rPr>
          <w:rFonts w:ascii="Times New Roman" w:cs="Times New Roman" w:eastAsia="Times New Roman" w:hAnsi="Times New Roman"/>
          <w:sz w:val="19"/>
          <w:szCs w:val="19"/>
          <w:color w:val="auto"/>
        </w:rPr>
      </w:pPr>
    </w:p>
    <w:p>
      <w:pPr>
        <w:jc w:val="both"/>
        <w:ind w:firstLine="8"/>
        <w:spacing w:after="0" w:line="217" w:lineRule="exact"/>
        <w:tabs>
          <w:tab w:leader="none" w:pos="333"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at least as restrictive as those of this Section, to (A) any assignee of or Participant in, or any prospective assignee of or Participant in, any of its rights or obligations under this Agreement, or (B) any actual or prospective party (or its Related Parties) to any swap, derivative or other transaction under which payments are to be made by reference to the Borrower and its obligations, this Agreement or payments hereunder, (vii) on a confidential basis to (A) any rating agency in connection with rating the Borrower or its Subsidiaries or the Facility, (B) the CUSIP Service Bureau or any similar agency in connection with the issuance and monitoring of CUSIP numbers with respect to the Facility or (C) external auditors as may be required by a Lender’s policies or policies of any governmental or quasi</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governmental entity affecting a Lender, (viii) with the consent of the Borrower or (ix) to the extent such Information (A) becomes publicly available other than as a result of a breach of this Section 9.13 or (B) becomes available to the Administrative Agent, such Lender or any of their respective Affiliates on a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confidential basis from a source other than the Parent or any of its Subsidiaries without the Administrative Agent, such Lender or any of their respective Affiliates having knowledge that a duty of confidentiality to the Parent or any of its Subsidiaries has been breached. In addition, the Administrative Agent and the Lenders may disclose the existence of this Agreement and information about this Agreement (as and to the extent the same is otherwise publicly available from sources that are not as a result of a breach of this Agreement) to market data collectors, similar service providers to the lending industry and service providers to the Administrative Agent and the Lenders in connection with the administration of this Agreement, the other Loan Documents, and the Commitments. For purposes of this Section, “</w:t>
      </w:r>
      <w:r>
        <w:rPr>
          <w:rFonts w:ascii="Times New Roman" w:cs="Times New Roman" w:eastAsia="Times New Roman" w:hAnsi="Times New Roman"/>
          <w:sz w:val="19"/>
          <w:szCs w:val="19"/>
          <w:b w:val="1"/>
          <w:bCs w:val="1"/>
          <w:i w:val="1"/>
          <w:iCs w:val="1"/>
          <w:color w:val="auto"/>
        </w:rPr>
        <w:t>Information</w:t>
      </w:r>
      <w:r>
        <w:rPr>
          <w:rFonts w:ascii="Times New Roman" w:cs="Times New Roman" w:eastAsia="Times New Roman" w:hAnsi="Times New Roman"/>
          <w:sz w:val="19"/>
          <w:szCs w:val="19"/>
          <w:color w:val="auto"/>
        </w:rPr>
        <w:t>” means all information that any Loan Party furnishes to the Administrative Agent or any Lender in writing designated as confidential, but does not include any such information that is or becomes generally available to the public other than by way of a breach of the confidentiality provisions of this Section 9.13 or that is or becomes available to the Administrative Agent or such Lender from a source other than the Loan Parties or the Administrative Agent or any other Lender and not in violation of any confidentiality agreement with respect to such information that is actually known to the Administrative Agent or such Lender.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7" w:lineRule="exact"/>
        <w:rPr>
          <w:rFonts w:ascii="Times New Roman" w:cs="Times New Roman" w:eastAsia="Times New Roman" w:hAnsi="Times New Roman"/>
          <w:sz w:val="19"/>
          <w:szCs w:val="19"/>
          <w:color w:val="auto"/>
        </w:rPr>
      </w:pPr>
    </w:p>
    <w:p>
      <w:pPr>
        <w:jc w:val="both"/>
        <w:ind w:firstLine="1505"/>
        <w:spacing w:after="0" w:line="225" w:lineRule="exact"/>
        <w:tabs>
          <w:tab w:leader="none" w:pos="1875"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of the Lenders may enter into this Agreement and take or not take action hereunder or under the other Loan Documents on the basis of information that does not contain material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public information with respect to any of the Parent, any or its Subsidiaries or their respective securities (“</w:t>
      </w:r>
      <w:r>
        <w:rPr>
          <w:rFonts w:ascii="Times New Roman" w:cs="Times New Roman" w:eastAsia="Times New Roman" w:hAnsi="Times New Roman"/>
          <w:sz w:val="19"/>
          <w:szCs w:val="19"/>
          <w:b w:val="1"/>
          <w:bCs w:val="1"/>
          <w:i w:val="1"/>
          <w:iCs w:val="1"/>
          <w:color w:val="auto"/>
        </w:rPr>
        <w:t>Restricting Information</w:t>
      </w:r>
      <w:r>
        <w:rPr>
          <w:rFonts w:ascii="Times New Roman" w:cs="Times New Roman" w:eastAsia="Times New Roman" w:hAnsi="Times New Roman"/>
          <w:sz w:val="19"/>
          <w:szCs w:val="19"/>
          <w:color w:val="auto"/>
        </w:rPr>
        <w:t>”). Other Lenders may enter into this Agreement and take or not take action hereunder or under the other Loan Documents on the basis of information that may contain Restricting Information. Each Lender acknowledges that United States federal and state securities laws prohibit any person from purchasing or selling securities on the basis of material,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public information concerning the issuer of such securities or,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1" w:name="page112"/>
    <w:bookmarkEnd w:id="111"/>
    <w:p>
      <w:pPr>
        <w:jc w:val="both"/>
        <w:spacing w:after="0" w:line="239" w:lineRule="auto"/>
        <w:rPr>
          <w:sz w:val="20"/>
          <w:szCs w:val="20"/>
          <w:color w:val="auto"/>
        </w:rPr>
      </w:pPr>
      <w:r>
        <w:rPr>
          <w:rFonts w:ascii="Times New Roman" w:cs="Times New Roman" w:eastAsia="Times New Roman" w:hAnsi="Times New Roman"/>
          <w:sz w:val="19"/>
          <w:szCs w:val="19"/>
          <w:color w:val="auto"/>
        </w:rPr>
        <w:t>subject to certain limited exceptions, from communicating such information to any other Person. None of the Administrative Agent or any of its directors, officers, agents or employees shall, by making any Communications (including Restricting Information) available to a Lender, by participating in any conversations or other interactions with a Lender or otherwise, make or be deemed to make any statement with regard to or otherwise warrant that any such information or Communication does or does not contain Restricting Information nor shall the Administrative Agent or any of its directors, officers, agents or employees be responsible or liable in any way for any decision a Lender may make to limit or to not limit its access to Restricting Information. In particular, none of the Administrative Agent or any of its directors, officers, agents or employees (i) shall have, and the Administrative Agent, on behalf of itself and each of its directors, officers, agents and employees, hereby disclaims, any duty to ascertain or inquire as to whether or not a Lender has or has not limited its access to Restricting Information, such Lender’s policies or procedures regarding the safeguarding of material, nonpublic information or such Lender’s compliance with applicable laws related thereto or (ii) shall have, or incur, any liability to any Loan Party, any Lender or any of their respective Affiliates, directors, officers, agents or employees arising out of or relating to the Administrative Agent or any of its directors, officers, agents or employees providing or not providing Restricting Information to any Lender, other than as found by a court of competent jurisdiction to have resulted from the gross negligence or willful misconduct of the Administrative Agent or any of its directors, officers, agents or employees.</w:t>
      </w:r>
    </w:p>
    <w:p>
      <w:pPr>
        <w:spacing w:after="0" w:line="196" w:lineRule="exact"/>
        <w:rPr>
          <w:sz w:val="20"/>
          <w:szCs w:val="20"/>
          <w:color w:val="auto"/>
        </w:rPr>
      </w:pPr>
    </w:p>
    <w:p>
      <w:pPr>
        <w:jc w:val="both"/>
        <w:ind w:firstLine="1505"/>
        <w:spacing w:after="0" w:line="218" w:lineRule="exact"/>
        <w:tabs>
          <w:tab w:leader="none" w:pos="1875"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Loan Party agrees that (i) all Communications it provides to the Administrative Agent intended for delivery to the Lenders whether by posting to the Approved Electronic Platform or otherwise shall be clearly and conspicuously marked “PUBLIC” if such Communications are determined by the Loan Parties in good faith not to contain Restricting Information which, at a minimum, shall mean that the word “PUBLIC” shall appear prominently on the first page thereof, (ii) by marking Communications “PUBLIC,” each Loan Party shall be deemed to have authorized the Administrative Agent and the Lenders to treat such Communications as either publicly available information or not material information (although such Communications shall remain subject to the confidentiality undertakings of Section 9.13(a)) with respect to such Loan Party or its securities for purposes of United States Federal and state securities laws, (iii) all Communications marked “PUBLIC” may be delivered to all Lenders and may be made available through a portion of the Approved Electronic Platform designated “Public Side Information” and (iv) the Administrative Agent shall be entitled to treat any Communications that are not marked “PUBLIC” as Restricting Information and may post such Communications to a portion of the Approved Electronic Platform not designated “Public Side Information” (and shall not post such Communications to a portion of the Approved Electronic Platform designated “Public Side Information”). Neither the Administrative Agent nor any of its Affiliates shall be responsible for any statement or other designation by a Loan Party regarding whether a Communication contains or does not contain material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public information with respect to any of the Loan Parties or their securities nor shall the Administrative Agent or any of its Affiliates incur any liability to any Loan Party, any Lender or any other Person for any action taken by the Administrative Agent or any of its Affiliates based upon such statement or designation, including any action as a result of which Restricting Information is provided to a Lender that may decide not to take access to Restricting Information. Nothing in this Section 9.13(c) shall modify or limit a Person’s obligations under Section 9.13 with regard to Communications and the maintenance of the confidentiality of or other treatment of Information.</w:t>
      </w:r>
    </w:p>
    <w:p>
      <w:pPr>
        <w:spacing w:after="0" w:line="202" w:lineRule="exact"/>
        <w:rPr>
          <w:rFonts w:ascii="Times New Roman" w:cs="Times New Roman" w:eastAsia="Times New Roman" w:hAnsi="Times New Roman"/>
          <w:sz w:val="19"/>
          <w:szCs w:val="19"/>
          <w:color w:val="auto"/>
        </w:rPr>
      </w:pPr>
    </w:p>
    <w:p>
      <w:pPr>
        <w:jc w:val="both"/>
        <w:ind w:firstLine="1505"/>
        <w:spacing w:after="0" w:line="224" w:lineRule="exact"/>
        <w:tabs>
          <w:tab w:leader="none" w:pos="1875"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acknowledges that circumstances may arise that require it to refer to Communications that might contain Restricting Information. Accordingly, each Lender agrees that it will nominate at least one designee to receive Communications (including Restricting Information) on its behalf and identify such designee (including such designee’s contact information) in writing to the Administrative Agent. Each Lender agrees to notify the Administrative Agent from time to time of such Lender’s designee’s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mail address to which notice of the availability of Restricting Information may be sent by electronic transmission.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2" w:name="page113"/>
    <w:bookmarkEnd w:id="112"/>
    <w:p>
      <w:pPr>
        <w:jc w:val="both"/>
        <w:ind w:firstLine="1505"/>
        <w:spacing w:after="0"/>
        <w:tabs>
          <w:tab w:leader="none" w:pos="1875"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acknowledges that Communications delivered hereunder and under the other Loan Documents may contain Restricting Information and that such Communications are available to all Lenders generally. Each Lender that elects not to take access to Restricting Information does so voluntarily and, by such election, acknowledges and agrees that the Administrative Agent and other Lenders may have access to Restricting Information that is not available to such electing Lender. Each such electing Lender acknowledges the possibility that, due to its election not to take access to Restricting Information, it may not have access to any Communications (including, without being limited to, the items required to be made available to the Administrative Agent in Section 5.03 unless or until such Communications (if any) have been filed or incorporated into documents which have been filed with the Securities and Exchange Commission by the Parent). None of the Loan Parties, the Administrative Agent or any Lender with access to Restricting Information shall have any duty to disclose such Restricting Information to such electing Lender or to use such Restricting Information on behalf of such electing Lender, and shall not be liable for the failure to so disclose or use, such Restricting Information.</w:t>
      </w:r>
    </w:p>
    <w:p>
      <w:pPr>
        <w:spacing w:after="0" w:line="191" w:lineRule="exact"/>
        <w:rPr>
          <w:rFonts w:ascii="Times New Roman" w:cs="Times New Roman" w:eastAsia="Times New Roman" w:hAnsi="Times New Roman"/>
          <w:sz w:val="19"/>
          <w:szCs w:val="19"/>
          <w:color w:val="auto"/>
        </w:rPr>
      </w:pPr>
    </w:p>
    <w:p>
      <w:pPr>
        <w:jc w:val="both"/>
        <w:ind w:firstLine="1505"/>
        <w:spacing w:after="0"/>
        <w:tabs>
          <w:tab w:leader="none" w:pos="1875"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Sections 9.13(b), (c), (d) and (e) are designed to assist the Administrative Agent, the Lenders and the Loan Parties, in complying with their respective contractual obligations and applicable law in circumstances where certain Lenders express a desire not to receive Restricting Information notwithstanding that certain Communications hereunder or under the other Loan Documents or other information provided to the Lenders hereunder or thereunder may contain Restricting Information. None of the Administrative Agent or any of its directors, officers, agents or employees warrants or makes any other statement with respect to the adequacy of such provisions to achieve such purpose nor does the Administrative Agent or any of its directors, officers, agents or employees warrant or make any other statement to the effect that a Loan Party’s or Lender’s adherence to such provisions will be sufficient to ensure compliance by such Loan Party or Lender with its contractual obligations or its duties under applicable law in respect of Restricting Information and each of the Lenders and each Loan Party assumes the risks associated therewith.</w:t>
      </w:r>
    </w:p>
    <w:p>
      <w:pPr>
        <w:spacing w:after="0" w:line="193" w:lineRule="exact"/>
        <w:rPr>
          <w:rFonts w:ascii="Times New Roman" w:cs="Times New Roman" w:eastAsia="Times New Roman" w:hAnsi="Times New Roman"/>
          <w:sz w:val="19"/>
          <w:szCs w:val="19"/>
          <w:color w:val="auto"/>
        </w:rPr>
      </w:pPr>
    </w:p>
    <w:p>
      <w:pPr>
        <w:jc w:val="both"/>
        <w:ind w:firstLine="1505"/>
        <w:spacing w:after="0" w:line="242" w:lineRule="auto"/>
        <w:tabs>
          <w:tab w:leader="none" w:pos="1875"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 in this Agreement or any other document, the parties hereby agree that (i) each party (and each employee, representative, or other agent of each party) may disclose to any and all persons and entities, without limitation of any kind, the United States tax treatment and United States tax structure of the transaction and all materials of any kind (including opinions or other tax analyses) that are provided to each party relating to such United States tax treatment and United States tax structure, and (ii) nothing herein prohibits or impedes any individual from communicating or disclosing Information regarding suspected violations of laws, rules, or regulations to a Governmental Authority or self-regulatory authority without any notification to any Person.</w:t>
      </w:r>
    </w:p>
    <w:p>
      <w:pPr>
        <w:spacing w:after="0" w:line="190"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9.14</w:t>
      </w:r>
      <w:r>
        <w:rPr>
          <w:sz w:val="20"/>
          <w:szCs w:val="20"/>
          <w:color w:val="auto"/>
        </w:rPr>
        <w:tab/>
      </w:r>
      <w:r>
        <w:rPr>
          <w:rFonts w:ascii="Times New Roman" w:cs="Times New Roman" w:eastAsia="Times New Roman" w:hAnsi="Times New Roman"/>
          <w:sz w:val="18"/>
          <w:szCs w:val="18"/>
          <w:u w:val="single" w:color="auto"/>
          <w:color w:val="auto"/>
        </w:rPr>
        <w:t>Release of Guarantors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1505"/>
        <w:spacing w:after="0" w:line="248" w:lineRule="auto"/>
        <w:tabs>
          <w:tab w:leader="none" w:pos="1875" w:val="left"/>
        </w:tabs>
        <w:numPr>
          <w:ilvl w:val="1"/>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five (5) Business Days following the written request by the Parent, the Administrative Agent, on behalf of the Lenders, shall release all Subsidiary Guarantors from their respective obligations under this Agreement and each other Loan Document so long as:</w:t>
      </w:r>
    </w:p>
    <w:p>
      <w:pPr>
        <w:jc w:val="both"/>
        <w:ind w:firstLine="8"/>
        <w:spacing w:after="0" w:line="238" w:lineRule="auto"/>
        <w:tabs>
          <w:tab w:leader="none" w:pos="239"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there is no monetary Event of Default existing under this Agreement at the time of such request and no Default or Event of Default will exist immediately following such release; (ii) the Borrower or the Parent shall have received and have in effect at such time an Investment Grade Rating; and (iii) a Responsible Officer of the Parent shall have delivered to the Administrative Agent a certificate in form and substance reasonably satisfactory to the Administrative Agent stating that each Subsidiary Guarantor is either being released from its obligations under any Senior Financing Transaction or has not then provided (and is not then required by the terms of such Senior Financing Transaction to provide) a guaranty with respect to any Senior Financing Transaction to which any Loan Party is a party or to which it is simultaneously (or substantially simultaneously) entering into;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in the event the Parent is not able to make such statement with respect to any specific Subsidiary Guarantor, such Subsidiary Guarantor shall not be released from its obligations under this Agreement and each other Loan Document until the Parent makes such statement with respect to such Subsidiary Guarantor, but all other Subsidiary Guarantors shall be released as provided herein (collectively, clauses (i), (ii) and (iii) shall be considered a “</w:t>
      </w:r>
      <w:r>
        <w:rPr>
          <w:rFonts w:ascii="Times New Roman" w:cs="Times New Roman" w:eastAsia="Times New Roman" w:hAnsi="Times New Roman"/>
          <w:sz w:val="19"/>
          <w:szCs w:val="19"/>
          <w:b w:val="1"/>
          <w:bCs w:val="1"/>
          <w:i w:val="1"/>
          <w:iCs w:val="1"/>
          <w:color w:val="auto"/>
        </w:rPr>
        <w:t>Release Event</w:t>
      </w:r>
      <w:r>
        <w:rPr>
          <w:rFonts w:ascii="Times New Roman" w:cs="Times New Roman" w:eastAsia="Times New Roman" w:hAnsi="Times New Roman"/>
          <w:sz w:val="19"/>
          <w:szCs w:val="19"/>
          <w:color w:val="auto"/>
        </w:rPr>
        <w:t>”). In addition, following a Release Event, a Subsidiary of the Parent shall not be required to become a Guarantor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3" w:name="page114"/>
    <w:bookmarkEnd w:id="113"/>
    <w:p>
      <w:pPr>
        <w:ind w:right="20"/>
        <w:spacing w:after="0" w:line="265" w:lineRule="auto"/>
        <w:rPr>
          <w:sz w:val="20"/>
          <w:szCs w:val="20"/>
          <w:color w:val="auto"/>
        </w:rPr>
      </w:pPr>
      <w:r>
        <w:rPr>
          <w:rFonts w:ascii="Times New Roman" w:cs="Times New Roman" w:eastAsia="Times New Roman" w:hAnsi="Times New Roman"/>
          <w:sz w:val="19"/>
          <w:szCs w:val="19"/>
          <w:color w:val="auto"/>
        </w:rPr>
        <w:t>hereunder unless and until such Subsidiary thereafter becomes a guarantor or borrower in respect of a Senior Financing Transaction, in which case such Subsidiary shall become a Guarantor in accordance with Section 5.01(j)(v).</w:t>
      </w:r>
    </w:p>
    <w:p>
      <w:pPr>
        <w:spacing w:after="0" w:line="166" w:lineRule="exact"/>
        <w:rPr>
          <w:sz w:val="20"/>
          <w:szCs w:val="20"/>
          <w:color w:val="auto"/>
        </w:rPr>
      </w:pPr>
    </w:p>
    <w:p>
      <w:pPr>
        <w:jc w:val="both"/>
        <w:ind w:firstLine="1505"/>
        <w:spacing w:after="0" w:line="239" w:lineRule="auto"/>
        <w:tabs>
          <w:tab w:leader="none" w:pos="1875" w:val="left"/>
        </w:tabs>
        <w:numPr>
          <w:ilvl w:val="1"/>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the foregoing, at any time prior to the date on which the Borrower or the Parent shall have received and then have in effect an Investment Grade Rating, within five (5) Business Days after the written request of the Parent (each, an “</w:t>
      </w:r>
      <w:r>
        <w:rPr>
          <w:rFonts w:ascii="Times New Roman" w:cs="Times New Roman" w:eastAsia="Times New Roman" w:hAnsi="Times New Roman"/>
          <w:sz w:val="19"/>
          <w:szCs w:val="19"/>
          <w:b w:val="1"/>
          <w:bCs w:val="1"/>
          <w:i w:val="1"/>
          <w:iCs w:val="1"/>
          <w:color w:val="auto"/>
        </w:rPr>
        <w:t>Early Release Request</w:t>
      </w:r>
      <w:r>
        <w:rPr>
          <w:rFonts w:ascii="Times New Roman" w:cs="Times New Roman" w:eastAsia="Times New Roman" w:hAnsi="Times New Roman"/>
          <w:sz w:val="19"/>
          <w:szCs w:val="19"/>
          <w:color w:val="auto"/>
        </w:rPr>
        <w:t xml:space="preserve">”), including but not limited to, in connection with the sale or financing of any applicable Unencumbered Asset then being designated as a non-Unencumbered Asset as permitted hereunder or the designation or redesignation of a Restricted Subsidiary as an Unrestricted Subsidiary as permitted hereunder, the Administrative Agent, on behalf of the Lenders, shall release the Subsidiary Guarantors designated in such request from their respective obligations under this Agreement and each other Loan Document so long as: (i) there is no monetary Event of Default existing under this Agreement at the time of such request and no Default or Event of Default will exist immediately following such release; (ii) immediately following such release the Borrower and the Parent shall be in compliance with the covenants in Section 5.04,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immediately after giving effect to such release; and (iii) the Parent shall have delivered to the Administrative Agent (A) a certificate confirming compliance with</w:t>
      </w:r>
    </w:p>
    <w:p>
      <w:pPr>
        <w:spacing w:after="0" w:line="5" w:lineRule="exact"/>
        <w:rPr>
          <w:rFonts w:ascii="Times New Roman" w:cs="Times New Roman" w:eastAsia="Times New Roman" w:hAnsi="Times New Roman"/>
          <w:sz w:val="19"/>
          <w:szCs w:val="19"/>
          <w:color w:val="auto"/>
        </w:rPr>
      </w:pPr>
    </w:p>
    <w:p>
      <w:pPr>
        <w:ind w:firstLine="8"/>
        <w:spacing w:after="0" w:line="243" w:lineRule="auto"/>
        <w:tabs>
          <w:tab w:leader="none" w:pos="252"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(ii) above and (B) an updated Schedule II listing each Unencumbered Asset as of the date such Subsidiary Guarantor is removed as a Guarantor hereunder.</w:t>
      </w:r>
    </w:p>
    <w:p>
      <w:pPr>
        <w:spacing w:after="0" w:line="185" w:lineRule="exact"/>
        <w:rPr>
          <w:rFonts w:ascii="Times New Roman" w:cs="Times New Roman" w:eastAsia="Times New Roman" w:hAnsi="Times New Roman"/>
          <w:sz w:val="19"/>
          <w:szCs w:val="19"/>
          <w:color w:val="auto"/>
        </w:rPr>
      </w:pPr>
    </w:p>
    <w:p>
      <w:pPr>
        <w:jc w:val="both"/>
        <w:ind w:firstLine="1505"/>
        <w:spacing w:after="0" w:line="239" w:lineRule="auto"/>
        <w:tabs>
          <w:tab w:leader="none" w:pos="1875"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written request of the Parent, the Administrative Agent, on behalf of the Lenders, shall be authorized to (i) release the Parent from its payment obligations with respect to the Guaranty or (ii) cap the amount of such obligations in a manner satisfactory to the Administrative Agent (any of the actions described in clauses (i) and (ii), a “</w:t>
      </w:r>
      <w:r>
        <w:rPr>
          <w:rFonts w:ascii="Times New Roman" w:cs="Times New Roman" w:eastAsia="Times New Roman" w:hAnsi="Times New Roman"/>
          <w:sz w:val="19"/>
          <w:szCs w:val="19"/>
          <w:b w:val="1"/>
          <w:bCs w:val="1"/>
          <w:i w:val="1"/>
          <w:iCs w:val="1"/>
          <w:color w:val="auto"/>
        </w:rPr>
        <w:t>Subject Action</w:t>
      </w:r>
      <w:r>
        <w:rPr>
          <w:rFonts w:ascii="Times New Roman" w:cs="Times New Roman" w:eastAsia="Times New Roman" w:hAnsi="Times New Roman"/>
          <w:sz w:val="19"/>
          <w:szCs w:val="19"/>
          <w:color w:val="auto"/>
        </w:rPr>
        <w:t xml:space="preserve">”), so long as (A)(1) in the case of a release, the Parent is either then being released from its Obligations as an obligor under each Senior Financing Transaction or is not then an obligor (and is not then required by the terms of any Senior Financing Transaction to become an obligor) with respect to any Senior Financing Transaction or (2) in the case of a liability cap, the Obligations of the Parent under each Senior Financing Transaction are subject to a parallel liability cap satisfactory to the Administrative Agent, (B) there is no monetary Event of Default existing under this Agreement at the time of such request and no Default or Event of Default will exist immediately following such Subject Action; (C) immediately following such Subject Action the Borrower and the Parent shall be in compliance with the covenants in Section 5.04,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immediately after giving effect to such Subject Action; (D) the Parent shall have delivered to the Administrative Agent a certificate confirming compliance with clauses (B) and (C) above and (E) during the period commencing on the date on which any Subject Action occurs and ending the date (if any) on which the Parent is reinstated as a Guarantor or the liability cap is lifted, as applicable, in accordance with Section 9.14(d) below (such period being the “</w:t>
      </w:r>
      <w:r>
        <w:rPr>
          <w:rFonts w:ascii="Times New Roman" w:cs="Times New Roman" w:eastAsia="Times New Roman" w:hAnsi="Times New Roman"/>
          <w:sz w:val="19"/>
          <w:szCs w:val="19"/>
          <w:b w:val="1"/>
          <w:bCs w:val="1"/>
          <w:i w:val="1"/>
          <w:iCs w:val="1"/>
          <w:color w:val="auto"/>
        </w:rPr>
        <w:t>Subject Period</w:t>
      </w:r>
      <w:r>
        <w:rPr>
          <w:rFonts w:ascii="Times New Roman" w:cs="Times New Roman" w:eastAsia="Times New Roman" w:hAnsi="Times New Roman"/>
          <w:sz w:val="19"/>
          <w:szCs w:val="19"/>
          <w:color w:val="auto"/>
        </w:rPr>
        <w:t>”), the provisions of Section 9.14(e) below shall apply. For the avoidance of doubt, (i) no Subject Action shall release the Parent from any of its Obligations other than its payment Obligations as a Guarantor (and it is the intent of the parties that the Parent shall continue to be bound by all other covenants, representations and other provisions hereof applicable to it notwithstanding the occurrence of any such Subject Action) and only, in the case of a liability cap, to the extent of such cap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such covenants, representations and other provisions shall be deemed to be revised,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to the extent necessary to reflect that the Parent is a Loan Party but not a Guarantor) and (ii) the covenants in Section 5.04 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continue to be calculated based on the Consolidated Group.</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4" w:name="page115"/>
    <w:bookmarkEnd w:id="114"/>
    <w:p>
      <w:pPr>
        <w:jc w:val="both"/>
        <w:ind w:firstLine="1505"/>
        <w:spacing w:after="0" w:line="257" w:lineRule="auto"/>
        <w:tabs>
          <w:tab w:leader="none" w:pos="187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if at any time following a Subject Action (w) the Parent becomes an obligor in respect of a Senior Financing Transaction, (x) the Parent is no longer subject to a parallel liability cap under any Senior Financing Transaction, (y) the Internal Revenue Service issues guidance clarifying that parent guaranties do not preclude the allocation of related debt in satisfaction of “negative basis” issues or (z) the Parent breaches any provision of Section 9.14(e) below, then, as applicable, the Parent shall be reinstated as a Guarantor hereunder or the liability cap on the Parent’s payment obligations under the Guaranty shall be lifted so that the Obligations of the Parent under the Loan Documents shall be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Obligations of the Parent under each Senior Financing Transaction, and the Parent shall execute and deliver such confirmations and ratifications of the Guaranty as the Administrative Agent shall request within five (5) Business Days after such request.</w:t>
      </w:r>
    </w:p>
    <w:p>
      <w:pPr>
        <w:spacing w:after="0" w:line="176" w:lineRule="exact"/>
        <w:rPr>
          <w:rFonts w:ascii="Times New Roman" w:cs="Times New Roman" w:eastAsia="Times New Roman" w:hAnsi="Times New Roman"/>
          <w:sz w:val="18"/>
          <w:szCs w:val="18"/>
          <w:color w:val="auto"/>
        </w:rPr>
      </w:pPr>
    </w:p>
    <w:p>
      <w:pPr>
        <w:jc w:val="both"/>
        <w:ind w:firstLine="1505"/>
        <w:spacing w:after="0" w:line="242" w:lineRule="auto"/>
        <w:tabs>
          <w:tab w:leader="none" w:pos="1875"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limiting the provisions of Section 5.02(n), at all times during the Subject Period, (i) the Parent shall not directly hold cash in excess of a </w:t>
      </w:r>
      <w:r>
        <w:rPr>
          <w:rFonts w:ascii="Times New Roman" w:cs="Times New Roman" w:eastAsia="Times New Roman" w:hAnsi="Times New Roman"/>
          <w:sz w:val="19"/>
          <w:szCs w:val="19"/>
          <w:i w:val="1"/>
          <w:iCs w:val="1"/>
          <w:color w:val="auto"/>
        </w:rPr>
        <w:t>de minimis</w:t>
      </w:r>
      <w:r>
        <w:rPr>
          <w:rFonts w:ascii="Times New Roman" w:cs="Times New Roman" w:eastAsia="Times New Roman" w:hAnsi="Times New Roman"/>
          <w:sz w:val="19"/>
          <w:szCs w:val="19"/>
          <w:color w:val="auto"/>
        </w:rPr>
        <w:t xml:space="preserve"> amount, other than on a temporary or pass-through basis held for not more than one Business Day in accordance with Sections 5.02(n)(iii)(A) and (B), (ii) the Parent’s direct ownership in the Borrower shall at all times account for at least 95% of Total Asset Value;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Parent may hold assets directly on a temporary or pass-through basis for not more than one Business Day in accordance with Sections 5.02(n)(iii)(A) and (B), and (iii) the Parent shall not incur any direct liabilities in excess of the value of its assets that are not held by the Borrower and its Subsidiaries.</w:t>
      </w:r>
    </w:p>
    <w:p>
      <w:pPr>
        <w:spacing w:after="0" w:line="190"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9"/>
          <w:szCs w:val="19"/>
          <w:color w:val="010000"/>
        </w:rPr>
        <w:t xml:space="preserve">Section 9.15 </w:t>
      </w:r>
      <w:r>
        <w:rPr>
          <w:rFonts w:ascii="Times New Roman" w:cs="Times New Roman" w:eastAsia="Times New Roman" w:hAnsi="Times New Roman"/>
          <w:sz w:val="19"/>
          <w:szCs w:val="19"/>
          <w:u w:val="single" w:color="auto"/>
          <w:color w:val="000000"/>
        </w:rPr>
        <w:t>Patriot Act Notification; Anti-Money Laundering Act; Beneficial Ownership</w:t>
      </w:r>
      <w:r>
        <w:rPr>
          <w:rFonts w:ascii="Times New Roman" w:cs="Times New Roman" w:eastAsia="Times New Roman" w:hAnsi="Times New Roman"/>
          <w:sz w:val="19"/>
          <w:szCs w:val="19"/>
          <w:color w:val="000000"/>
        </w:rPr>
        <w:t>. Each Lender and each Agent (for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itself and not on behalf of any Lender) hereby notifies the Loan Parties that (a) pursuant to the requirements of the Patriot Act and other Anti-Corruption Laws and anti-terrorism laws and regulations, it is required to obtain, verify and record information that identifies each Loan Party, which information includes the name and address of such Loan Party and other information that will allow such Lender or such Agent, as applicable, to identify such Loan Party in accordance with the Patriot Act and such other Anti-Corruption Laws and anti-terrorism laws and regulations and (b) pursuant to the Beneficial Ownership Regulation, it is required, to the extent that Borrower qualifies as a “legal entity customer” under the Beneficial Ownership Regulation, to obtain a Beneficial Ownership Certification in connection with the execution and delivery of this Agreement. The Parent and the Borrower shall, and shall cause each of their Subsidiaries to, provide, to the extent commercially reasonable, such information and take such actions as are reasonably requested by any Agent or any Lender to assist such Agent or Lender in maintaining compliance with the Patriot Act and other Anti-Corruption Laws and anti-terrorism laws and regulations including Sanctions and the Trading with the Enemy Act.</w:t>
      </w:r>
    </w:p>
    <w:p>
      <w:pPr>
        <w:spacing w:after="0" w:line="189" w:lineRule="exact"/>
        <w:rPr>
          <w:sz w:val="20"/>
          <w:szCs w:val="20"/>
          <w:color w:val="auto"/>
        </w:rPr>
      </w:pPr>
    </w:p>
    <w:p>
      <w:pPr>
        <w:ind w:left="1500"/>
        <w:spacing w:after="0"/>
        <w:tabs>
          <w:tab w:leader="none" w:pos="2620" w:val="left"/>
        </w:tabs>
        <w:rPr>
          <w:sz w:val="20"/>
          <w:szCs w:val="20"/>
          <w:color w:val="auto"/>
        </w:rPr>
      </w:pPr>
      <w:r>
        <w:rPr>
          <w:rFonts w:ascii="Times New Roman" w:cs="Times New Roman" w:eastAsia="Times New Roman" w:hAnsi="Times New Roman"/>
          <w:sz w:val="19"/>
          <w:szCs w:val="19"/>
          <w:color w:val="010000"/>
        </w:rPr>
        <w:t>Section 9.16</w:t>
      </w:r>
      <w:r>
        <w:rPr>
          <w:sz w:val="20"/>
          <w:szCs w:val="20"/>
          <w:color w:val="auto"/>
        </w:rPr>
        <w:tab/>
      </w:r>
      <w:r>
        <w:rPr>
          <w:rFonts w:ascii="Times New Roman" w:cs="Times New Roman" w:eastAsia="Times New Roman" w:hAnsi="Times New Roman"/>
          <w:sz w:val="18"/>
          <w:szCs w:val="18"/>
          <w:u w:val="single" w:color="auto"/>
          <w:color w:val="auto"/>
        </w:rPr>
        <w:t>Jurisdiction, Etc</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1505"/>
        <w:spacing w:after="0"/>
        <w:tabs>
          <w:tab w:leader="none" w:pos="1875"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parties hereto hereby irrevocably and unconditionally agrees that it will not commence any action, litigation or other proceeding of any kind or description, whether in law or equity, whether in contract or in tort or otherwise, arising out of or relating to this Agreement or any of the other Loan Documents to which it is a party, against any other party 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each of parties hereto hereby irrevocably and unconditionally agrees that all claims in respect of any such action, litigation or proceeding may be heard and determined in any such New York State court or, to the extent permitted or required by law, in such Federal court. Each of the Loan Parties agrees that a final judgment in any such action or proceeding shall be conclusive and may be enforced in other jurisdictions by suit on the judgment or in any other manner provided by law.</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5" w:name="page116"/>
    <w:bookmarkEnd w:id="115"/>
    <w:p>
      <w:pPr>
        <w:jc w:val="both"/>
        <w:ind w:firstLine="1505"/>
        <w:spacing w:after="0" w:line="244" w:lineRule="auto"/>
        <w:tabs>
          <w:tab w:leader="none" w:pos="1875"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parties hereto irrevocably and unconditionally waives, to the fullest extent it may legally and effectively do so, any objection that it may now or hereafter have to the laying of venue of any litigation, action or proceeding arising out of or relating to this Agreement or any of the other Loan Documents to which it is a party in any New York State or Federal court sitting in the City, County and State of New York. Each of the parties hereto hereby irrevocably waives, to the fullest extent permitted by law, the defense of an inconvenient forum to the maintenance of such action or proceeding in any such court.</w:t>
      </w:r>
    </w:p>
    <w:p>
      <w:pPr>
        <w:spacing w:after="0" w:line="185"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9"/>
          <w:szCs w:val="19"/>
          <w:color w:val="010000"/>
        </w:rPr>
        <w:t xml:space="preserve">Section 9.17 </w:t>
      </w:r>
      <w:r>
        <w:rPr>
          <w:rFonts w:ascii="Times New Roman" w:cs="Times New Roman" w:eastAsia="Times New Roman" w:hAnsi="Times New Roman"/>
          <w:sz w:val="19"/>
          <w:szCs w:val="19"/>
          <w:u w:val="single" w:color="auto"/>
          <w:color w:val="000000"/>
        </w:rPr>
        <w:t>Governing Law</w:t>
      </w:r>
      <w:r>
        <w:rPr>
          <w:rFonts w:ascii="Times New Roman" w:cs="Times New Roman" w:eastAsia="Times New Roman" w:hAnsi="Times New Roman"/>
          <w:sz w:val="19"/>
          <w:szCs w:val="19"/>
          <w:color w:val="000000"/>
        </w:rPr>
        <w:t>. This Agreement and the other Loan Documents, including but not limited to the validity,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interpretation, construction, breach, enforcement or termination hereof or thereof, shall be governed by, and construed in accordance with, the laws of the State of New York.</w:t>
      </w:r>
    </w:p>
    <w:p>
      <w:pPr>
        <w:spacing w:after="0" w:line="179"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19"/>
          <w:szCs w:val="19"/>
          <w:color w:val="010000"/>
        </w:rPr>
        <w:t xml:space="preserve">Section 9.18 </w:t>
      </w:r>
      <w:r>
        <w:rPr>
          <w:rFonts w:ascii="Times New Roman" w:cs="Times New Roman" w:eastAsia="Times New Roman" w:hAnsi="Times New Roman"/>
          <w:sz w:val="19"/>
          <w:szCs w:val="19"/>
          <w:u w:val="single" w:color="auto"/>
          <w:color w:val="000000"/>
        </w:rPr>
        <w:t>WAIVER OF JURY TRIAL</w:t>
      </w:r>
      <w:r>
        <w:rPr>
          <w:rFonts w:ascii="Times New Roman" w:cs="Times New Roman" w:eastAsia="Times New Roman" w:hAnsi="Times New Roman"/>
          <w:sz w:val="19"/>
          <w:szCs w:val="19"/>
          <w:color w:val="000000"/>
        </w:rPr>
        <w:t>. EACH OF THE BORROWER, THE OTHER LOAN PARTIES,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ADMINISTRATIVE AGENT AND THE LENDERS IRREVOCABLY WAIVES ALL RIGHT TO TRIAL BY JURY IN ANY ACTION, PROCEEDING OR COUNTERCLAIM (WHETHER BASED ON CONTRACT, TORT OR OTHERWISE) ARISING OUT OF OR RELATING TO ANY OF THE LOAN DOCUMENTS, THE ADVANCES OR THE ACTIONS OF THE ADMINISTRATIVE AGENT OR ANY LENDER IN THE NEGOTIATION, ADMINISTRATION, PERFORMANCE OR ENFORCEMENT THEREOF.</w:t>
      </w:r>
    </w:p>
    <w:p>
      <w:pPr>
        <w:spacing w:after="0" w:line="185" w:lineRule="exact"/>
        <w:rPr>
          <w:sz w:val="20"/>
          <w:szCs w:val="20"/>
          <w:color w:val="auto"/>
        </w:rPr>
      </w:pPr>
    </w:p>
    <w:p>
      <w:pPr>
        <w:jc w:val="both"/>
        <w:ind w:firstLine="1497"/>
        <w:spacing w:after="0" w:line="218" w:lineRule="exact"/>
        <w:rPr>
          <w:sz w:val="20"/>
          <w:szCs w:val="20"/>
          <w:color w:val="auto"/>
        </w:rPr>
      </w:pPr>
      <w:r>
        <w:rPr>
          <w:rFonts w:ascii="Times New Roman" w:cs="Times New Roman" w:eastAsia="Times New Roman" w:hAnsi="Times New Roman"/>
          <w:sz w:val="19"/>
          <w:szCs w:val="19"/>
          <w:color w:val="010000"/>
        </w:rPr>
        <w:t xml:space="preserve">Section 9.19 </w:t>
      </w:r>
      <w:r>
        <w:rPr>
          <w:rFonts w:ascii="Times New Roman" w:cs="Times New Roman" w:eastAsia="Times New Roman" w:hAnsi="Times New Roman"/>
          <w:sz w:val="19"/>
          <w:szCs w:val="19"/>
          <w:u w:val="single" w:color="auto"/>
          <w:color w:val="000000"/>
        </w:rPr>
        <w:t>No Fiduciary Duties</w:t>
      </w:r>
      <w:r>
        <w:rPr>
          <w:rFonts w:ascii="Times New Roman" w:cs="Times New Roman" w:eastAsia="Times New Roman" w:hAnsi="Times New Roman"/>
          <w:sz w:val="19"/>
          <w:szCs w:val="19"/>
          <w:color w:val="000000"/>
        </w:rPr>
        <w:t>. Each Loan Party agrees that nothing in the Loan Documents or otherwise will be deemed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to create an advisory, fiduciary or agency relationship or fiduciary or other implied duty between the Administrative Agent, any Lender or any Affiliate thereof, on the one hand, and such Loan Party, its stockholders or its Affiliates, on the other. The Loan Parties agree that the transactions contemplated by the Loan Documents (including the exercise of rights and remedies hereunder and thereunder) are arm’s</w:t>
      </w:r>
      <w:r>
        <w:rPr>
          <w:rFonts w:ascii="MS PGothic" w:cs="MS PGothic" w:eastAsia="MS PGothic" w:hAnsi="MS PGothic"/>
          <w:sz w:val="19"/>
          <w:szCs w:val="19"/>
          <w:color w:val="000000"/>
        </w:rPr>
        <w:t>‑</w:t>
      </w:r>
      <w:r>
        <w:rPr>
          <w:rFonts w:ascii="Times New Roman" w:cs="Times New Roman" w:eastAsia="Times New Roman" w:hAnsi="Times New Roman"/>
          <w:sz w:val="19"/>
          <w:szCs w:val="19"/>
          <w:color w:val="000000"/>
        </w:rPr>
        <w:t>length commercial transactions. Each Loan Party agrees that it has consulted its own legal and financial advisors to the extent it deemed appropriate and that it is responsible for making its own independent judgment with respect to such transactions and the process leading thereto. Each of the Loan Parties acknowledges that the Administrative Agent, the Lenders and their respective Affiliates may have interests in, or may be providing or may in the future provide financial or other services to other parties with interests which a Loan Party may regard as conflicting with its interests and may possess information (whether or not material to the Loan Parties) other than as a result of (x) the Administrative Agent acting as administrative agent hereunder or (y) the Lenders acting in their respective capacities as such hereunder, that the Administrative Agent or any such Lender may not be entitled to share with any Loan Party. Without prejudice to the foregoing, each of the Loan Parties agrees that the Administrative Agent, the Lenders and their respective Affiliates may (a) deal (whether for its own or its customers’ account) in, or advise on, securities of any Person, and (b) accept deposits from, lend money to, act as trustee under indentures of, accept investment banking engagements from and generally engage in any kind of business with other Persons in each case, as if the Administrative Agent were not the Administrative Agent and as if the Lenders were not Lenders, and without any duty to account therefor to the Loan Parties. Each of the Loan Parties hereby irrevocably waives, in favor of the Administrative Agent, the Lenders and the Arrangers, any conflict of interest which may arise by virtue of the Administrative Agent, the Arrangers and/or the Lenders acting in various capacities under the Loan Documents or for other customers of the Administrative Agent, any Arranger or any Lender as described in this Section 9.19.</w:t>
      </w:r>
    </w:p>
    <w:p>
      <w:pPr>
        <w:spacing w:after="0" w:line="201"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9"/>
          <w:szCs w:val="19"/>
          <w:color w:val="010000"/>
        </w:rPr>
        <w:t xml:space="preserve">Section 9.20 </w:t>
      </w:r>
      <w:r>
        <w:rPr>
          <w:rFonts w:ascii="Times New Roman" w:cs="Times New Roman" w:eastAsia="Times New Roman" w:hAnsi="Times New Roman"/>
          <w:sz w:val="19"/>
          <w:szCs w:val="19"/>
          <w:u w:val="single" w:color="auto"/>
          <w:color w:val="000000"/>
        </w:rPr>
        <w:t>Acknowledgement and Consent to Bail-In of Affected Financial Institutions</w:t>
      </w:r>
      <w:r>
        <w:rPr>
          <w:rFonts w:ascii="Times New Roman" w:cs="Times New Roman" w:eastAsia="Times New Roman" w:hAnsi="Times New Roman"/>
          <w:sz w:val="19"/>
          <w:szCs w:val="19"/>
          <w:color w:val="000000"/>
        </w:rPr>
        <w:t>. Notwithstanding anything to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6" w:name="page117"/>
    <w:bookmarkEnd w:id="116"/>
    <w:p>
      <w:pPr>
        <w:spacing w:after="0" w:line="265" w:lineRule="auto"/>
        <w:rPr>
          <w:sz w:val="20"/>
          <w:szCs w:val="20"/>
          <w:color w:val="auto"/>
        </w:rPr>
      </w:pPr>
      <w:r>
        <w:rPr>
          <w:rFonts w:ascii="Times New Roman" w:cs="Times New Roman" w:eastAsia="Times New Roman" w:hAnsi="Times New Roman"/>
          <w:sz w:val="19"/>
          <w:szCs w:val="19"/>
          <w:color w:val="auto"/>
        </w:rPr>
        <w:t>to the Write-Down and Conversion Powers of the applicable Resolution Authority and agrees and consents to, and acknowledges and agrees to be bound by:</w:t>
      </w:r>
    </w:p>
    <w:p>
      <w:pPr>
        <w:spacing w:after="0" w:line="166" w:lineRule="exact"/>
        <w:rPr>
          <w:sz w:val="20"/>
          <w:szCs w:val="20"/>
          <w:color w:val="auto"/>
        </w:rPr>
      </w:pPr>
    </w:p>
    <w:p>
      <w:pPr>
        <w:ind w:left="760" w:firstLine="745"/>
        <w:spacing w:after="0" w:line="265" w:lineRule="auto"/>
        <w:tabs>
          <w:tab w:leader="none" w:pos="1914" w:val="left"/>
        </w:tabs>
        <w:numPr>
          <w:ilvl w:val="0"/>
          <w:numId w:val="1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application of any Write-Down and Conversion Powers by the applicable EEA Resolution Authority to any such liabilities arising hereunder which may be payable to it by any party hereto that is an Affected Financial Institution; and</w:t>
      </w:r>
    </w:p>
    <w:p>
      <w:pPr>
        <w:spacing w:after="0" w:line="165" w:lineRule="exact"/>
        <w:rPr>
          <w:rFonts w:ascii="Times New Roman" w:cs="Times New Roman" w:eastAsia="Times New Roman" w:hAnsi="Times New Roman"/>
          <w:sz w:val="19"/>
          <w:szCs w:val="19"/>
          <w:color w:val="010000"/>
        </w:rPr>
      </w:pPr>
    </w:p>
    <w:p>
      <w:pPr>
        <w:ind w:left="1880" w:hanging="375"/>
        <w:spacing w:after="0"/>
        <w:tabs>
          <w:tab w:leader="none" w:pos="1880" w:val="left"/>
        </w:tabs>
        <w:numPr>
          <w:ilvl w:val="0"/>
          <w:numId w:val="1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effects of any Bail-In Action on any such liability, including, if applicable:</w:t>
      </w:r>
    </w:p>
    <w:p>
      <w:pPr>
        <w:spacing w:after="0" w:line="213" w:lineRule="exact"/>
        <w:rPr>
          <w:rFonts w:ascii="Times New Roman" w:cs="Times New Roman" w:eastAsia="Times New Roman" w:hAnsi="Times New Roman"/>
          <w:sz w:val="19"/>
          <w:szCs w:val="19"/>
          <w:color w:val="010000"/>
        </w:rPr>
      </w:pPr>
    </w:p>
    <w:p>
      <w:pPr>
        <w:ind w:left="2640" w:hanging="386"/>
        <w:spacing w:after="0"/>
        <w:tabs>
          <w:tab w:leader="none" w:pos="2640" w:val="left"/>
        </w:tabs>
        <w:numPr>
          <w:ilvl w:val="1"/>
          <w:numId w:val="1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reduction in full or in part or cancellation of any such liability;</w:t>
      </w:r>
    </w:p>
    <w:p>
      <w:pPr>
        <w:spacing w:after="0" w:line="213" w:lineRule="exact"/>
        <w:rPr>
          <w:rFonts w:ascii="Times New Roman" w:cs="Times New Roman" w:eastAsia="Times New Roman" w:hAnsi="Times New Roman"/>
          <w:sz w:val="19"/>
          <w:szCs w:val="19"/>
          <w:color w:val="010000"/>
        </w:rPr>
      </w:pPr>
    </w:p>
    <w:p>
      <w:pPr>
        <w:jc w:val="both"/>
        <w:ind w:left="1500" w:firstLine="754"/>
        <w:spacing w:after="0" w:line="246" w:lineRule="auto"/>
        <w:tabs>
          <w:tab w:leader="none" w:pos="2627" w:val="left"/>
        </w:tabs>
        <w:numPr>
          <w:ilvl w:val="1"/>
          <w:numId w:val="1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4" w:lineRule="exact"/>
        <w:rPr>
          <w:rFonts w:ascii="Times New Roman" w:cs="Times New Roman" w:eastAsia="Times New Roman" w:hAnsi="Times New Roman"/>
          <w:sz w:val="19"/>
          <w:szCs w:val="19"/>
          <w:color w:val="010000"/>
        </w:rPr>
      </w:pPr>
    </w:p>
    <w:p>
      <w:pPr>
        <w:ind w:left="1500" w:firstLine="754"/>
        <w:spacing w:after="0" w:line="265" w:lineRule="auto"/>
        <w:tabs>
          <w:tab w:leader="none" w:pos="2640" w:val="left"/>
        </w:tabs>
        <w:numPr>
          <w:ilvl w:val="1"/>
          <w:numId w:val="1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variation of the terms of such liability in connection with the exercise of the Write-Down and Conversion Powers of the applicable Resolution Authority.</w:t>
      </w:r>
    </w:p>
    <w:p>
      <w:pPr>
        <w:spacing w:after="0" w:line="166"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010000"/>
        </w:rPr>
        <w:t xml:space="preserve">Section 9.21 </w:t>
      </w:r>
      <w:r>
        <w:rPr>
          <w:rFonts w:ascii="Times New Roman" w:cs="Times New Roman" w:eastAsia="Times New Roman" w:hAnsi="Times New Roman"/>
          <w:sz w:val="19"/>
          <w:szCs w:val="19"/>
          <w:u w:val="single" w:color="auto"/>
          <w:color w:val="000000"/>
        </w:rPr>
        <w:t>Acknowledgement Regarding Any Supported QFCs</w:t>
      </w:r>
      <w:r>
        <w:rPr>
          <w:rFonts w:ascii="Times New Roman" w:cs="Times New Roman" w:eastAsia="Times New Roman" w:hAnsi="Times New Roman"/>
          <w:sz w:val="19"/>
          <w:szCs w:val="19"/>
          <w:color w:val="000000"/>
        </w:rPr>
        <w:t>. To the extent that the Loan Documents provide support,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through a guarantee or otherwise, for Guaranteed Hedge Agreements or any other agreement or instrument that is a QFC (such support, “</w:t>
      </w:r>
      <w:r>
        <w:rPr>
          <w:rFonts w:ascii="Times New Roman" w:cs="Times New Roman" w:eastAsia="Times New Roman" w:hAnsi="Times New Roman"/>
          <w:sz w:val="19"/>
          <w:szCs w:val="19"/>
          <w:b w:val="1"/>
          <w:bCs w:val="1"/>
          <w:i w:val="1"/>
          <w:iCs w:val="1"/>
          <w:color w:val="000000"/>
        </w:rPr>
        <w:t>QFC</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b w:val="1"/>
          <w:bCs w:val="1"/>
          <w:i w:val="1"/>
          <w:iCs w:val="1"/>
          <w:color w:val="000000"/>
        </w:rPr>
        <w:t>Credit Support</w:t>
      </w:r>
      <w:r>
        <w:rPr>
          <w:rFonts w:ascii="Times New Roman" w:cs="Times New Roman" w:eastAsia="Times New Roman" w:hAnsi="Times New Roman"/>
          <w:sz w:val="19"/>
          <w:szCs w:val="19"/>
          <w:color w:val="000000"/>
        </w:rPr>
        <w:t>” and each such QFC a “</w:t>
      </w:r>
      <w:r>
        <w:rPr>
          <w:rFonts w:ascii="Times New Roman" w:cs="Times New Roman" w:eastAsia="Times New Roman" w:hAnsi="Times New Roman"/>
          <w:sz w:val="19"/>
          <w:szCs w:val="19"/>
          <w:b w:val="1"/>
          <w:bCs w:val="1"/>
          <w:i w:val="1"/>
          <w:iCs w:val="1"/>
          <w:color w:val="000000"/>
        </w:rPr>
        <w:t>Supported QFC</w:t>
      </w:r>
      <w:r>
        <w:rPr>
          <w:rFonts w:ascii="Times New Roman" w:cs="Times New Roman" w:eastAsia="Times New Roman" w:hAnsi="Times New Roman"/>
          <w:sz w:val="19"/>
          <w:szCs w:val="19"/>
          <w:color w:val="000000"/>
        </w:rPr>
        <w:t>”), the parties acknowledge and agree as follows with respect to the resolution power of the</w:t>
      </w:r>
      <w:r>
        <w:rPr>
          <w:rFonts w:ascii="Times New Roman" w:cs="Times New Roman" w:eastAsia="Times New Roman" w:hAnsi="Times New Roman"/>
          <w:sz w:val="19"/>
          <w:szCs w:val="19"/>
          <w:b w:val="1"/>
          <w:bCs w:val="1"/>
          <w:i w:val="1"/>
          <w:iCs w:val="1"/>
          <w:color w:val="000000"/>
        </w:rPr>
        <w:t xml:space="preserve"> </w:t>
      </w:r>
      <w:r>
        <w:rPr>
          <w:rFonts w:ascii="Times New Roman" w:cs="Times New Roman" w:eastAsia="Times New Roman" w:hAnsi="Times New Roman"/>
          <w:sz w:val="19"/>
          <w:szCs w:val="19"/>
          <w:color w:val="000000"/>
        </w:rPr>
        <w:t>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9"/>
          <w:szCs w:val="19"/>
          <w:b w:val="1"/>
          <w:bCs w:val="1"/>
          <w:i w:val="1"/>
          <w:iCs w:val="1"/>
          <w:color w:val="000000"/>
        </w:rPr>
        <w:t>U.S. Special Resolution Regimes</w:t>
      </w:r>
      <w:r>
        <w:rPr>
          <w:rFonts w:ascii="Times New Roman" w:cs="Times New Roman" w:eastAsia="Times New Roman" w:hAnsi="Times New Roman"/>
          <w:sz w:val="19"/>
          <w:szCs w:val="19"/>
          <w:color w:val="00000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0" w:lineRule="exact"/>
        <w:rPr>
          <w:sz w:val="20"/>
          <w:szCs w:val="20"/>
          <w:color w:val="auto"/>
        </w:rPr>
      </w:pPr>
    </w:p>
    <w:p>
      <w:pPr>
        <w:jc w:val="both"/>
        <w:ind w:left="760" w:firstLine="745"/>
        <w:spacing w:after="0"/>
        <w:tabs>
          <w:tab w:leader="none" w:pos="1887" w:val="left"/>
        </w:tabs>
        <w:numPr>
          <w:ilvl w:val="0"/>
          <w:numId w:val="1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the event a Covered Entity that is party to a Supported QFC (each, a “</w:t>
      </w:r>
      <w:r>
        <w:rPr>
          <w:rFonts w:ascii="Times New Roman" w:cs="Times New Roman" w:eastAsia="Times New Roman" w:hAnsi="Times New Roman"/>
          <w:sz w:val="19"/>
          <w:szCs w:val="19"/>
          <w:b w:val="1"/>
          <w:bCs w:val="1"/>
          <w:i w:val="1"/>
          <w:iCs w:val="1"/>
          <w:color w:val="auto"/>
        </w:rPr>
        <w:t>Covered Party</w:t>
      </w:r>
      <w:r>
        <w:rPr>
          <w:rFonts w:ascii="Times New Roman" w:cs="Times New Roman" w:eastAsia="Times New Roman" w:hAnsi="Times New Roman"/>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7" w:name="page118"/>
    <w:bookmarkEnd w:id="117"/>
    <w:p>
      <w:pPr>
        <w:ind w:left="760" w:hanging="375"/>
        <w:spacing w:after="0"/>
        <w:tabs>
          <w:tab w:leader="none" w:pos="760" w:val="left"/>
        </w:tabs>
        <w:numPr>
          <w:ilvl w:val="0"/>
          <w:numId w:val="1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As used in this Section 9.21, the following terms have the following meanings:</w:t>
      </w:r>
    </w:p>
    <w:p>
      <w:pPr>
        <w:spacing w:after="0" w:line="207" w:lineRule="exact"/>
        <w:rPr>
          <w:rFonts w:ascii="Times New Roman" w:cs="Times New Roman" w:eastAsia="Times New Roman" w:hAnsi="Times New Roman"/>
          <w:sz w:val="19"/>
          <w:szCs w:val="19"/>
          <w:color w:val="010000"/>
        </w:rPr>
      </w:pPr>
    </w:p>
    <w:p>
      <w:pPr>
        <w:ind w:left="380" w:firstLine="754"/>
        <w:spacing w:after="0" w:line="272" w:lineRule="auto"/>
        <w:tabs>
          <w:tab w:leader="none" w:pos="1507" w:val="left"/>
        </w:tabs>
        <w:numPr>
          <w:ilvl w:val="1"/>
          <w:numId w:val="1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BHC Act Affiliate</w:t>
      </w:r>
      <w:r>
        <w:rPr>
          <w:rFonts w:ascii="Times New Roman" w:cs="Times New Roman" w:eastAsia="Times New Roman" w:hAnsi="Times New Roman"/>
          <w:sz w:val="19"/>
          <w:szCs w:val="19"/>
          <w:color w:val="auto"/>
        </w:rPr>
        <w:t>” of a party means an “affiliate” (as such term is defined under, and interpreted in accordance with, 12 U.S.C. § 1841(k)) of such party.</w:t>
      </w:r>
    </w:p>
    <w:p>
      <w:pPr>
        <w:spacing w:after="0" w:line="152" w:lineRule="exact"/>
        <w:rPr>
          <w:rFonts w:ascii="Times New Roman" w:cs="Times New Roman" w:eastAsia="Times New Roman" w:hAnsi="Times New Roman"/>
          <w:sz w:val="19"/>
          <w:szCs w:val="19"/>
          <w:color w:val="010000"/>
        </w:rPr>
      </w:pPr>
    </w:p>
    <w:p>
      <w:pPr>
        <w:ind w:left="1520" w:hanging="386"/>
        <w:spacing w:after="0"/>
        <w:tabs>
          <w:tab w:leader="none" w:pos="1520" w:val="left"/>
        </w:tabs>
        <w:numPr>
          <w:ilvl w:val="1"/>
          <w:numId w:val="1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Covered Entity</w:t>
      </w:r>
      <w:r>
        <w:rPr>
          <w:rFonts w:ascii="Times New Roman" w:cs="Times New Roman" w:eastAsia="Times New Roman" w:hAnsi="Times New Roman"/>
          <w:sz w:val="19"/>
          <w:szCs w:val="19"/>
          <w:color w:val="auto"/>
        </w:rPr>
        <w:t>” means any of the following:</w:t>
      </w:r>
    </w:p>
    <w:p>
      <w:pPr>
        <w:spacing w:after="0" w:line="219" w:lineRule="exact"/>
        <w:rPr>
          <w:rFonts w:ascii="Times New Roman" w:cs="Times New Roman" w:eastAsia="Times New Roman" w:hAnsi="Times New Roman"/>
          <w:sz w:val="19"/>
          <w:szCs w:val="19"/>
          <w:color w:val="010000"/>
        </w:rPr>
      </w:pPr>
    </w:p>
    <w:p>
      <w:pPr>
        <w:ind w:left="2260" w:hanging="377"/>
        <w:spacing w:after="0"/>
        <w:tabs>
          <w:tab w:leader="none" w:pos="2260" w:val="left"/>
        </w:tabs>
        <w:numPr>
          <w:ilvl w:val="2"/>
          <w:numId w:val="1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“covered entity” as that term is defined in, and interpreted in accordance with, 12 C.F.R. § 252.82(b);</w:t>
      </w:r>
    </w:p>
    <w:p>
      <w:pPr>
        <w:spacing w:after="0" w:line="213" w:lineRule="exact"/>
        <w:rPr>
          <w:rFonts w:ascii="Times New Roman" w:cs="Times New Roman" w:eastAsia="Times New Roman" w:hAnsi="Times New Roman"/>
          <w:sz w:val="19"/>
          <w:szCs w:val="19"/>
          <w:color w:val="010000"/>
        </w:rPr>
      </w:pPr>
    </w:p>
    <w:p>
      <w:pPr>
        <w:ind w:left="2260" w:hanging="377"/>
        <w:spacing w:after="0"/>
        <w:tabs>
          <w:tab w:leader="none" w:pos="2260" w:val="left"/>
        </w:tabs>
        <w:numPr>
          <w:ilvl w:val="2"/>
          <w:numId w:val="1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“covered bank” as that term is defined in, and interpreted in accordance with, 12 C.F.R. § 47.3(b); or</w:t>
      </w:r>
    </w:p>
    <w:p>
      <w:pPr>
        <w:spacing w:after="0" w:line="213" w:lineRule="exact"/>
        <w:rPr>
          <w:rFonts w:ascii="Times New Roman" w:cs="Times New Roman" w:eastAsia="Times New Roman" w:hAnsi="Times New Roman"/>
          <w:sz w:val="19"/>
          <w:szCs w:val="19"/>
          <w:color w:val="010000"/>
        </w:rPr>
      </w:pPr>
    </w:p>
    <w:p>
      <w:pPr>
        <w:ind w:left="2260" w:hanging="377"/>
        <w:spacing w:after="0"/>
        <w:tabs>
          <w:tab w:leader="none" w:pos="2260" w:val="left"/>
        </w:tabs>
        <w:numPr>
          <w:ilvl w:val="2"/>
          <w:numId w:val="1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“covered FSI” as that term is defined in, and interpreted in accordance with, 12 C.F.R. § 382.2(b).</w:t>
      </w:r>
    </w:p>
    <w:p>
      <w:pPr>
        <w:spacing w:after="0" w:line="207" w:lineRule="exact"/>
        <w:rPr>
          <w:rFonts w:ascii="Times New Roman" w:cs="Times New Roman" w:eastAsia="Times New Roman" w:hAnsi="Times New Roman"/>
          <w:sz w:val="19"/>
          <w:szCs w:val="19"/>
          <w:color w:val="010000"/>
        </w:rPr>
      </w:pPr>
    </w:p>
    <w:p>
      <w:pPr>
        <w:ind w:left="380" w:right="20" w:firstLine="754"/>
        <w:spacing w:after="0" w:line="272" w:lineRule="auto"/>
        <w:tabs>
          <w:tab w:leader="none" w:pos="1507" w:val="left"/>
        </w:tabs>
        <w:numPr>
          <w:ilvl w:val="1"/>
          <w:numId w:val="1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Default Right</w:t>
      </w:r>
      <w:r>
        <w:rPr>
          <w:rFonts w:ascii="Times New Roman" w:cs="Times New Roman" w:eastAsia="Times New Roman" w:hAnsi="Times New Roman"/>
          <w:sz w:val="19"/>
          <w:szCs w:val="19"/>
          <w:color w:val="auto"/>
        </w:rPr>
        <w:t>” has the meaning assigned to that term in, and shall be interpreted in accordance with, 12 C.F.R. §§ 252.81, 47.2 or 382.1, as applicable.</w:t>
      </w:r>
    </w:p>
    <w:p>
      <w:pPr>
        <w:spacing w:after="0" w:line="152" w:lineRule="exact"/>
        <w:rPr>
          <w:rFonts w:ascii="Times New Roman" w:cs="Times New Roman" w:eastAsia="Times New Roman" w:hAnsi="Times New Roman"/>
          <w:sz w:val="19"/>
          <w:szCs w:val="19"/>
          <w:color w:val="010000"/>
        </w:rPr>
      </w:pPr>
    </w:p>
    <w:p>
      <w:pPr>
        <w:ind w:left="380" w:firstLine="754"/>
        <w:spacing w:after="0" w:line="272" w:lineRule="auto"/>
        <w:tabs>
          <w:tab w:leader="none" w:pos="1547" w:val="left"/>
        </w:tabs>
        <w:numPr>
          <w:ilvl w:val="1"/>
          <w:numId w:val="1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 § 5390(c)(8)(D).</w:t>
      </w:r>
    </w:p>
    <w:p>
      <w:pPr>
        <w:spacing w:after="0" w:line="15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9"/>
          <w:szCs w:val="19"/>
          <w:i w:val="1"/>
          <w:iCs w:val="1"/>
          <w:color w:val="auto"/>
        </w:rPr>
        <w:t>[Balance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482600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18" w:name="page119"/>
    <w:bookmarkEnd w:id="118"/>
    <w:p>
      <w:pPr>
        <w:ind w:firstLine="749"/>
        <w:spacing w:after="0" w:line="265" w:lineRule="auto"/>
        <w:rPr>
          <w:sz w:val="20"/>
          <w:szCs w:val="20"/>
          <w:color w:val="auto"/>
        </w:rPr>
      </w:pPr>
      <w:r>
        <w:rPr>
          <w:rFonts w:ascii="Times New Roman" w:cs="Times New Roman" w:eastAsia="Times New Roman" w:hAnsi="Times New Roman"/>
          <w:sz w:val="19"/>
          <w:szCs w:val="19"/>
          <w:color w:val="auto"/>
        </w:rPr>
        <w:t>IN WITNESS WHEREOF, the parties hereto have caused this Agreement to be executed by their respective officers or representatives thereunto duly authorized, as of the date first above written.</w:t>
      </w:r>
    </w:p>
    <w:p>
      <w:pPr>
        <w:spacing w:after="0" w:line="18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b w:val="1"/>
          <w:bCs w:val="1"/>
          <w:color w:val="auto"/>
        </w:rPr>
        <w:t>BORROWER:</w:t>
      </w:r>
    </w:p>
    <w:p>
      <w:pPr>
        <w:spacing w:after="0" w:line="2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EASTERLY GOVERNMENT PROPERTIES LP,</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partnership</w:t>
      </w:r>
    </w:p>
    <w:p>
      <w:pPr>
        <w:spacing w:after="0" w:line="191"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35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EASTERLY GOVERNMENT PROPERTIES,</w:t>
            </w:r>
          </w:p>
        </w:tc>
      </w:tr>
      <w:tr>
        <w:trPr>
          <w:trHeight w:val="216"/>
        </w:trPr>
        <w:tc>
          <w:tcPr>
            <w:tcW w:w="660" w:type="dxa"/>
            <w:vAlign w:val="bottom"/>
          </w:tcPr>
          <w:p>
            <w:pPr>
              <w:spacing w:after="0"/>
              <w:rPr>
                <w:sz w:val="18"/>
                <w:szCs w:val="18"/>
                <w:color w:val="auto"/>
              </w:rPr>
            </w:pPr>
          </w:p>
        </w:tc>
        <w:tc>
          <w:tcPr>
            <w:tcW w:w="3560" w:type="dxa"/>
            <w:vAlign w:val="bottom"/>
            <w:gridSpan w:val="2"/>
          </w:tcPr>
          <w:p>
            <w:pPr>
              <w:spacing w:after="0" w:line="216" w:lineRule="exact"/>
              <w:rPr>
                <w:sz w:val="20"/>
                <w:szCs w:val="20"/>
                <w:color w:val="auto"/>
              </w:rPr>
            </w:pPr>
            <w:r>
              <w:rPr>
                <w:rFonts w:ascii="Times New Roman" w:cs="Times New Roman" w:eastAsia="Times New Roman" w:hAnsi="Times New Roman"/>
                <w:sz w:val="19"/>
                <w:szCs w:val="19"/>
                <w:color w:val="auto"/>
              </w:rPr>
              <w:t>INC.,</w:t>
            </w:r>
          </w:p>
        </w:tc>
      </w:tr>
      <w:tr>
        <w:trPr>
          <w:trHeight w:val="216"/>
        </w:trPr>
        <w:tc>
          <w:tcPr>
            <w:tcW w:w="660" w:type="dxa"/>
            <w:vAlign w:val="bottom"/>
          </w:tcPr>
          <w:p>
            <w:pPr>
              <w:spacing w:after="0"/>
              <w:rPr>
                <w:sz w:val="18"/>
                <w:szCs w:val="18"/>
                <w:color w:val="auto"/>
              </w:rPr>
            </w:pPr>
          </w:p>
        </w:tc>
        <w:tc>
          <w:tcPr>
            <w:tcW w:w="3560" w:type="dxa"/>
            <w:vAlign w:val="bottom"/>
            <w:gridSpan w:val="2"/>
          </w:tcPr>
          <w:p>
            <w:pPr>
              <w:spacing w:after="0" w:line="216" w:lineRule="exact"/>
              <w:rPr>
                <w:sz w:val="20"/>
                <w:szCs w:val="20"/>
                <w:color w:val="auto"/>
              </w:rPr>
            </w:pPr>
            <w:r>
              <w:rPr>
                <w:rFonts w:ascii="Times New Roman" w:cs="Times New Roman" w:eastAsia="Times New Roman" w:hAnsi="Times New Roman"/>
                <w:sz w:val="19"/>
                <w:szCs w:val="19"/>
                <w:color w:val="auto"/>
              </w:rPr>
              <w:t>a Maryland corporation,</w:t>
            </w:r>
          </w:p>
        </w:tc>
      </w:tr>
      <w:tr>
        <w:trPr>
          <w:trHeight w:val="244"/>
        </w:trPr>
        <w:tc>
          <w:tcPr>
            <w:tcW w:w="660" w:type="dxa"/>
            <w:vAlign w:val="bottom"/>
          </w:tcPr>
          <w:p>
            <w:pPr>
              <w:spacing w:after="0"/>
              <w:rPr>
                <w:sz w:val="21"/>
                <w:szCs w:val="21"/>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its sole General Partner</w:t>
            </w:r>
          </w:p>
        </w:tc>
      </w:tr>
      <w:tr>
        <w:trPr>
          <w:trHeight w:val="389"/>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2160" w:type="dxa"/>
            <w:vAlign w:val="bottom"/>
          </w:tcPr>
          <w:p>
            <w:pPr>
              <w:spacing w:after="0"/>
              <w:rPr>
                <w:sz w:val="24"/>
                <w:szCs w:val="24"/>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356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16"/>
        </w:trPr>
        <w:tc>
          <w:tcPr>
            <w:tcW w:w="6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Title:</w:t>
            </w:r>
          </w:p>
        </w:tc>
        <w:tc>
          <w:tcPr>
            <w:tcW w:w="3560" w:type="dxa"/>
            <w:vAlign w:val="bottom"/>
            <w:gridSpan w:val="2"/>
          </w:tcPr>
          <w:p>
            <w:pPr>
              <w:spacing w:after="0" w:line="216" w:lineRule="exact"/>
              <w:rPr>
                <w:sz w:val="20"/>
                <w:szCs w:val="20"/>
                <w:color w:val="auto"/>
              </w:rPr>
            </w:pPr>
            <w:r>
              <w:rPr>
                <w:rFonts w:ascii="Times New Roman" w:cs="Times New Roman" w:eastAsia="Times New Roman" w:hAnsi="Times New Roman"/>
                <w:sz w:val="19"/>
                <w:szCs w:val="19"/>
                <w:color w:val="auto"/>
              </w:rPr>
              <w:t>Executive Vice President and Chief Financial</w:t>
            </w:r>
          </w:p>
        </w:tc>
      </w:tr>
      <w:tr>
        <w:trPr>
          <w:trHeight w:val="244"/>
        </w:trPr>
        <w:tc>
          <w:tcPr>
            <w:tcW w:w="660" w:type="dxa"/>
            <w:vAlign w:val="bottom"/>
          </w:tcPr>
          <w:p>
            <w:pPr>
              <w:spacing w:after="0"/>
              <w:rPr>
                <w:sz w:val="21"/>
                <w:szCs w:val="21"/>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Officer</w:t>
            </w:r>
          </w:p>
        </w:tc>
      </w:tr>
    </w:tbl>
    <w:p>
      <w:pPr>
        <w:spacing w:after="0" w:line="21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b w:val="1"/>
          <w:bCs w:val="1"/>
          <w:color w:val="auto"/>
        </w:rPr>
        <w:t>PARENT</w:t>
      </w:r>
      <w:r>
        <w:rPr>
          <w:rFonts w:ascii="Times New Roman" w:cs="Times New Roman" w:eastAsia="Times New Roman" w:hAnsi="Times New Roman"/>
          <w:sz w:val="19"/>
          <w:szCs w:val="19"/>
          <w:color w:val="auto"/>
        </w:rPr>
        <w:t>:</w:t>
      </w:r>
    </w:p>
    <w:p>
      <w:pPr>
        <w:spacing w:after="0" w:line="2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EASTERLY GOVERNMENT PROPERTIES, INC.,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Maryland corporation</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206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346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16"/>
        </w:trPr>
        <w:tc>
          <w:tcPr>
            <w:tcW w:w="6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Title:</w:t>
            </w:r>
          </w:p>
        </w:tc>
        <w:tc>
          <w:tcPr>
            <w:tcW w:w="3460" w:type="dxa"/>
            <w:vAlign w:val="bottom"/>
            <w:gridSpan w:val="2"/>
          </w:tcPr>
          <w:p>
            <w:pPr>
              <w:spacing w:after="0" w:line="216" w:lineRule="exact"/>
              <w:rPr>
                <w:sz w:val="20"/>
                <w:szCs w:val="20"/>
                <w:color w:val="auto"/>
              </w:rPr>
            </w:pPr>
            <w:r>
              <w:rPr>
                <w:rFonts w:ascii="Times New Roman" w:cs="Times New Roman" w:eastAsia="Times New Roman" w:hAnsi="Times New Roman"/>
                <w:sz w:val="19"/>
                <w:szCs w:val="19"/>
                <w:color w:val="auto"/>
                <w:w w:val="99"/>
              </w:rPr>
              <w:t>Executive Vice President and Chief Financial</w:t>
            </w:r>
          </w:p>
        </w:tc>
      </w:tr>
      <w:tr>
        <w:trPr>
          <w:trHeight w:val="244"/>
        </w:trPr>
        <w:tc>
          <w:tcPr>
            <w:tcW w:w="66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810895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3" w:right="359" w:bottom="1440" w:gutter="0" w:footer="0" w:header="0"/>
        </w:sectPr>
      </w:pPr>
    </w:p>
    <w:bookmarkStart w:id="119" w:name="page120"/>
    <w:bookmarkEnd w:id="119"/>
    <w:p>
      <w:pPr>
        <w:ind w:left="2640"/>
        <w:spacing w:after="0"/>
        <w:rPr>
          <w:sz w:val="20"/>
          <w:szCs w:val="20"/>
          <w:color w:val="auto"/>
        </w:rPr>
      </w:pPr>
      <w:r>
        <w:rPr>
          <w:rFonts w:ascii="Times New Roman" w:cs="Times New Roman" w:eastAsia="Times New Roman" w:hAnsi="Times New Roman"/>
          <w:sz w:val="19"/>
          <w:szCs w:val="19"/>
          <w:b w:val="1"/>
          <w:bCs w:val="1"/>
          <w:color w:val="auto"/>
        </w:rPr>
        <w:t>SUBSIDIARY GUARANTORS:</w:t>
      </w:r>
    </w:p>
    <w:p>
      <w:pPr>
        <w:spacing w:after="0" w:line="22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USGP ALBANY DEA, LLC,</w:t>
      </w:r>
    </w:p>
    <w:p>
      <w:pPr>
        <w:spacing w:after="0" w:line="2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2"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8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Chief Financial Officer</w:t>
            </w:r>
          </w:p>
        </w:tc>
      </w:tr>
    </w:tbl>
    <w:p>
      <w:pPr>
        <w:spacing w:after="0" w:line="22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USGP DALLAS DEA LP,</w:t>
      </w:r>
    </w:p>
    <w:p>
      <w:pPr>
        <w:spacing w:after="0" w:line="2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19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7"/>
          <w:szCs w:val="17"/>
          <w:color w:val="auto"/>
        </w:rPr>
        <w:t>USGP DALLAS 1 G.P., LLC, its general partner</w:t>
      </w:r>
    </w:p>
    <w:p>
      <w:pPr>
        <w:spacing w:after="0" w:line="197" w:lineRule="exact"/>
        <w:rPr>
          <w:sz w:val="20"/>
          <w:szCs w:val="20"/>
          <w:color w:val="auto"/>
        </w:rPr>
      </w:pPr>
    </w:p>
    <w:tbl>
      <w:tblPr>
        <w:tblLayout w:type="fixed"/>
        <w:tblInd w:w="3020" w:type="dxa"/>
        <w:tblCellMar>
          <w:top w:w="0" w:type="dxa"/>
          <w:left w:w="0" w:type="dxa"/>
          <w:bottom w:w="0" w:type="dxa"/>
          <w:right w:w="0" w:type="dxa"/>
        </w:tblCellMar>
      </w:tblPr>
      <w:tr>
        <w:trPr>
          <w:trHeight w:val="218"/>
        </w:trPr>
        <w:tc>
          <w:tcPr>
            <w:tcW w:w="6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68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6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USGP DEL RIO CH LP,</w:t>
      </w:r>
    </w:p>
    <w:p>
      <w:pPr>
        <w:spacing w:after="0" w:line="2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19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By: USGP DEL RIO 1 G.P., LLC, its general partner</w:t>
      </w:r>
    </w:p>
    <w:p>
      <w:pPr>
        <w:spacing w:after="0" w:line="197" w:lineRule="exact"/>
        <w:rPr>
          <w:sz w:val="20"/>
          <w:szCs w:val="20"/>
          <w:color w:val="auto"/>
        </w:rPr>
      </w:pPr>
    </w:p>
    <w:tbl>
      <w:tblPr>
        <w:tblLayout w:type="fixed"/>
        <w:tblInd w:w="302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7"/>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6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USGP FRESNO IRS,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9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By: USGP FRESNO IRS MEMBER LLC, its sole</w:t>
      </w:r>
    </w:p>
    <w:p>
      <w:pPr>
        <w:spacing w:after="0" w:line="1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9"/>
          <w:szCs w:val="19"/>
          <w:color w:val="auto"/>
        </w:rPr>
        <w:t>member</w:t>
      </w:r>
    </w:p>
    <w:p>
      <w:pPr>
        <w:spacing w:after="0" w:line="177" w:lineRule="exact"/>
        <w:rPr>
          <w:sz w:val="20"/>
          <w:szCs w:val="20"/>
          <w:color w:val="auto"/>
        </w:rPr>
      </w:pPr>
    </w:p>
    <w:tbl>
      <w:tblPr>
        <w:tblLayout w:type="fixed"/>
        <w:tblInd w:w="302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36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6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USGP SAN ANTONIO, LP,</w:t>
      </w:r>
    </w:p>
    <w:p>
      <w:pPr>
        <w:spacing w:after="0" w:line="2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19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By: USGP SAN ANTONIO GP, LLC, its general partner</w:t>
      </w:r>
    </w:p>
    <w:p>
      <w:pPr>
        <w:spacing w:after="0" w:line="197" w:lineRule="exact"/>
        <w:rPr>
          <w:sz w:val="20"/>
          <w:szCs w:val="20"/>
          <w:color w:val="auto"/>
        </w:rPr>
      </w:pPr>
    </w:p>
    <w:tbl>
      <w:tblPr>
        <w:tblLayout w:type="fixed"/>
        <w:tblInd w:w="3020" w:type="dxa"/>
        <w:tblCellMar>
          <w:top w:w="0" w:type="dxa"/>
          <w:left w:w="0" w:type="dxa"/>
          <w:bottom w:w="0" w:type="dxa"/>
          <w:right w:w="0" w:type="dxa"/>
        </w:tblCellMar>
      </w:tblPr>
      <w:tr>
        <w:trPr>
          <w:trHeight w:val="218"/>
        </w:trPr>
        <w:tc>
          <w:tcPr>
            <w:tcW w:w="6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68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6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810895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65" w:right="1440" w:bottom="1440" w:gutter="0" w:footer="0" w:header="0"/>
        </w:sectPr>
      </w:pPr>
    </w:p>
    <w:bookmarkStart w:id="120" w:name="page121"/>
    <w:bookmarkEnd w:id="120"/>
    <w:p>
      <w:pPr>
        <w:ind w:left="3760"/>
        <w:spacing w:after="0"/>
        <w:rPr>
          <w:sz w:val="20"/>
          <w:szCs w:val="20"/>
          <w:color w:val="auto"/>
        </w:rPr>
      </w:pPr>
      <w:r>
        <w:rPr>
          <w:rFonts w:ascii="Times New Roman" w:cs="Times New Roman" w:eastAsia="Times New Roman" w:hAnsi="Times New Roman"/>
          <w:sz w:val="19"/>
          <w:szCs w:val="19"/>
          <w:color w:val="auto"/>
        </w:rPr>
        <w:t>USGP ALBUQUERQUE USFS I,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9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USGP ALBUQUERQUE USFS I MEMBER, LLC,</w:t>
      </w:r>
    </w:p>
    <w:p>
      <w:pPr>
        <w:spacing w:after="0" w:line="1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177" w:lineRule="exact"/>
        <w:rPr>
          <w:sz w:val="20"/>
          <w:szCs w:val="20"/>
          <w:color w:val="auto"/>
        </w:rPr>
      </w:pPr>
    </w:p>
    <w:tbl>
      <w:tblPr>
        <w:tblLayout w:type="fixed"/>
        <w:tblInd w:w="414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7"/>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6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USGP II ARLINGTON PTO LP,</w:t>
      </w:r>
    </w:p>
    <w:p>
      <w:pPr>
        <w:spacing w:after="0" w:line="2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19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USGP II ARLINGTON PTO GENERAL PARTNER</w:t>
      </w:r>
    </w:p>
    <w:p>
      <w:pPr>
        <w:spacing w:after="0" w:line="1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LLC, its general partner</w:t>
      </w:r>
    </w:p>
    <w:p>
      <w:pPr>
        <w:spacing w:after="0" w:line="194" w:lineRule="exact"/>
        <w:rPr>
          <w:sz w:val="20"/>
          <w:szCs w:val="20"/>
          <w:color w:val="auto"/>
        </w:rPr>
      </w:pPr>
    </w:p>
    <w:p>
      <w:pPr>
        <w:ind w:left="4140"/>
        <w:spacing w:after="0"/>
        <w:tabs>
          <w:tab w:leader="none" w:pos="466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/s/ Allison Marino</w:t>
      </w:r>
    </w:p>
    <w:p>
      <w:pPr>
        <w:spacing w:after="0" w:line="1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Name: Allison Marino</w:t>
      </w:r>
    </w:p>
    <w:p>
      <w:pPr>
        <w:ind w:left="4140"/>
        <w:spacing w:after="0"/>
        <w:rPr>
          <w:sz w:val="20"/>
          <w:szCs w:val="20"/>
          <w:color w:val="auto"/>
        </w:rPr>
      </w:pPr>
      <w:r>
        <w:rPr>
          <w:rFonts w:ascii="Times New Roman" w:cs="Times New Roman" w:eastAsia="Times New Roman" w:hAnsi="Times New Roman"/>
          <w:sz w:val="19"/>
          <w:szCs w:val="19"/>
          <w:color w:val="auto"/>
        </w:rPr>
        <w:t>Title:  Chief Financial Officer</w:t>
      </w:r>
    </w:p>
    <w:p>
      <w:pPr>
        <w:spacing w:after="0" w:line="2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USGP II LAKEWOOD DOT LP,</w:t>
      </w:r>
    </w:p>
    <w:p>
      <w:pPr>
        <w:spacing w:after="0" w:line="2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a Delaware limited partnership</w:t>
      </w:r>
    </w:p>
    <w:p>
      <w:pPr>
        <w:ind w:left="3760"/>
        <w:spacing w:after="0" w:line="238" w:lineRule="auto"/>
        <w:rPr>
          <w:sz w:val="20"/>
          <w:szCs w:val="20"/>
          <w:color w:val="auto"/>
        </w:rPr>
      </w:pPr>
      <w:r>
        <w:rPr>
          <w:rFonts w:ascii="Times New Roman" w:cs="Times New Roman" w:eastAsia="Times New Roman" w:hAnsi="Times New Roman"/>
          <w:sz w:val="19"/>
          <w:szCs w:val="19"/>
          <w:color w:val="auto"/>
        </w:rPr>
        <w:t>By: USGP II LAKEWOOD DOT GENERAL PARTNER</w:t>
      </w:r>
    </w:p>
    <w:p>
      <w:pPr>
        <w:ind w:left="4140"/>
        <w:spacing w:after="0"/>
        <w:rPr>
          <w:sz w:val="20"/>
          <w:szCs w:val="20"/>
          <w:color w:val="auto"/>
        </w:rPr>
      </w:pPr>
      <w:r>
        <w:rPr>
          <w:rFonts w:ascii="Times New Roman" w:cs="Times New Roman" w:eastAsia="Times New Roman" w:hAnsi="Times New Roman"/>
          <w:sz w:val="19"/>
          <w:szCs w:val="19"/>
          <w:color w:val="auto"/>
        </w:rPr>
        <w:t>LLC, its general partner</w:t>
      </w:r>
    </w:p>
    <w:p>
      <w:pPr>
        <w:spacing w:after="0" w:line="177" w:lineRule="exact"/>
        <w:rPr>
          <w:sz w:val="20"/>
          <w:szCs w:val="20"/>
          <w:color w:val="auto"/>
        </w:rPr>
      </w:pPr>
    </w:p>
    <w:tbl>
      <w:tblPr>
        <w:tblLayout w:type="fixed"/>
        <w:tblInd w:w="414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7"/>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6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USGP II LITTLE ROCK FBI LP,</w:t>
      </w:r>
    </w:p>
    <w:p>
      <w:pPr>
        <w:spacing w:after="0" w:line="2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19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USGP II LITTLE ROCK FBI GENERAL PARTNER</w:t>
      </w:r>
    </w:p>
    <w:p>
      <w:pPr>
        <w:spacing w:after="0" w:line="1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LLC, its general partner</w:t>
      </w:r>
    </w:p>
    <w:tbl>
      <w:tblPr>
        <w:tblLayout w:type="fixed"/>
        <w:tblInd w:w="4140" w:type="dxa"/>
        <w:tblCellMar>
          <w:top w:w="0" w:type="dxa"/>
          <w:left w:w="0" w:type="dxa"/>
          <w:bottom w:w="0" w:type="dxa"/>
          <w:right w:w="0" w:type="dxa"/>
        </w:tblCellMar>
      </w:tblPr>
      <w:tr>
        <w:trPr>
          <w:trHeight w:val="182"/>
        </w:trPr>
        <w:tc>
          <w:tcPr>
            <w:tcW w:w="660" w:type="dxa"/>
            <w:vAlign w:val="bottom"/>
          </w:tcPr>
          <w:p>
            <w:pPr>
              <w:spacing w:after="0" w:line="182" w:lineRule="exact"/>
              <w:rPr>
                <w:sz w:val="20"/>
                <w:szCs w:val="20"/>
                <w:color w:val="auto"/>
              </w:rPr>
            </w:pPr>
            <w:r>
              <w:rPr>
                <w:rFonts w:ascii="Times New Roman" w:cs="Times New Roman" w:eastAsia="Times New Roman" w:hAnsi="Times New Roman"/>
                <w:sz w:val="19"/>
                <w:szCs w:val="19"/>
                <w:color w:val="auto"/>
              </w:rPr>
              <w:t>By:</w:t>
            </w:r>
          </w:p>
        </w:tc>
        <w:tc>
          <w:tcPr>
            <w:tcW w:w="138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9"/>
                <w:szCs w:val="19"/>
                <w:color w:val="auto"/>
                <w:w w:val="97"/>
              </w:rPr>
              <w:t>/s/ Allison Marino</w:t>
            </w:r>
          </w:p>
        </w:tc>
        <w:tc>
          <w:tcPr>
            <w:tcW w:w="380" w:type="dxa"/>
            <w:vAlign w:val="bottom"/>
          </w:tcPr>
          <w:p>
            <w:pPr>
              <w:spacing w:after="0"/>
              <w:rPr>
                <w:sz w:val="15"/>
                <w:szCs w:val="15"/>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6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USGP II MARTINSBURG USCG LP,</w:t>
      </w:r>
    </w:p>
    <w:p>
      <w:pPr>
        <w:spacing w:after="0" w:line="2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a Delaware limited partnership</w:t>
      </w:r>
    </w:p>
    <w:p>
      <w:pPr>
        <w:ind w:left="3760"/>
        <w:spacing w:after="0" w:line="238" w:lineRule="auto"/>
        <w:rPr>
          <w:sz w:val="20"/>
          <w:szCs w:val="20"/>
          <w:color w:val="auto"/>
        </w:rPr>
      </w:pPr>
      <w:r>
        <w:rPr>
          <w:rFonts w:ascii="Times New Roman" w:cs="Times New Roman" w:eastAsia="Times New Roman" w:hAnsi="Times New Roman"/>
          <w:sz w:val="19"/>
          <w:szCs w:val="19"/>
          <w:color w:val="auto"/>
        </w:rPr>
        <w:t>By: USGP II MARTINSBURG USCG GENERAL</w:t>
      </w:r>
    </w:p>
    <w:p>
      <w:pPr>
        <w:ind w:left="4140"/>
        <w:spacing w:after="0"/>
        <w:rPr>
          <w:sz w:val="20"/>
          <w:szCs w:val="20"/>
          <w:color w:val="auto"/>
        </w:rPr>
      </w:pPr>
      <w:r>
        <w:rPr>
          <w:rFonts w:ascii="Times New Roman" w:cs="Times New Roman" w:eastAsia="Times New Roman" w:hAnsi="Times New Roman"/>
          <w:sz w:val="19"/>
          <w:szCs w:val="19"/>
          <w:color w:val="auto"/>
        </w:rPr>
        <w:t>PARTNER LLC, its general partner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00" w:type="dxa"/>
            <w:vAlign w:val="bottom"/>
          </w:tcPr>
          <w:p>
            <w:pPr>
              <w:ind w:left="4140"/>
              <w:spacing w:after="0"/>
              <w:rPr>
                <w:sz w:val="20"/>
                <w:szCs w:val="20"/>
                <w:color w:val="auto"/>
              </w:rPr>
            </w:pPr>
            <w:r>
              <w:rPr>
                <w:rFonts w:ascii="Times New Roman" w:cs="Times New Roman" w:eastAsia="Times New Roman" w:hAnsi="Times New Roman"/>
                <w:sz w:val="19"/>
                <w:szCs w:val="19"/>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7"/>
              </w:rPr>
              <w:t>/s/ Allison Marino</w:t>
            </w:r>
          </w:p>
        </w:tc>
        <w:tc>
          <w:tcPr>
            <w:tcW w:w="5060" w:type="dxa"/>
            <w:vAlign w:val="bottom"/>
          </w:tcPr>
          <w:p>
            <w:pPr>
              <w:spacing w:after="0"/>
              <w:rPr>
                <w:sz w:val="18"/>
                <w:szCs w:val="18"/>
                <w:color w:val="auto"/>
              </w:rPr>
            </w:pPr>
          </w:p>
        </w:tc>
      </w:tr>
      <w:tr>
        <w:trPr>
          <w:trHeight w:val="210"/>
        </w:trPr>
        <w:tc>
          <w:tcPr>
            <w:tcW w:w="4800" w:type="dxa"/>
            <w:vAlign w:val="bottom"/>
          </w:tcPr>
          <w:p>
            <w:pPr>
              <w:ind w:left="4140"/>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644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4800" w:type="dxa"/>
            <w:vAlign w:val="bottom"/>
          </w:tcPr>
          <w:p>
            <w:pPr>
              <w:ind w:left="4140"/>
              <w:spacing w:after="0"/>
              <w:rPr>
                <w:sz w:val="20"/>
                <w:szCs w:val="20"/>
                <w:color w:val="auto"/>
              </w:rPr>
            </w:pPr>
            <w:r>
              <w:rPr>
                <w:rFonts w:ascii="Times New Roman" w:cs="Times New Roman" w:eastAsia="Times New Roman" w:hAnsi="Times New Roman"/>
                <w:sz w:val="19"/>
                <w:szCs w:val="19"/>
                <w:color w:val="auto"/>
              </w:rPr>
              <w:t>Title:</w:t>
            </w:r>
          </w:p>
        </w:tc>
        <w:tc>
          <w:tcPr>
            <w:tcW w:w="64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432"/>
        </w:trPr>
        <w:tc>
          <w:tcPr>
            <w:tcW w:w="4800" w:type="dxa"/>
            <w:vAlign w:val="bottom"/>
          </w:tcPr>
          <w:p>
            <w:pPr>
              <w:spacing w:after="0"/>
              <w:rPr>
                <w:sz w:val="24"/>
                <w:szCs w:val="24"/>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tc>
      </w:tr>
      <w:tr>
        <w:trPr>
          <w:trHeight w:val="1274"/>
        </w:trPr>
        <w:tc>
          <w:tcPr>
            <w:tcW w:w="48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1" w:name="page122"/>
    <w:bookmarkEnd w:id="121"/>
    <w:p>
      <w:pPr>
        <w:ind w:left="3760"/>
        <w:spacing w:after="0"/>
        <w:rPr>
          <w:sz w:val="20"/>
          <w:szCs w:val="20"/>
          <w:color w:val="auto"/>
        </w:rPr>
      </w:pPr>
      <w:r>
        <w:rPr>
          <w:rFonts w:ascii="Times New Roman" w:cs="Times New Roman" w:eastAsia="Times New Roman" w:hAnsi="Times New Roman"/>
          <w:sz w:val="19"/>
          <w:szCs w:val="19"/>
          <w:color w:val="auto"/>
        </w:rPr>
        <w:t>EGP 4411 OMAHA LP,</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partnership</w:t>
      </w:r>
    </w:p>
    <w:p>
      <w:pPr>
        <w:spacing w:after="0" w:line="19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USGP II Omaha FBI General Partner LLC, its</w:t>
      </w:r>
    </w:p>
    <w:p>
      <w:pPr>
        <w:spacing w:after="0" w:line="1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general partner</w:t>
      </w:r>
    </w:p>
    <w:p>
      <w:pPr>
        <w:spacing w:after="0" w:line="177" w:lineRule="exact"/>
        <w:rPr>
          <w:sz w:val="20"/>
          <w:szCs w:val="20"/>
          <w:color w:val="auto"/>
        </w:rPr>
      </w:pPr>
    </w:p>
    <w:tbl>
      <w:tblPr>
        <w:tblLayout w:type="fixed"/>
        <w:tblInd w:w="414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7"/>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6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CH EL CENTRO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8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DEA NORTH HIGHLANDS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8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DEA RIVERSIDE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8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DEA SANTA ANA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8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DEA VISTA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2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5420" w:type="dxa"/>
            <w:vAlign w:val="bottom"/>
          </w:tcPr>
          <w:p>
            <w:pPr>
              <w:spacing w:after="0"/>
              <w:rPr>
                <w:sz w:val="18"/>
                <w:szCs w:val="18"/>
                <w:color w:val="auto"/>
              </w:rPr>
            </w:pPr>
          </w:p>
        </w:tc>
      </w:tr>
      <w:tr>
        <w:trPr>
          <w:trHeight w:val="210"/>
        </w:trPr>
        <w:tc>
          <w:tcPr>
            <w:tcW w:w="4420" w:type="dxa"/>
            <w:vAlign w:val="bottom"/>
          </w:tcPr>
          <w:p>
            <w:pPr>
              <w:ind w:left="3760"/>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682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442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Title:</w:t>
            </w:r>
          </w:p>
        </w:tc>
        <w:tc>
          <w:tcPr>
            <w:tcW w:w="6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702"/>
        </w:trPr>
        <w:tc>
          <w:tcPr>
            <w:tcW w:w="4420" w:type="dxa"/>
            <w:vAlign w:val="bottom"/>
          </w:tcPr>
          <w:p>
            <w:pPr>
              <w:spacing w:after="0"/>
              <w:rPr>
                <w:sz w:val="24"/>
                <w:szCs w:val="24"/>
                <w:color w:val="auto"/>
              </w:rPr>
            </w:pPr>
          </w:p>
        </w:tc>
        <w:tc>
          <w:tcPr>
            <w:tcW w:w="6820" w:type="dxa"/>
            <w:vAlign w:val="bottom"/>
            <w:gridSpan w:val="2"/>
          </w:tcPr>
          <w:p>
            <w:pPr>
              <w:ind w:left="3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tc>
      </w:tr>
      <w:tr>
        <w:trPr>
          <w:trHeight w:val="1274"/>
        </w:trPr>
        <w:tc>
          <w:tcPr>
            <w:tcW w:w="44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2" w:name="page123"/>
    <w:bookmarkEnd w:id="122"/>
    <w:p>
      <w:pPr>
        <w:ind w:left="2640"/>
        <w:spacing w:after="0"/>
        <w:rPr>
          <w:sz w:val="20"/>
          <w:szCs w:val="20"/>
          <w:color w:val="auto"/>
        </w:rPr>
      </w:pPr>
      <w:r>
        <w:rPr>
          <w:rFonts w:ascii="Times New Roman" w:cs="Times New Roman" w:eastAsia="Times New Roman" w:hAnsi="Times New Roman"/>
          <w:sz w:val="19"/>
          <w:szCs w:val="19"/>
          <w:color w:val="auto"/>
        </w:rPr>
        <w:t>EGP DEA WH SAN DIEGO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8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SSA SAN DIEGO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8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HUNTER LUBBOCK LP,</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partnership</w:t>
      </w:r>
    </w:p>
    <w:p>
      <w:pPr>
        <w:spacing w:after="0" w:line="19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EGP LUBBOCK GP LLC, its general partner</w:t>
      </w:r>
    </w:p>
    <w:p>
      <w:pPr>
        <w:spacing w:after="0" w:line="20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8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CH ABERDEEN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8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USCIS LINCOLN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8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810895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23" w:name="page124"/>
    <w:bookmarkEnd w:id="123"/>
    <w:p>
      <w:pPr>
        <w:ind w:left="3760"/>
        <w:spacing w:after="0"/>
        <w:rPr>
          <w:sz w:val="20"/>
          <w:szCs w:val="20"/>
          <w:color w:val="auto"/>
        </w:rPr>
      </w:pPr>
      <w:r>
        <w:rPr>
          <w:rFonts w:ascii="Times New Roman" w:cs="Times New Roman" w:eastAsia="Times New Roman" w:hAnsi="Times New Roman"/>
          <w:sz w:val="19"/>
          <w:szCs w:val="19"/>
          <w:color w:val="auto"/>
        </w:rPr>
        <w:t>EGP DEA LAB DALLAS LP,</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partnership</w:t>
      </w:r>
    </w:p>
    <w:p>
      <w:pPr>
        <w:spacing w:after="0" w:line="19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EGP DEA LAB DALLAS GENERAL PARTNER</w:t>
      </w:r>
    </w:p>
    <w:p>
      <w:pPr>
        <w:spacing w:after="0" w:line="1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LLC, its general partner</w:t>
      </w:r>
    </w:p>
    <w:p>
      <w:pPr>
        <w:spacing w:after="0" w:line="177" w:lineRule="exact"/>
        <w:rPr>
          <w:sz w:val="20"/>
          <w:szCs w:val="20"/>
          <w:color w:val="auto"/>
        </w:rPr>
      </w:pPr>
    </w:p>
    <w:tbl>
      <w:tblPr>
        <w:tblLayout w:type="fixed"/>
        <w:tblInd w:w="414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7"/>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6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1970 RICHMOND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393"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5441 ALBUQUERQUE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601 OMAHA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920 BIRMINGHAM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300 KANSAS CITY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By:</w:t>
            </w:r>
          </w:p>
        </w:tc>
        <w:tc>
          <w:tcPr>
            <w:tcW w:w="6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4500" w:type="dxa"/>
            <w:vAlign w:val="bottom"/>
          </w:tcPr>
          <w:p>
            <w:pPr>
              <w:ind w:left="3760"/>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5360" w:type="dxa"/>
            <w:vAlign w:val="bottom"/>
          </w:tcPr>
          <w:p>
            <w:pPr>
              <w:spacing w:after="0"/>
              <w:rPr>
                <w:sz w:val="18"/>
                <w:szCs w:val="18"/>
                <w:color w:val="auto"/>
              </w:rPr>
            </w:pPr>
          </w:p>
        </w:tc>
      </w:tr>
      <w:tr>
        <w:trPr>
          <w:trHeight w:val="244"/>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Title:</w:t>
            </w:r>
          </w:p>
        </w:tc>
        <w:tc>
          <w:tcPr>
            <w:tcW w:w="6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459"/>
        </w:trPr>
        <w:tc>
          <w:tcPr>
            <w:tcW w:w="4500" w:type="dxa"/>
            <w:vAlign w:val="bottom"/>
          </w:tcPr>
          <w:p>
            <w:pPr>
              <w:spacing w:after="0"/>
              <w:rPr>
                <w:sz w:val="24"/>
                <w:szCs w:val="24"/>
                <w:color w:val="auto"/>
              </w:rPr>
            </w:pPr>
          </w:p>
        </w:tc>
        <w:tc>
          <w:tcPr>
            <w:tcW w:w="67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tc>
      </w:tr>
      <w:tr>
        <w:trPr>
          <w:trHeight w:val="1274"/>
        </w:trPr>
        <w:tc>
          <w:tcPr>
            <w:tcW w:w="45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4" w:name="page125"/>
    <w:bookmarkEnd w:id="124"/>
    <w:p>
      <w:pPr>
        <w:ind w:left="2640"/>
        <w:spacing w:after="0"/>
        <w:rPr>
          <w:sz w:val="20"/>
          <w:szCs w:val="20"/>
          <w:color w:val="auto"/>
        </w:rPr>
      </w:pPr>
      <w:r>
        <w:rPr>
          <w:rFonts w:ascii="Times New Roman" w:cs="Times New Roman" w:eastAsia="Times New Roman" w:hAnsi="Times New Roman"/>
          <w:sz w:val="19"/>
          <w:szCs w:val="19"/>
          <w:color w:val="auto"/>
        </w:rPr>
        <w:t>EGP 1000 BIRMINGHAM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200 ALBANY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401 SOUTH BEND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5425 SALT LAKE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1540 SOUTH BEND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1201 ALAMEDA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810895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25" w:name="page126"/>
    <w:bookmarkEnd w:id="125"/>
    <w:p>
      <w:pPr>
        <w:ind w:left="3760"/>
        <w:spacing w:after="0"/>
        <w:rPr>
          <w:sz w:val="20"/>
          <w:szCs w:val="20"/>
          <w:color w:val="auto"/>
        </w:rPr>
      </w:pPr>
      <w:r>
        <w:rPr>
          <w:rFonts w:ascii="Times New Roman" w:cs="Times New Roman" w:eastAsia="Times New Roman" w:hAnsi="Times New Roman"/>
          <w:sz w:val="19"/>
          <w:szCs w:val="19"/>
          <w:color w:val="auto"/>
        </w:rPr>
        <w:t>EGP 10749 LENEXA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1547 TRACY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5855 SAN JOSE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10824 DALLAS LP,</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partnership</w:t>
      </w:r>
    </w:p>
    <w:p>
      <w:pPr>
        <w:spacing w:after="0" w:line="19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EGP 10824 DALLAS GENERAL PARTNER LLC,</w:t>
      </w:r>
    </w:p>
    <w:p>
      <w:pPr>
        <w:spacing w:after="0" w:line="1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its general partner</w:t>
      </w:r>
    </w:p>
    <w:p>
      <w:pPr>
        <w:spacing w:after="0" w:line="177" w:lineRule="exact"/>
        <w:rPr>
          <w:sz w:val="20"/>
          <w:szCs w:val="20"/>
          <w:color w:val="auto"/>
        </w:rPr>
      </w:pPr>
    </w:p>
    <w:tbl>
      <w:tblPr>
        <w:tblLayout w:type="fixed"/>
        <w:tblInd w:w="414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7"/>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6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130 BUFFALO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320 CLARKSBURG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By:</w:t>
            </w:r>
          </w:p>
        </w:tc>
        <w:tc>
          <w:tcPr>
            <w:tcW w:w="6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4500" w:type="dxa"/>
            <w:vAlign w:val="bottom"/>
          </w:tcPr>
          <w:p>
            <w:pPr>
              <w:ind w:left="3760"/>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5360" w:type="dxa"/>
            <w:vAlign w:val="bottom"/>
          </w:tcPr>
          <w:p>
            <w:pPr>
              <w:spacing w:after="0"/>
              <w:rPr>
                <w:sz w:val="18"/>
                <w:szCs w:val="18"/>
                <w:color w:val="auto"/>
              </w:rPr>
            </w:pPr>
          </w:p>
        </w:tc>
      </w:tr>
      <w:tr>
        <w:trPr>
          <w:trHeight w:val="244"/>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Title:</w:t>
            </w:r>
          </w:p>
        </w:tc>
        <w:tc>
          <w:tcPr>
            <w:tcW w:w="6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459"/>
        </w:trPr>
        <w:tc>
          <w:tcPr>
            <w:tcW w:w="4500" w:type="dxa"/>
            <w:vAlign w:val="bottom"/>
          </w:tcPr>
          <w:p>
            <w:pPr>
              <w:spacing w:after="0"/>
              <w:rPr>
                <w:sz w:val="24"/>
                <w:szCs w:val="24"/>
                <w:color w:val="auto"/>
              </w:rPr>
            </w:pPr>
          </w:p>
        </w:tc>
        <w:tc>
          <w:tcPr>
            <w:tcW w:w="67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tc>
      </w:tr>
      <w:tr>
        <w:trPr>
          <w:trHeight w:val="1274"/>
        </w:trPr>
        <w:tc>
          <w:tcPr>
            <w:tcW w:w="45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126" w:name="page127"/>
    <w:bookmarkEnd w:id="126"/>
    <w:p>
      <w:pPr>
        <w:ind w:left="2640"/>
        <w:spacing w:after="0"/>
        <w:rPr>
          <w:sz w:val="20"/>
          <w:szCs w:val="20"/>
          <w:color w:val="auto"/>
        </w:rPr>
      </w:pPr>
      <w:r>
        <w:rPr>
          <w:rFonts w:ascii="Times New Roman" w:cs="Times New Roman" w:eastAsia="Times New Roman" w:hAnsi="Times New Roman"/>
          <w:sz w:val="19"/>
          <w:szCs w:val="19"/>
          <w:color w:val="auto"/>
        </w:rPr>
        <w:t>EGP 320 PARKERSBURG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500 CHARLESTON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2300 DES PLAINES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3311 PITTSBURGH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85 CHARLESTON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7400 BAKERSFIELD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810895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27" w:name="page128"/>
    <w:bookmarkEnd w:id="127"/>
    <w:p>
      <w:pPr>
        <w:ind w:left="3760"/>
        <w:spacing w:after="0"/>
        <w:rPr>
          <w:sz w:val="20"/>
          <w:szCs w:val="20"/>
          <w:color w:val="auto"/>
        </w:rPr>
      </w:pPr>
      <w:r>
        <w:rPr>
          <w:rFonts w:ascii="Times New Roman" w:cs="Times New Roman" w:eastAsia="Times New Roman" w:hAnsi="Times New Roman"/>
          <w:sz w:val="19"/>
          <w:szCs w:val="19"/>
          <w:color w:val="auto"/>
        </w:rPr>
        <w:t>EGP 1440 UPPER MARLBORO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836 BIRMINGHAM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22624 STERLING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1201 PORTLAND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8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116 SUFFOLK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2901 NEW ORLEANS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By:</w:t>
            </w:r>
          </w:p>
        </w:tc>
        <w:tc>
          <w:tcPr>
            <w:tcW w:w="6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4500" w:type="dxa"/>
            <w:vAlign w:val="bottom"/>
          </w:tcPr>
          <w:p>
            <w:pPr>
              <w:ind w:left="3760"/>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5360" w:type="dxa"/>
            <w:vAlign w:val="bottom"/>
          </w:tcPr>
          <w:p>
            <w:pPr>
              <w:spacing w:after="0"/>
              <w:rPr>
                <w:sz w:val="18"/>
                <w:szCs w:val="18"/>
                <w:color w:val="auto"/>
              </w:rPr>
            </w:pPr>
          </w:p>
        </w:tc>
      </w:tr>
      <w:tr>
        <w:trPr>
          <w:trHeight w:val="244"/>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Title:</w:t>
            </w:r>
          </w:p>
        </w:tc>
        <w:tc>
          <w:tcPr>
            <w:tcW w:w="6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945"/>
        </w:trPr>
        <w:tc>
          <w:tcPr>
            <w:tcW w:w="4500" w:type="dxa"/>
            <w:vAlign w:val="bottom"/>
          </w:tcPr>
          <w:p>
            <w:pPr>
              <w:spacing w:after="0"/>
              <w:rPr>
                <w:sz w:val="24"/>
                <w:szCs w:val="24"/>
                <w:color w:val="auto"/>
              </w:rPr>
            </w:pPr>
          </w:p>
        </w:tc>
        <w:tc>
          <w:tcPr>
            <w:tcW w:w="67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tc>
      </w:tr>
      <w:tr>
        <w:trPr>
          <w:trHeight w:val="1274"/>
        </w:trPr>
        <w:tc>
          <w:tcPr>
            <w:tcW w:w="45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8" w:name="page129"/>
    <w:bookmarkEnd w:id="128"/>
    <w:p>
      <w:pPr>
        <w:ind w:left="3760"/>
        <w:spacing w:after="0"/>
        <w:rPr>
          <w:sz w:val="20"/>
          <w:szCs w:val="20"/>
          <w:color w:val="auto"/>
        </w:rPr>
      </w:pPr>
      <w:r>
        <w:rPr>
          <w:rFonts w:ascii="Times New Roman" w:cs="Times New Roman" w:eastAsia="Times New Roman" w:hAnsi="Times New Roman"/>
          <w:sz w:val="19"/>
          <w:szCs w:val="19"/>
          <w:color w:val="auto"/>
        </w:rPr>
        <w:t>EGP 11201 LENEXA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14101 TUSTIN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ORANGE VA LLC,</w:t>
      </w:r>
    </w:p>
    <w:p>
      <w:pPr>
        <w:spacing w:after="0" w:line="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ind w:left="3760"/>
        <w:spacing w:after="0" w:line="237" w:lineRule="auto"/>
        <w:rPr>
          <w:sz w:val="20"/>
          <w:szCs w:val="20"/>
          <w:color w:val="auto"/>
        </w:rPr>
      </w:pPr>
      <w:r>
        <w:rPr>
          <w:rFonts w:ascii="Times New Roman" w:cs="Times New Roman" w:eastAsia="Times New Roman" w:hAnsi="Times New Roman"/>
          <w:sz w:val="19"/>
          <w:szCs w:val="19"/>
          <w:color w:val="auto"/>
        </w:rPr>
        <w:t>By: EGP WEST HAVEN LLC, its sole member</w:t>
      </w:r>
    </w:p>
    <w:tbl>
      <w:tblPr>
        <w:tblLayout w:type="fixed"/>
        <w:tblInd w:w="4140" w:type="dxa"/>
        <w:tblCellMar>
          <w:top w:w="0" w:type="dxa"/>
          <w:left w:w="0" w:type="dxa"/>
          <w:bottom w:w="0" w:type="dxa"/>
          <w:right w:w="0" w:type="dxa"/>
        </w:tblCellMar>
      </w:tblPr>
      <w:tr>
        <w:trPr>
          <w:trHeight w:val="182"/>
        </w:trPr>
        <w:tc>
          <w:tcPr>
            <w:tcW w:w="660" w:type="dxa"/>
            <w:vAlign w:val="bottom"/>
          </w:tcPr>
          <w:p>
            <w:pPr>
              <w:spacing w:after="0" w:line="183" w:lineRule="exact"/>
              <w:rPr>
                <w:sz w:val="20"/>
                <w:szCs w:val="20"/>
                <w:color w:val="auto"/>
              </w:rPr>
            </w:pPr>
            <w:r>
              <w:rPr>
                <w:rFonts w:ascii="Times New Roman" w:cs="Times New Roman" w:eastAsia="Times New Roman" w:hAnsi="Times New Roman"/>
                <w:sz w:val="19"/>
                <w:szCs w:val="19"/>
                <w:color w:val="auto"/>
              </w:rPr>
              <w:t>By:</w:t>
            </w:r>
          </w:p>
        </w:tc>
        <w:tc>
          <w:tcPr>
            <w:tcW w:w="1380" w:type="dxa"/>
            <w:vAlign w:val="bottom"/>
            <w:tcBorders>
              <w:bottom w:val="single" w:sz="8" w:color="auto"/>
            </w:tcBorders>
          </w:tcPr>
          <w:p>
            <w:pPr>
              <w:spacing w:after="0" w:line="183" w:lineRule="exact"/>
              <w:rPr>
                <w:sz w:val="20"/>
                <w:szCs w:val="20"/>
                <w:color w:val="auto"/>
              </w:rPr>
            </w:pPr>
            <w:r>
              <w:rPr>
                <w:rFonts w:ascii="Times New Roman" w:cs="Times New Roman" w:eastAsia="Times New Roman" w:hAnsi="Times New Roman"/>
                <w:sz w:val="19"/>
                <w:szCs w:val="19"/>
                <w:color w:val="auto"/>
                <w:w w:val="97"/>
              </w:rPr>
              <w:t>/s/ Allison Marino</w:t>
            </w:r>
          </w:p>
        </w:tc>
        <w:tc>
          <w:tcPr>
            <w:tcW w:w="380" w:type="dxa"/>
            <w:vAlign w:val="bottom"/>
          </w:tcPr>
          <w:p>
            <w:pPr>
              <w:spacing w:after="0"/>
              <w:rPr>
                <w:sz w:val="15"/>
                <w:szCs w:val="15"/>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6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660 EL PASO LP,</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partnership</w:t>
      </w:r>
    </w:p>
    <w:p>
      <w:pPr>
        <w:spacing w:after="0" w:line="19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660 EL PASO GENERAL PARTNER LLC, its</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general member</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4444 MOBILE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CHICO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By:</w:t>
            </w:r>
          </w:p>
        </w:tc>
        <w:tc>
          <w:tcPr>
            <w:tcW w:w="6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4500" w:type="dxa"/>
            <w:vAlign w:val="bottom"/>
          </w:tcPr>
          <w:p>
            <w:pPr>
              <w:ind w:left="3760"/>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5360" w:type="dxa"/>
            <w:vAlign w:val="bottom"/>
          </w:tcPr>
          <w:p>
            <w:pPr>
              <w:spacing w:after="0"/>
              <w:rPr>
                <w:sz w:val="18"/>
                <w:szCs w:val="18"/>
                <w:color w:val="auto"/>
              </w:rPr>
            </w:pPr>
          </w:p>
        </w:tc>
      </w:tr>
      <w:tr>
        <w:trPr>
          <w:trHeight w:val="244"/>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Title:</w:t>
            </w:r>
          </w:p>
        </w:tc>
        <w:tc>
          <w:tcPr>
            <w:tcW w:w="6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432"/>
        </w:trPr>
        <w:tc>
          <w:tcPr>
            <w:tcW w:w="4500" w:type="dxa"/>
            <w:vAlign w:val="bottom"/>
          </w:tcPr>
          <w:p>
            <w:pPr>
              <w:spacing w:after="0"/>
              <w:rPr>
                <w:sz w:val="24"/>
                <w:szCs w:val="24"/>
                <w:color w:val="auto"/>
              </w:rPr>
            </w:pPr>
          </w:p>
        </w:tc>
        <w:tc>
          <w:tcPr>
            <w:tcW w:w="67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tc>
      </w:tr>
      <w:tr>
        <w:trPr>
          <w:trHeight w:val="1274"/>
        </w:trPr>
        <w:tc>
          <w:tcPr>
            <w:tcW w:w="45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9" w:name="page130"/>
    <w:bookmarkEnd w:id="129"/>
    <w:p>
      <w:pPr>
        <w:ind w:left="3760"/>
        <w:spacing w:after="0"/>
        <w:rPr>
          <w:sz w:val="20"/>
          <w:szCs w:val="20"/>
          <w:color w:val="auto"/>
        </w:rPr>
      </w:pPr>
      <w:r>
        <w:rPr>
          <w:rFonts w:ascii="Times New Roman" w:cs="Times New Roman" w:eastAsia="Times New Roman" w:hAnsi="Times New Roman"/>
          <w:sz w:val="19"/>
          <w:szCs w:val="19"/>
          <w:color w:val="auto"/>
        </w:rPr>
        <w:t>EGP 200 MOBILE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8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4136 NORTH CHARLESTON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111 JACKSON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654 LOUISVILLE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717 LOUISVILLE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1501 KNOXVILLE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By:</w:t>
            </w:r>
          </w:p>
        </w:tc>
        <w:tc>
          <w:tcPr>
            <w:tcW w:w="6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4500" w:type="dxa"/>
            <w:vAlign w:val="bottom"/>
          </w:tcPr>
          <w:p>
            <w:pPr>
              <w:ind w:left="3760"/>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5360" w:type="dxa"/>
            <w:vAlign w:val="bottom"/>
          </w:tcPr>
          <w:p>
            <w:pPr>
              <w:spacing w:after="0"/>
              <w:rPr>
                <w:sz w:val="18"/>
                <w:szCs w:val="18"/>
                <w:color w:val="auto"/>
              </w:rPr>
            </w:pPr>
          </w:p>
        </w:tc>
      </w:tr>
      <w:tr>
        <w:trPr>
          <w:trHeight w:val="244"/>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Title:</w:t>
            </w:r>
          </w:p>
        </w:tc>
        <w:tc>
          <w:tcPr>
            <w:tcW w:w="6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945"/>
        </w:trPr>
        <w:tc>
          <w:tcPr>
            <w:tcW w:w="4500" w:type="dxa"/>
            <w:vAlign w:val="bottom"/>
          </w:tcPr>
          <w:p>
            <w:pPr>
              <w:spacing w:after="0"/>
              <w:rPr>
                <w:sz w:val="24"/>
                <w:szCs w:val="24"/>
                <w:color w:val="auto"/>
              </w:rPr>
            </w:pPr>
          </w:p>
        </w:tc>
        <w:tc>
          <w:tcPr>
            <w:tcW w:w="67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tc>
      </w:tr>
      <w:tr>
        <w:trPr>
          <w:trHeight w:val="1274"/>
        </w:trPr>
        <w:tc>
          <w:tcPr>
            <w:tcW w:w="45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0" w:name="page131"/>
    <w:bookmarkEnd w:id="130"/>
    <w:p>
      <w:pPr>
        <w:ind w:left="3760"/>
        <w:spacing w:after="0"/>
        <w:rPr>
          <w:sz w:val="20"/>
          <w:szCs w:val="20"/>
          <w:color w:val="auto"/>
        </w:rPr>
      </w:pPr>
      <w:r>
        <w:rPr>
          <w:rFonts w:ascii="Times New Roman" w:cs="Times New Roman" w:eastAsia="Times New Roman" w:hAnsi="Times New Roman"/>
          <w:sz w:val="19"/>
          <w:szCs w:val="19"/>
          <w:color w:val="auto"/>
        </w:rPr>
        <w:t>EGP 318 SPRINGFIELD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7220 KANSAS CITY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DEA PLEASANTON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925 BROOKLYN HEIGHTS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WEST INDY VA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By: EGP 557 Brownsburg LLC, its sole member</w:t>
      </w:r>
    </w:p>
    <w:p>
      <w:pPr>
        <w:spacing w:after="0" w:line="19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17101 BROOMFIELD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By:</w:t>
            </w:r>
          </w:p>
        </w:tc>
        <w:tc>
          <w:tcPr>
            <w:tcW w:w="6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4500" w:type="dxa"/>
            <w:vAlign w:val="bottom"/>
          </w:tcPr>
          <w:p>
            <w:pPr>
              <w:ind w:left="3760"/>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5360" w:type="dxa"/>
            <w:vAlign w:val="bottom"/>
          </w:tcPr>
          <w:p>
            <w:pPr>
              <w:spacing w:after="0"/>
              <w:rPr>
                <w:sz w:val="18"/>
                <w:szCs w:val="18"/>
                <w:color w:val="auto"/>
              </w:rPr>
            </w:pPr>
          </w:p>
        </w:tc>
      </w:tr>
      <w:tr>
        <w:trPr>
          <w:trHeight w:val="244"/>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Title:</w:t>
            </w:r>
          </w:p>
        </w:tc>
        <w:tc>
          <w:tcPr>
            <w:tcW w:w="6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648"/>
        </w:trPr>
        <w:tc>
          <w:tcPr>
            <w:tcW w:w="4500" w:type="dxa"/>
            <w:vAlign w:val="bottom"/>
          </w:tcPr>
          <w:p>
            <w:pPr>
              <w:spacing w:after="0"/>
              <w:rPr>
                <w:sz w:val="24"/>
                <w:szCs w:val="24"/>
                <w:color w:val="auto"/>
              </w:rPr>
            </w:pPr>
          </w:p>
        </w:tc>
        <w:tc>
          <w:tcPr>
            <w:tcW w:w="67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tc>
      </w:tr>
      <w:tr>
        <w:trPr>
          <w:trHeight w:val="1274"/>
        </w:trPr>
        <w:tc>
          <w:tcPr>
            <w:tcW w:w="45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131" w:name="page132"/>
    <w:bookmarkEnd w:id="131"/>
    <w:p>
      <w:pPr>
        <w:ind w:left="3760"/>
        <w:spacing w:after="0"/>
        <w:rPr>
          <w:sz w:val="20"/>
          <w:szCs w:val="20"/>
          <w:color w:val="auto"/>
        </w:rPr>
      </w:pPr>
      <w:r>
        <w:rPr>
          <w:rFonts w:ascii="Times New Roman" w:cs="Times New Roman" w:eastAsia="Times New Roman" w:hAnsi="Times New Roman"/>
          <w:sz w:val="19"/>
          <w:szCs w:val="19"/>
          <w:color w:val="auto"/>
        </w:rPr>
        <w:t>EGP 5525 TAMPA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2146 COUNCIL BLUFFS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1065 ANAHEIM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2400 NEWPORT NEWS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1500 ATLANTA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555 GOLDEN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By:</w:t>
            </w:r>
          </w:p>
        </w:tc>
        <w:tc>
          <w:tcPr>
            <w:tcW w:w="6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4500" w:type="dxa"/>
            <w:vAlign w:val="bottom"/>
          </w:tcPr>
          <w:p>
            <w:pPr>
              <w:ind w:left="3760"/>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5360" w:type="dxa"/>
            <w:vAlign w:val="bottom"/>
          </w:tcPr>
          <w:p>
            <w:pPr>
              <w:spacing w:after="0"/>
              <w:rPr>
                <w:sz w:val="18"/>
                <w:szCs w:val="18"/>
                <w:color w:val="auto"/>
              </w:rPr>
            </w:pPr>
          </w:p>
        </w:tc>
      </w:tr>
      <w:tr>
        <w:trPr>
          <w:trHeight w:val="244"/>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Title:</w:t>
            </w:r>
          </w:p>
        </w:tc>
        <w:tc>
          <w:tcPr>
            <w:tcW w:w="6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702"/>
        </w:trPr>
        <w:tc>
          <w:tcPr>
            <w:tcW w:w="4500" w:type="dxa"/>
            <w:vAlign w:val="bottom"/>
          </w:tcPr>
          <w:p>
            <w:pPr>
              <w:spacing w:after="0"/>
              <w:rPr>
                <w:sz w:val="24"/>
                <w:szCs w:val="24"/>
                <w:color w:val="auto"/>
              </w:rPr>
            </w:pPr>
          </w:p>
        </w:tc>
        <w:tc>
          <w:tcPr>
            <w:tcW w:w="67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tc>
      </w:tr>
      <w:tr>
        <w:trPr>
          <w:trHeight w:val="1274"/>
        </w:trPr>
        <w:tc>
          <w:tcPr>
            <w:tcW w:w="45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2" w:name="page133"/>
    <w:bookmarkEnd w:id="132"/>
    <w:p>
      <w:pPr>
        <w:ind w:left="3760"/>
        <w:spacing w:after="0"/>
        <w:rPr>
          <w:sz w:val="20"/>
          <w:szCs w:val="20"/>
          <w:color w:val="auto"/>
        </w:rPr>
      </w:pPr>
      <w:r>
        <w:rPr>
          <w:rFonts w:ascii="Times New Roman" w:cs="Times New Roman" w:eastAsia="Times New Roman" w:hAnsi="Times New Roman"/>
          <w:sz w:val="19"/>
          <w:szCs w:val="19"/>
          <w:color w:val="auto"/>
        </w:rPr>
        <w:t>EGP 8222 IRVING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9495 ORLANDO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6643 ORLANDO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1973 OGDEN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188 WILLISTON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1200 WASHINGTON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By:</w:t>
            </w:r>
          </w:p>
        </w:tc>
        <w:tc>
          <w:tcPr>
            <w:tcW w:w="6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4500" w:type="dxa"/>
            <w:vAlign w:val="bottom"/>
          </w:tcPr>
          <w:p>
            <w:pPr>
              <w:ind w:left="3760"/>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5360" w:type="dxa"/>
            <w:vAlign w:val="bottom"/>
          </w:tcPr>
          <w:p>
            <w:pPr>
              <w:spacing w:after="0"/>
              <w:rPr>
                <w:sz w:val="18"/>
                <w:szCs w:val="18"/>
                <w:color w:val="auto"/>
              </w:rPr>
            </w:pPr>
          </w:p>
        </w:tc>
      </w:tr>
      <w:tr>
        <w:trPr>
          <w:trHeight w:val="244"/>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Title:</w:t>
            </w:r>
          </w:p>
        </w:tc>
        <w:tc>
          <w:tcPr>
            <w:tcW w:w="6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945"/>
        </w:trPr>
        <w:tc>
          <w:tcPr>
            <w:tcW w:w="4500" w:type="dxa"/>
            <w:vAlign w:val="bottom"/>
          </w:tcPr>
          <w:p>
            <w:pPr>
              <w:spacing w:after="0"/>
              <w:rPr>
                <w:sz w:val="24"/>
                <w:szCs w:val="24"/>
                <w:color w:val="auto"/>
              </w:rPr>
            </w:pPr>
          </w:p>
        </w:tc>
        <w:tc>
          <w:tcPr>
            <w:tcW w:w="67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tc>
      </w:tr>
      <w:tr>
        <w:trPr>
          <w:trHeight w:val="1274"/>
        </w:trPr>
        <w:tc>
          <w:tcPr>
            <w:tcW w:w="45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3" w:name="page134"/>
    <w:bookmarkEnd w:id="133"/>
    <w:p>
      <w:pPr>
        <w:ind w:left="3760"/>
        <w:spacing w:after="0"/>
        <w:rPr>
          <w:sz w:val="20"/>
          <w:szCs w:val="20"/>
          <w:color w:val="auto"/>
        </w:rPr>
      </w:pPr>
      <w:r>
        <w:rPr>
          <w:rFonts w:ascii="Times New Roman" w:cs="Times New Roman" w:eastAsia="Times New Roman" w:hAnsi="Times New Roman"/>
          <w:sz w:val="19"/>
          <w:szCs w:val="19"/>
          <w:color w:val="auto"/>
        </w:rPr>
        <w:t>EGP 850 LEES SUMMIT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CARY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17455 AURORA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4065 BEAVERCREEK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6060 GREENWOOD VILLAGE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GLEN ALLEN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By:</w:t>
            </w:r>
          </w:p>
        </w:tc>
        <w:tc>
          <w:tcPr>
            <w:tcW w:w="6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4500" w:type="dxa"/>
            <w:vAlign w:val="bottom"/>
          </w:tcPr>
          <w:p>
            <w:pPr>
              <w:ind w:left="3760"/>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5360" w:type="dxa"/>
            <w:vAlign w:val="bottom"/>
          </w:tcPr>
          <w:p>
            <w:pPr>
              <w:spacing w:after="0"/>
              <w:rPr>
                <w:sz w:val="18"/>
                <w:szCs w:val="18"/>
                <w:color w:val="auto"/>
              </w:rPr>
            </w:pPr>
          </w:p>
        </w:tc>
      </w:tr>
      <w:tr>
        <w:trPr>
          <w:trHeight w:val="244"/>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Title:</w:t>
            </w:r>
          </w:p>
        </w:tc>
        <w:tc>
          <w:tcPr>
            <w:tcW w:w="6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945"/>
        </w:trPr>
        <w:tc>
          <w:tcPr>
            <w:tcW w:w="4500" w:type="dxa"/>
            <w:vAlign w:val="bottom"/>
          </w:tcPr>
          <w:p>
            <w:pPr>
              <w:spacing w:after="0"/>
              <w:rPr>
                <w:sz w:val="24"/>
                <w:szCs w:val="24"/>
                <w:color w:val="auto"/>
              </w:rPr>
            </w:pPr>
          </w:p>
        </w:tc>
        <w:tc>
          <w:tcPr>
            <w:tcW w:w="67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tc>
      </w:tr>
      <w:tr>
        <w:trPr>
          <w:trHeight w:val="1490"/>
        </w:trPr>
        <w:tc>
          <w:tcPr>
            <w:tcW w:w="45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4" w:name="page135"/>
    <w:bookmarkEnd w:id="134"/>
    <w:p>
      <w:pPr>
        <w:spacing w:after="0" w:line="21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1777 ATLANTA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By:</w:t>
            </w:r>
          </w:p>
        </w:tc>
        <w:tc>
          <w:tcPr>
            <w:tcW w:w="6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4500" w:type="dxa"/>
            <w:vAlign w:val="bottom"/>
          </w:tcPr>
          <w:p>
            <w:pPr>
              <w:ind w:left="3760"/>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5360" w:type="dxa"/>
            <w:vAlign w:val="bottom"/>
          </w:tcPr>
          <w:p>
            <w:pPr>
              <w:spacing w:after="0"/>
              <w:rPr>
                <w:sz w:val="18"/>
                <w:szCs w:val="18"/>
                <w:color w:val="auto"/>
              </w:rPr>
            </w:pPr>
          </w:p>
        </w:tc>
      </w:tr>
      <w:tr>
        <w:trPr>
          <w:trHeight w:val="244"/>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Title:</w:t>
            </w:r>
          </w:p>
        </w:tc>
        <w:tc>
          <w:tcPr>
            <w:tcW w:w="6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891"/>
        </w:trPr>
        <w:tc>
          <w:tcPr>
            <w:tcW w:w="4500" w:type="dxa"/>
            <w:vAlign w:val="bottom"/>
          </w:tcPr>
          <w:p>
            <w:pPr>
              <w:spacing w:after="0"/>
              <w:rPr>
                <w:sz w:val="24"/>
                <w:szCs w:val="24"/>
                <w:color w:val="auto"/>
              </w:rPr>
            </w:pPr>
          </w:p>
        </w:tc>
        <w:tc>
          <w:tcPr>
            <w:tcW w:w="67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tc>
      </w:tr>
      <w:tr>
        <w:trPr>
          <w:trHeight w:val="1409"/>
        </w:trPr>
        <w:tc>
          <w:tcPr>
            <w:tcW w:w="45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9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9"/>
          <w:szCs w:val="19"/>
          <w:color w:val="auto"/>
        </w:rPr>
        <w:t>as Administrative Agent and an Initial Lender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By:</w:t>
            </w: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Shari Reams-Henofer</w:t>
            </w:r>
          </w:p>
        </w:tc>
        <w:tc>
          <w:tcPr>
            <w:tcW w:w="4960" w:type="dxa"/>
            <w:vAlign w:val="bottom"/>
          </w:tcPr>
          <w:p>
            <w:pPr>
              <w:spacing w:after="0"/>
              <w:rPr>
                <w:sz w:val="18"/>
                <w:szCs w:val="18"/>
                <w:color w:val="auto"/>
              </w:rPr>
            </w:pPr>
          </w:p>
        </w:tc>
      </w:tr>
      <w:tr>
        <w:trPr>
          <w:trHeight w:val="210"/>
        </w:trPr>
        <w:tc>
          <w:tcPr>
            <w:tcW w:w="4500" w:type="dxa"/>
            <w:vAlign w:val="bottom"/>
          </w:tcPr>
          <w:p>
            <w:pPr>
              <w:ind w:left="3760"/>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Shari Reams-Henofer</w:t>
            </w:r>
          </w:p>
        </w:tc>
      </w:tr>
      <w:tr>
        <w:trPr>
          <w:trHeight w:val="244"/>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Title:</w:t>
            </w:r>
          </w:p>
        </w:tc>
        <w:tc>
          <w:tcPr>
            <w:tcW w:w="6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Senior Vice President</w:t>
            </w:r>
          </w:p>
        </w:tc>
      </w:tr>
      <w:tr>
        <w:trPr>
          <w:trHeight w:val="1868"/>
        </w:trPr>
        <w:tc>
          <w:tcPr>
            <w:tcW w:w="45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9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as an Initial Lender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By:</w:t>
            </w: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Germaine R. Korhone</w:t>
            </w:r>
          </w:p>
        </w:tc>
      </w:tr>
      <w:tr>
        <w:trPr>
          <w:trHeight w:val="210"/>
        </w:trPr>
        <w:tc>
          <w:tcPr>
            <w:tcW w:w="4500" w:type="dxa"/>
            <w:vAlign w:val="bottom"/>
          </w:tcPr>
          <w:p>
            <w:pPr>
              <w:ind w:left="3760"/>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Germaine R. Korhone</w:t>
            </w:r>
          </w:p>
        </w:tc>
        <w:tc>
          <w:tcPr>
            <w:tcW w:w="4940" w:type="dxa"/>
            <w:vAlign w:val="bottom"/>
          </w:tcPr>
          <w:p>
            <w:pPr>
              <w:spacing w:after="0"/>
              <w:rPr>
                <w:sz w:val="18"/>
                <w:szCs w:val="18"/>
                <w:color w:val="auto"/>
              </w:rPr>
            </w:pPr>
          </w:p>
        </w:tc>
      </w:tr>
      <w:tr>
        <w:trPr>
          <w:trHeight w:val="244"/>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Title:</w:t>
            </w:r>
          </w:p>
        </w:tc>
        <w:tc>
          <w:tcPr>
            <w:tcW w:w="6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Senior Vice President</w:t>
            </w:r>
          </w:p>
        </w:tc>
      </w:tr>
      <w:tr>
        <w:trPr>
          <w:trHeight w:val="2084"/>
        </w:trPr>
        <w:tc>
          <w:tcPr>
            <w:tcW w:w="45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9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TRUIST BANK,</w:t>
      </w:r>
    </w:p>
    <w:p>
      <w:pPr>
        <w:spacing w:after="0" w:line="2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as an Initial Lender</w:t>
      </w:r>
    </w:p>
    <w:p>
      <w:pPr>
        <w:spacing w:after="0" w:line="194" w:lineRule="exact"/>
        <w:rPr>
          <w:sz w:val="20"/>
          <w:szCs w:val="20"/>
          <w:color w:val="auto"/>
        </w:rPr>
      </w:pPr>
    </w:p>
    <w:p>
      <w:pPr>
        <w:ind w:left="2640"/>
        <w:spacing w:after="0"/>
        <w:tabs>
          <w:tab w:leader="none" w:pos="3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C. Vincent Hughes, Jr.</w:t>
      </w:r>
    </w:p>
    <w:p>
      <w:pPr>
        <w:spacing w:after="0" w:line="27" w:lineRule="exact"/>
        <w:rPr>
          <w:sz w:val="20"/>
          <w:szCs w:val="20"/>
          <w:color w:val="auto"/>
        </w:rPr>
      </w:pPr>
    </w:p>
    <w:p>
      <w:pPr>
        <w:ind w:left="2640"/>
        <w:spacing w:after="0"/>
        <w:tabs>
          <w:tab w:leader="none" w:pos="336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8"/>
          <w:szCs w:val="18"/>
          <w:color w:val="auto"/>
        </w:rPr>
        <w:t>C. Vincent Hughes, Jr.</w:t>
      </w:r>
    </w:p>
    <w:p>
      <w:pPr>
        <w:ind w:left="2640"/>
        <w:spacing w:after="0"/>
        <w:tabs>
          <w:tab w:leader="none" w:pos="336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1018540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8" w:name="page139"/>
    <w:bookmarkEnd w:id="138"/>
    <w:p>
      <w:pPr>
        <w:spacing w:after="0" w:line="19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WELLS FARGO BANK, N.A.,</w:t>
      </w:r>
    </w:p>
    <w:p>
      <w:pPr>
        <w:spacing w:after="0" w:line="2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as an Initial Lender</w:t>
      </w:r>
    </w:p>
    <w:p>
      <w:pPr>
        <w:spacing w:after="0" w:line="194" w:lineRule="exact"/>
        <w:rPr>
          <w:sz w:val="20"/>
          <w:szCs w:val="20"/>
          <w:color w:val="auto"/>
        </w:rPr>
      </w:pPr>
    </w:p>
    <w:p>
      <w:pPr>
        <w:ind w:left="2640"/>
        <w:spacing w:after="0"/>
        <w:tabs>
          <w:tab w:leader="none" w:pos="3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Craig V. Koshkarian</w:t>
      </w:r>
    </w:p>
    <w:p>
      <w:pPr>
        <w:spacing w:after="0" w:line="27" w:lineRule="exact"/>
        <w:rPr>
          <w:sz w:val="20"/>
          <w:szCs w:val="20"/>
          <w:color w:val="auto"/>
        </w:rPr>
      </w:pPr>
    </w:p>
    <w:p>
      <w:pPr>
        <w:ind w:left="2640"/>
        <w:spacing w:after="0"/>
        <w:tabs>
          <w:tab w:leader="none" w:pos="336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8"/>
          <w:szCs w:val="18"/>
          <w:color w:val="auto"/>
        </w:rPr>
        <w:t>Craig V. Koshkarian</w:t>
      </w:r>
    </w:p>
    <w:p>
      <w:pPr>
        <w:ind w:left="2640"/>
        <w:spacing w:after="0"/>
        <w:tabs>
          <w:tab w:leader="none" w:pos="336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1018540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9" w:name="page140"/>
    <w:bookmarkEnd w:id="139"/>
    <w:p>
      <w:pPr>
        <w:spacing w:after="0" w:line="19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RAYMOND JAMES BANK,</w:t>
      </w:r>
    </w:p>
    <w:p>
      <w:pPr>
        <w:spacing w:after="0" w:line="2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as an Initial Lender</w:t>
      </w:r>
    </w:p>
    <w:p>
      <w:pPr>
        <w:spacing w:after="0" w:line="194" w:lineRule="exact"/>
        <w:rPr>
          <w:sz w:val="20"/>
          <w:szCs w:val="20"/>
          <w:color w:val="auto"/>
        </w:rPr>
      </w:pPr>
    </w:p>
    <w:p>
      <w:pPr>
        <w:ind w:left="2640"/>
        <w:spacing w:after="0"/>
        <w:tabs>
          <w:tab w:leader="none" w:pos="3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Alexander Sierra</w:t>
      </w:r>
    </w:p>
    <w:p>
      <w:pPr>
        <w:spacing w:after="0" w:line="27" w:lineRule="exact"/>
        <w:rPr>
          <w:sz w:val="20"/>
          <w:szCs w:val="20"/>
          <w:color w:val="auto"/>
        </w:rPr>
      </w:pPr>
    </w:p>
    <w:p>
      <w:pPr>
        <w:ind w:left="2640"/>
        <w:spacing w:after="0"/>
        <w:tabs>
          <w:tab w:leader="none" w:pos="336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8"/>
          <w:szCs w:val="18"/>
          <w:color w:val="auto"/>
        </w:rPr>
        <w:t>Alexander Sierra</w:t>
      </w:r>
    </w:p>
    <w:p>
      <w:pPr>
        <w:ind w:left="2640"/>
        <w:spacing w:after="0"/>
        <w:tabs>
          <w:tab w:leader="none" w:pos="336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1018540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0" w:name="page141"/>
    <w:bookmarkEnd w:id="140"/>
    <w:p>
      <w:pPr>
        <w:ind w:left="2640"/>
        <w:spacing w:after="0"/>
        <w:rPr>
          <w:sz w:val="20"/>
          <w:szCs w:val="20"/>
          <w:color w:val="auto"/>
        </w:rPr>
      </w:pPr>
      <w:r>
        <w:rPr>
          <w:rFonts w:ascii="Times New Roman" w:cs="Times New Roman" w:eastAsia="Times New Roman" w:hAnsi="Times New Roman"/>
          <w:sz w:val="18"/>
          <w:szCs w:val="18"/>
          <w:color w:val="auto"/>
        </w:rPr>
        <w:t>BANCO DE SABADELL, S.A., MIAMI BRANCH,</w:t>
      </w:r>
    </w:p>
    <w:p>
      <w:pPr>
        <w:spacing w:after="0" w:line="2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as an Initial Lender</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Enrique Castillo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44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Enrique Castillo</w:t>
            </w:r>
          </w:p>
        </w:tc>
        <w:tc>
          <w:tcPr>
            <w:tcW w:w="64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20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7"/>
              </w:rPr>
              <w:t>Head of Corporate Banking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5558155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41" w:name="page142"/>
    <w:bookmarkEnd w:id="141"/>
    <w:tbl>
      <w:tblPr>
        <w:tblLayout w:type="fixed"/>
        <w:tblInd w:w="1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2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SCHEDULE I</w:t>
            </w: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COMMITMENTS AND APPLICABLE LENDING OFFICES</w:t>
            </w:r>
          </w:p>
        </w:tc>
        <w:tc>
          <w:tcPr>
            <w:tcW w:w="0" w:type="dxa"/>
            <w:vAlign w:val="bottom"/>
          </w:tcPr>
          <w:p>
            <w:pPr>
              <w:spacing w:after="0"/>
              <w:rPr>
                <w:sz w:val="1"/>
                <w:szCs w:val="1"/>
                <w:color w:val="auto"/>
              </w:rPr>
            </w:pPr>
          </w:p>
        </w:tc>
      </w:tr>
      <w:tr>
        <w:trPr>
          <w:trHeight w:val="253"/>
        </w:trPr>
        <w:tc>
          <w:tcPr>
            <w:tcW w:w="15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c>
          <w:tcPr>
            <w:tcW w:w="3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1520" w:type="dxa"/>
            <w:vAlign w:val="bottom"/>
            <w:tcBorders>
              <w:left w:val="single" w:sz="8" w:color="auto"/>
              <w:right w:val="single" w:sz="8" w:color="auto"/>
            </w:tcBorders>
          </w:tcPr>
          <w:p>
            <w:pPr>
              <w:ind w:left="120"/>
              <w:spacing w:after="0" w:line="177" w:lineRule="exact"/>
              <w:rPr>
                <w:sz w:val="20"/>
                <w:szCs w:val="20"/>
                <w:color w:val="auto"/>
              </w:rPr>
            </w:pPr>
            <w:r>
              <w:rPr>
                <w:rFonts w:ascii="Times New Roman" w:cs="Times New Roman" w:eastAsia="Times New Roman" w:hAnsi="Times New Roman"/>
                <w:sz w:val="18"/>
                <w:szCs w:val="18"/>
                <w:b w:val="1"/>
                <w:bCs w:val="1"/>
                <w:color w:val="auto"/>
              </w:rPr>
              <w:t>Name of Initial</w:t>
            </w:r>
          </w:p>
        </w:tc>
        <w:tc>
          <w:tcPr>
            <w:tcW w:w="1660" w:type="dxa"/>
            <w:vAlign w:val="bottom"/>
          </w:tcPr>
          <w:p>
            <w:pPr>
              <w:jc w:val="center"/>
              <w:ind w:left="471"/>
              <w:spacing w:after="0" w:line="177" w:lineRule="exact"/>
              <w:rPr>
                <w:sz w:val="20"/>
                <w:szCs w:val="20"/>
                <w:color w:val="auto"/>
              </w:rPr>
            </w:pPr>
            <w:r>
              <w:rPr>
                <w:rFonts w:ascii="Times New Roman" w:cs="Times New Roman" w:eastAsia="Times New Roman" w:hAnsi="Times New Roman"/>
                <w:sz w:val="18"/>
                <w:szCs w:val="18"/>
                <w:b w:val="1"/>
                <w:bCs w:val="1"/>
                <w:color w:val="auto"/>
                <w:w w:val="99"/>
              </w:rPr>
              <w:t>Commitment</w:t>
            </w:r>
          </w:p>
        </w:tc>
        <w:tc>
          <w:tcPr>
            <w:tcW w:w="580" w:type="dxa"/>
            <w:vAlign w:val="bottom"/>
            <w:tcBorders>
              <w:right w:val="single" w:sz="8" w:color="auto"/>
            </w:tcBorders>
          </w:tcPr>
          <w:p>
            <w:pPr>
              <w:spacing w:after="0"/>
              <w:rPr>
                <w:sz w:val="15"/>
                <w:szCs w:val="15"/>
                <w:color w:val="auto"/>
              </w:rPr>
            </w:pPr>
          </w:p>
        </w:tc>
        <w:tc>
          <w:tcPr>
            <w:tcW w:w="3820" w:type="dxa"/>
            <w:vAlign w:val="bottom"/>
            <w:tcBorders>
              <w:right w:val="single" w:sz="8" w:color="auto"/>
            </w:tcBorders>
          </w:tcPr>
          <w:p>
            <w:pPr>
              <w:ind w:left="960"/>
              <w:spacing w:after="0" w:line="177" w:lineRule="exact"/>
              <w:rPr>
                <w:sz w:val="20"/>
                <w:szCs w:val="20"/>
                <w:color w:val="auto"/>
              </w:rPr>
            </w:pPr>
            <w:r>
              <w:rPr>
                <w:rFonts w:ascii="Times New Roman" w:cs="Times New Roman" w:eastAsia="Times New Roman" w:hAnsi="Times New Roman"/>
                <w:sz w:val="18"/>
                <w:szCs w:val="18"/>
                <w:b w:val="1"/>
                <w:bCs w:val="1"/>
                <w:color w:val="auto"/>
              </w:rPr>
              <w:t>Domestic Lending Office</w:t>
            </w:r>
          </w:p>
        </w:tc>
        <w:tc>
          <w:tcPr>
            <w:tcW w:w="3660" w:type="dxa"/>
            <w:vAlign w:val="bottom"/>
            <w:tcBorders>
              <w:right w:val="single" w:sz="8" w:color="auto"/>
            </w:tcBorders>
          </w:tcPr>
          <w:p>
            <w:pPr>
              <w:ind w:left="980"/>
              <w:spacing w:after="0" w:line="177" w:lineRule="exact"/>
              <w:rPr>
                <w:sz w:val="20"/>
                <w:szCs w:val="20"/>
                <w:color w:val="auto"/>
              </w:rPr>
            </w:pPr>
            <w:r>
              <w:rPr>
                <w:rFonts w:ascii="Times New Roman" w:cs="Times New Roman" w:eastAsia="Times New Roman" w:hAnsi="Times New Roman"/>
                <w:sz w:val="18"/>
                <w:szCs w:val="18"/>
                <w:b w:val="1"/>
                <w:bCs w:val="1"/>
                <w:color w:val="auto"/>
              </w:rPr>
              <w:t>SOFR Lending Office</w:t>
            </w:r>
          </w:p>
        </w:tc>
        <w:tc>
          <w:tcPr>
            <w:tcW w:w="0" w:type="dxa"/>
            <w:vAlign w:val="bottom"/>
          </w:tcPr>
          <w:p>
            <w:pPr>
              <w:spacing w:after="0"/>
              <w:rPr>
                <w:sz w:val="1"/>
                <w:szCs w:val="1"/>
                <w:color w:val="auto"/>
              </w:rPr>
            </w:pPr>
          </w:p>
        </w:tc>
      </w:tr>
      <w:tr>
        <w:trPr>
          <w:trHeight w:val="36"/>
        </w:trPr>
        <w:tc>
          <w:tcPr>
            <w:tcW w:w="152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166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382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520" w:type="dxa"/>
            <w:vAlign w:val="bottom"/>
            <w:tcBorders>
              <w:left w:val="single" w:sz="8" w:color="auto"/>
              <w:right w:val="single" w:sz="8" w:color="auto"/>
            </w:tcBorders>
            <w:vMerge w:val="continue"/>
          </w:tcPr>
          <w:p>
            <w:pPr>
              <w:spacing w:after="0"/>
              <w:rPr>
                <w:sz w:val="15"/>
                <w:szCs w:val="15"/>
                <w:color w:val="auto"/>
              </w:rPr>
            </w:pPr>
          </w:p>
        </w:tc>
        <w:tc>
          <w:tcPr>
            <w:tcW w:w="166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3820" w:type="dxa"/>
            <w:vAlign w:val="bottom"/>
            <w:tcBorders>
              <w:right w:val="single" w:sz="8" w:color="auto"/>
            </w:tcBorders>
          </w:tcPr>
          <w:p>
            <w:pPr>
              <w:spacing w:after="0"/>
              <w:rPr>
                <w:sz w:val="15"/>
                <w:szCs w:val="15"/>
                <w:color w:val="auto"/>
              </w:rPr>
            </w:pPr>
          </w:p>
        </w:tc>
        <w:tc>
          <w:tcPr>
            <w:tcW w:w="3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520" w:type="dxa"/>
            <w:vAlign w:val="bottom"/>
            <w:tcBorders>
              <w:left w:val="single" w:sz="8" w:color="auto"/>
              <w:bottom w:val="single" w:sz="8" w:color="auto"/>
              <w:right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3820" w:type="dxa"/>
            <w:vAlign w:val="bottom"/>
            <w:tcBorders>
              <w:bottom w:val="single" w:sz="8" w:color="auto"/>
              <w:right w:val="single" w:sz="8" w:color="auto"/>
            </w:tcBorders>
          </w:tcPr>
          <w:p>
            <w:pPr>
              <w:spacing w:after="0"/>
              <w:rPr>
                <w:sz w:val="9"/>
                <w:szCs w:val="9"/>
                <w:color w:val="auto"/>
              </w:rPr>
            </w:pPr>
          </w:p>
        </w:tc>
        <w:tc>
          <w:tcPr>
            <w:tcW w:w="3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520" w:type="dxa"/>
            <w:vAlign w:val="bottom"/>
            <w:tcBorders>
              <w:left w:val="single" w:sz="8" w:color="auto"/>
              <w:right w:val="single" w:sz="8" w:color="auto"/>
            </w:tcBorders>
          </w:tcPr>
          <w:p>
            <w:pPr>
              <w:ind w:left="320"/>
              <w:spacing w:after="0" w:line="154" w:lineRule="exact"/>
              <w:rPr>
                <w:sz w:val="20"/>
                <w:szCs w:val="20"/>
                <w:color w:val="auto"/>
              </w:rPr>
            </w:pPr>
            <w:r>
              <w:rPr>
                <w:rFonts w:ascii="Times New Roman" w:cs="Times New Roman" w:eastAsia="Times New Roman" w:hAnsi="Times New Roman"/>
                <w:sz w:val="17"/>
                <w:szCs w:val="17"/>
                <w:color w:val="auto"/>
              </w:rPr>
              <w:t>PNC Bank,</w:t>
            </w:r>
          </w:p>
        </w:tc>
        <w:tc>
          <w:tcPr>
            <w:tcW w:w="1660" w:type="dxa"/>
            <w:vAlign w:val="bottom"/>
          </w:tcPr>
          <w:p>
            <w:pPr>
              <w:jc w:val="center"/>
              <w:ind w:left="471"/>
              <w:spacing w:after="0" w:line="154" w:lineRule="exact"/>
              <w:rPr>
                <w:sz w:val="20"/>
                <w:szCs w:val="20"/>
                <w:color w:val="auto"/>
              </w:rPr>
            </w:pPr>
            <w:r>
              <w:rPr>
                <w:rFonts w:ascii="Times New Roman" w:cs="Times New Roman" w:eastAsia="Times New Roman" w:hAnsi="Times New Roman"/>
                <w:sz w:val="17"/>
                <w:szCs w:val="17"/>
                <w:color w:val="auto"/>
              </w:rPr>
              <w:t>$50,000,000</w:t>
            </w:r>
          </w:p>
        </w:tc>
        <w:tc>
          <w:tcPr>
            <w:tcW w:w="580" w:type="dxa"/>
            <w:vAlign w:val="bottom"/>
            <w:tcBorders>
              <w:right w:val="single" w:sz="8" w:color="auto"/>
            </w:tcBorders>
          </w:tcPr>
          <w:p>
            <w:pPr>
              <w:spacing w:after="0"/>
              <w:rPr>
                <w:sz w:val="13"/>
                <w:szCs w:val="13"/>
                <w:color w:val="auto"/>
              </w:rPr>
            </w:pPr>
          </w:p>
        </w:tc>
        <w:tc>
          <w:tcPr>
            <w:tcW w:w="3820" w:type="dxa"/>
            <w:vAlign w:val="bottom"/>
            <w:tcBorders>
              <w:right w:val="single" w:sz="8" w:color="auto"/>
            </w:tcBorders>
          </w:tcPr>
          <w:p>
            <w:pPr>
              <w:ind w:left="100"/>
              <w:spacing w:after="0" w:line="154" w:lineRule="exact"/>
              <w:rPr>
                <w:sz w:val="20"/>
                <w:szCs w:val="20"/>
                <w:color w:val="auto"/>
              </w:rPr>
            </w:pPr>
            <w:r>
              <w:rPr>
                <w:rFonts w:ascii="Times New Roman" w:cs="Times New Roman" w:eastAsia="Times New Roman" w:hAnsi="Times New Roman"/>
                <w:sz w:val="17"/>
                <w:szCs w:val="17"/>
                <w:color w:val="auto"/>
              </w:rPr>
              <w:t>500 First Street</w:t>
            </w:r>
          </w:p>
        </w:tc>
        <w:tc>
          <w:tcPr>
            <w:tcW w:w="3660" w:type="dxa"/>
            <w:vAlign w:val="bottom"/>
            <w:tcBorders>
              <w:right w:val="single" w:sz="8" w:color="auto"/>
            </w:tcBorders>
          </w:tcPr>
          <w:p>
            <w:pPr>
              <w:ind w:left="100"/>
              <w:spacing w:after="0" w:line="154" w:lineRule="exact"/>
              <w:rPr>
                <w:sz w:val="20"/>
                <w:szCs w:val="20"/>
                <w:color w:val="auto"/>
              </w:rPr>
            </w:pPr>
            <w:r>
              <w:rPr>
                <w:rFonts w:ascii="Times New Roman" w:cs="Times New Roman" w:eastAsia="Times New Roman" w:hAnsi="Times New Roman"/>
                <w:sz w:val="17"/>
                <w:szCs w:val="17"/>
                <w:color w:val="auto"/>
              </w:rPr>
              <w:t>500 First Street</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National</w:t>
            </w:r>
          </w:p>
        </w:tc>
        <w:tc>
          <w:tcPr>
            <w:tcW w:w="16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Pittsburgh, PA 15219</w:t>
            </w:r>
          </w:p>
        </w:tc>
        <w:tc>
          <w:tcPr>
            <w:tcW w:w="3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Pittsburgh, PA 15219</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Association</w:t>
            </w:r>
          </w:p>
        </w:tc>
        <w:tc>
          <w:tcPr>
            <w:tcW w:w="16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Attn: Kelly Dicicco, Loan Administrator</w:t>
            </w:r>
          </w:p>
        </w:tc>
        <w:tc>
          <w:tcPr>
            <w:tcW w:w="3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Attn: Kelly Dicicco, Loan Administrator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Telephone: 412-768-2916</w:t>
            </w:r>
          </w:p>
        </w:tc>
        <w:tc>
          <w:tcPr>
            <w:tcW w:w="3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Telephone: 412-768-2916</w:t>
            </w:r>
          </w:p>
        </w:tc>
        <w:tc>
          <w:tcPr>
            <w:tcW w:w="0" w:type="dxa"/>
            <w:vAlign w:val="bottom"/>
          </w:tcPr>
          <w:p>
            <w:pPr>
              <w:spacing w:after="0"/>
              <w:rPr>
                <w:sz w:val="1"/>
                <w:szCs w:val="1"/>
                <w:color w:val="auto"/>
              </w:rPr>
            </w:pPr>
          </w:p>
        </w:tc>
      </w:tr>
      <w:tr>
        <w:trPr>
          <w:trHeight w:val="234"/>
        </w:trPr>
        <w:tc>
          <w:tcPr>
            <w:tcW w:w="1520" w:type="dxa"/>
            <w:vAlign w:val="bottom"/>
            <w:tcBorders>
              <w:left w:val="single" w:sz="8" w:color="auto"/>
              <w:bottom w:val="single" w:sz="8" w:color="auto"/>
              <w:right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Facsimile: 412-705-2125</w:t>
            </w:r>
          </w:p>
        </w:tc>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Facsimile: 412-705-2125</w:t>
            </w:r>
          </w:p>
        </w:tc>
        <w:tc>
          <w:tcPr>
            <w:tcW w:w="0" w:type="dxa"/>
            <w:vAlign w:val="bottom"/>
          </w:tcPr>
          <w:p>
            <w:pPr>
              <w:spacing w:after="0"/>
              <w:rPr>
                <w:sz w:val="1"/>
                <w:szCs w:val="1"/>
                <w:color w:val="auto"/>
              </w:rPr>
            </w:pPr>
          </w:p>
        </w:tc>
      </w:tr>
      <w:tr>
        <w:trPr>
          <w:trHeight w:val="191"/>
        </w:trPr>
        <w:tc>
          <w:tcPr>
            <w:tcW w:w="15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Wells Fargo</w:t>
            </w:r>
          </w:p>
        </w:tc>
        <w:tc>
          <w:tcPr>
            <w:tcW w:w="1660" w:type="dxa"/>
            <w:vAlign w:val="bottom"/>
          </w:tcPr>
          <w:p>
            <w:pPr>
              <w:jc w:val="center"/>
              <w:ind w:left="471"/>
              <w:spacing w:after="0" w:line="191" w:lineRule="exact"/>
              <w:rPr>
                <w:sz w:val="20"/>
                <w:szCs w:val="20"/>
                <w:color w:val="auto"/>
              </w:rPr>
            </w:pPr>
            <w:r>
              <w:rPr>
                <w:rFonts w:ascii="Times New Roman" w:cs="Times New Roman" w:eastAsia="Times New Roman" w:hAnsi="Times New Roman"/>
                <w:sz w:val="18"/>
                <w:szCs w:val="18"/>
                <w:color w:val="auto"/>
                <w:w w:val="99"/>
              </w:rPr>
              <w:t>$30,000,000</w:t>
            </w:r>
          </w:p>
        </w:tc>
        <w:tc>
          <w:tcPr>
            <w:tcW w:w="580" w:type="dxa"/>
            <w:vAlign w:val="bottom"/>
            <w:tcBorders>
              <w:right w:val="single" w:sz="8" w:color="auto"/>
            </w:tcBorders>
          </w:tcPr>
          <w:p>
            <w:pPr>
              <w:spacing w:after="0"/>
              <w:rPr>
                <w:sz w:val="16"/>
                <w:szCs w:val="16"/>
                <w:color w:val="auto"/>
              </w:rPr>
            </w:pPr>
          </w:p>
        </w:tc>
        <w:tc>
          <w:tcPr>
            <w:tcW w:w="38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7"/>
                <w:szCs w:val="17"/>
                <w:color w:val="auto"/>
              </w:rPr>
              <w:t>550 South Tryon Street, 22</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7"/>
                <w:szCs w:val="17"/>
                <w:color w:val="auto"/>
              </w:rPr>
              <w:t xml:space="preserve"> Floor</w:t>
            </w:r>
          </w:p>
        </w:tc>
        <w:tc>
          <w:tcPr>
            <w:tcW w:w="36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7"/>
                <w:szCs w:val="17"/>
                <w:color w:val="auto"/>
              </w:rPr>
              <w:t>550 South Tryon Street, 22</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7"/>
                <w:szCs w:val="17"/>
                <w:color w:val="auto"/>
              </w:rPr>
              <w:t xml:space="preserve"> Floor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Bank, N.A.</w:t>
            </w:r>
          </w:p>
        </w:tc>
        <w:tc>
          <w:tcPr>
            <w:tcW w:w="16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Charlotte, NC 28202</w:t>
            </w:r>
          </w:p>
        </w:tc>
        <w:tc>
          <w:tcPr>
            <w:tcW w:w="3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Charlotte, NC 28202</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Attn: Oliver Woodruff</w:t>
            </w:r>
          </w:p>
        </w:tc>
        <w:tc>
          <w:tcPr>
            <w:tcW w:w="3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Attn: Oliver Woodruff</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Telephone: 704-410-1346</w:t>
            </w:r>
          </w:p>
        </w:tc>
        <w:tc>
          <w:tcPr>
            <w:tcW w:w="3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Telephone: 704-410-1346</w:t>
            </w:r>
          </w:p>
        </w:tc>
        <w:tc>
          <w:tcPr>
            <w:tcW w:w="0" w:type="dxa"/>
            <w:vAlign w:val="bottom"/>
          </w:tcPr>
          <w:p>
            <w:pPr>
              <w:spacing w:after="0"/>
              <w:rPr>
                <w:sz w:val="1"/>
                <w:szCs w:val="1"/>
                <w:color w:val="auto"/>
              </w:rPr>
            </w:pPr>
          </w:p>
        </w:tc>
      </w:tr>
      <w:tr>
        <w:trPr>
          <w:trHeight w:val="234"/>
        </w:trPr>
        <w:tc>
          <w:tcPr>
            <w:tcW w:w="1520" w:type="dxa"/>
            <w:vAlign w:val="bottom"/>
            <w:tcBorders>
              <w:left w:val="single" w:sz="8" w:color="auto"/>
              <w:bottom w:val="single" w:sz="8" w:color="auto"/>
              <w:right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Email: Oliver.Woodruff @wellsfargo.com</w:t>
            </w:r>
          </w:p>
        </w:tc>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Email: Oliver.Woodruff @wellsfargo.com</w:t>
            </w:r>
          </w:p>
        </w:tc>
        <w:tc>
          <w:tcPr>
            <w:tcW w:w="0" w:type="dxa"/>
            <w:vAlign w:val="bottom"/>
          </w:tcPr>
          <w:p>
            <w:pPr>
              <w:spacing w:after="0"/>
              <w:rPr>
                <w:sz w:val="1"/>
                <w:szCs w:val="1"/>
                <w:color w:val="auto"/>
              </w:rPr>
            </w:pPr>
          </w:p>
        </w:tc>
      </w:tr>
      <w:tr>
        <w:trPr>
          <w:trHeight w:val="191"/>
        </w:trPr>
        <w:tc>
          <w:tcPr>
            <w:tcW w:w="15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Truist Bank</w:t>
            </w:r>
          </w:p>
        </w:tc>
        <w:tc>
          <w:tcPr>
            <w:tcW w:w="1660" w:type="dxa"/>
            <w:vAlign w:val="bottom"/>
          </w:tcPr>
          <w:p>
            <w:pPr>
              <w:jc w:val="center"/>
              <w:ind w:left="471"/>
              <w:spacing w:after="0" w:line="191" w:lineRule="exact"/>
              <w:rPr>
                <w:sz w:val="20"/>
                <w:szCs w:val="20"/>
                <w:color w:val="auto"/>
              </w:rPr>
            </w:pPr>
            <w:r>
              <w:rPr>
                <w:rFonts w:ascii="Times New Roman" w:cs="Times New Roman" w:eastAsia="Times New Roman" w:hAnsi="Times New Roman"/>
                <w:sz w:val="18"/>
                <w:szCs w:val="18"/>
                <w:color w:val="auto"/>
                <w:w w:val="99"/>
              </w:rPr>
              <w:t>$47,000,000</w:t>
            </w:r>
          </w:p>
        </w:tc>
        <w:tc>
          <w:tcPr>
            <w:tcW w:w="580" w:type="dxa"/>
            <w:vAlign w:val="bottom"/>
            <w:tcBorders>
              <w:right w:val="single" w:sz="8" w:color="auto"/>
            </w:tcBorders>
          </w:tcPr>
          <w:p>
            <w:pPr>
              <w:spacing w:after="0"/>
              <w:rPr>
                <w:sz w:val="16"/>
                <w:szCs w:val="16"/>
                <w:color w:val="auto"/>
              </w:rPr>
            </w:pPr>
          </w:p>
        </w:tc>
        <w:tc>
          <w:tcPr>
            <w:tcW w:w="38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110 S. Stratford Road</w:t>
            </w:r>
          </w:p>
        </w:tc>
        <w:tc>
          <w:tcPr>
            <w:tcW w:w="36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110 S. Stratford Road</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Winston Salem, NC 27104</w:t>
            </w:r>
          </w:p>
        </w:tc>
        <w:tc>
          <w:tcPr>
            <w:tcW w:w="3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Winston Salem, NC 27104</w:t>
            </w:r>
          </w:p>
        </w:tc>
        <w:tc>
          <w:tcPr>
            <w:tcW w:w="0" w:type="dxa"/>
            <w:vAlign w:val="bottom"/>
          </w:tcPr>
          <w:p>
            <w:pPr>
              <w:spacing w:after="0"/>
              <w:rPr>
                <w:sz w:val="1"/>
                <w:szCs w:val="1"/>
                <w:color w:val="auto"/>
              </w:rPr>
            </w:pPr>
          </w:p>
        </w:tc>
      </w:tr>
      <w:tr>
        <w:trPr>
          <w:trHeight w:val="234"/>
        </w:trPr>
        <w:tc>
          <w:tcPr>
            <w:tcW w:w="1520" w:type="dxa"/>
            <w:vAlign w:val="bottom"/>
            <w:tcBorders>
              <w:left w:val="single" w:sz="8" w:color="auto"/>
              <w:bottom w:val="single" w:sz="8" w:color="auto"/>
              <w:right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Email: CapitalMarkets-W-S@truist.com</w:t>
            </w:r>
          </w:p>
        </w:tc>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Email: CapitalMarkets-W-S@truist.com</w:t>
            </w:r>
          </w:p>
        </w:tc>
        <w:tc>
          <w:tcPr>
            <w:tcW w:w="0" w:type="dxa"/>
            <w:vAlign w:val="bottom"/>
          </w:tcPr>
          <w:p>
            <w:pPr>
              <w:spacing w:after="0"/>
              <w:rPr>
                <w:sz w:val="1"/>
                <w:szCs w:val="1"/>
                <w:color w:val="auto"/>
              </w:rPr>
            </w:pPr>
          </w:p>
        </w:tc>
      </w:tr>
      <w:tr>
        <w:trPr>
          <w:trHeight w:val="191"/>
        </w:trPr>
        <w:tc>
          <w:tcPr>
            <w:tcW w:w="15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Raymond James</w:t>
            </w:r>
          </w:p>
        </w:tc>
        <w:tc>
          <w:tcPr>
            <w:tcW w:w="1660" w:type="dxa"/>
            <w:vAlign w:val="bottom"/>
          </w:tcPr>
          <w:p>
            <w:pPr>
              <w:jc w:val="center"/>
              <w:ind w:left="471"/>
              <w:spacing w:after="0" w:line="191" w:lineRule="exact"/>
              <w:rPr>
                <w:sz w:val="20"/>
                <w:szCs w:val="20"/>
                <w:color w:val="auto"/>
              </w:rPr>
            </w:pPr>
            <w:r>
              <w:rPr>
                <w:rFonts w:ascii="Times New Roman" w:cs="Times New Roman" w:eastAsia="Times New Roman" w:hAnsi="Times New Roman"/>
                <w:sz w:val="18"/>
                <w:szCs w:val="18"/>
                <w:color w:val="auto"/>
                <w:w w:val="99"/>
              </w:rPr>
              <w:t>$12,000,000</w:t>
            </w:r>
          </w:p>
        </w:tc>
        <w:tc>
          <w:tcPr>
            <w:tcW w:w="580" w:type="dxa"/>
            <w:vAlign w:val="bottom"/>
            <w:tcBorders>
              <w:right w:val="single" w:sz="8" w:color="auto"/>
            </w:tcBorders>
          </w:tcPr>
          <w:p>
            <w:pPr>
              <w:spacing w:after="0"/>
              <w:rPr>
                <w:sz w:val="16"/>
                <w:szCs w:val="16"/>
                <w:color w:val="auto"/>
              </w:rPr>
            </w:pPr>
          </w:p>
        </w:tc>
        <w:tc>
          <w:tcPr>
            <w:tcW w:w="3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710 Carillon Parkway</w:t>
            </w:r>
          </w:p>
        </w:tc>
        <w:tc>
          <w:tcPr>
            <w:tcW w:w="36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710 Carillon Parkway</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Bank, N.A.</w:t>
            </w:r>
          </w:p>
        </w:tc>
        <w:tc>
          <w:tcPr>
            <w:tcW w:w="16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3820" w:type="dxa"/>
            <w:vAlign w:val="bottom"/>
            <w:tcBorders>
              <w:right w:val="single" w:sz="8" w:color="auto"/>
            </w:tcBorders>
            <w:vMerge w:val="continue"/>
          </w:tcPr>
          <w:p>
            <w:pPr>
              <w:spacing w:after="0"/>
              <w:rPr>
                <w:sz w:val="9"/>
                <w:szCs w:val="9"/>
                <w:color w:val="auto"/>
              </w:rPr>
            </w:pPr>
          </w:p>
        </w:tc>
        <w:tc>
          <w:tcPr>
            <w:tcW w:w="36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St. Petersburg, FL 33716</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vMerge w:val="continue"/>
          </w:tcPr>
          <w:p>
            <w:pPr>
              <w:spacing w:after="0"/>
              <w:rPr>
                <w:sz w:val="9"/>
                <w:szCs w:val="9"/>
                <w:color w:val="auto"/>
              </w:rPr>
            </w:pPr>
          </w:p>
        </w:tc>
        <w:tc>
          <w:tcPr>
            <w:tcW w:w="16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3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St. Petersburg, FL 33716</w:t>
            </w:r>
          </w:p>
        </w:tc>
        <w:tc>
          <w:tcPr>
            <w:tcW w:w="3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3820" w:type="dxa"/>
            <w:vAlign w:val="bottom"/>
            <w:tcBorders>
              <w:right w:val="single" w:sz="8" w:color="auto"/>
            </w:tcBorders>
            <w:vMerge w:val="continue"/>
          </w:tcPr>
          <w:p>
            <w:pPr>
              <w:spacing w:after="0"/>
              <w:rPr>
                <w:sz w:val="9"/>
                <w:szCs w:val="9"/>
                <w:color w:val="auto"/>
              </w:rPr>
            </w:pPr>
          </w:p>
        </w:tc>
        <w:tc>
          <w:tcPr>
            <w:tcW w:w="36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Attn: Loan Ops/CML</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3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Attn: Loan Ops/CML</w:t>
            </w:r>
          </w:p>
        </w:tc>
        <w:tc>
          <w:tcPr>
            <w:tcW w:w="3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3820" w:type="dxa"/>
            <w:vAlign w:val="bottom"/>
            <w:tcBorders>
              <w:right w:val="single" w:sz="8" w:color="auto"/>
            </w:tcBorders>
            <w:vMerge w:val="continue"/>
          </w:tcPr>
          <w:p>
            <w:pPr>
              <w:spacing w:after="0"/>
              <w:rPr>
                <w:sz w:val="9"/>
                <w:szCs w:val="9"/>
                <w:color w:val="auto"/>
              </w:rPr>
            </w:pPr>
          </w:p>
        </w:tc>
        <w:tc>
          <w:tcPr>
            <w:tcW w:w="36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Telephone: 727-567-1861; 727-567-1922</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3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Telephone: 727-567-1861; 727-567-1922</w:t>
            </w:r>
          </w:p>
        </w:tc>
        <w:tc>
          <w:tcPr>
            <w:tcW w:w="3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3820" w:type="dxa"/>
            <w:vAlign w:val="bottom"/>
            <w:tcBorders>
              <w:right w:val="single" w:sz="8" w:color="auto"/>
            </w:tcBorders>
            <w:vMerge w:val="continue"/>
          </w:tcPr>
          <w:p>
            <w:pPr>
              <w:spacing w:after="0"/>
              <w:rPr>
                <w:sz w:val="9"/>
                <w:szCs w:val="9"/>
                <w:color w:val="auto"/>
              </w:rPr>
            </w:pPr>
          </w:p>
        </w:tc>
        <w:tc>
          <w:tcPr>
            <w:tcW w:w="36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Facsimile: 866-597-4002</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3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Facsimile: 866-597-4002</w:t>
            </w:r>
          </w:p>
        </w:tc>
        <w:tc>
          <w:tcPr>
            <w:tcW w:w="3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3820" w:type="dxa"/>
            <w:vAlign w:val="bottom"/>
            <w:tcBorders>
              <w:right w:val="single" w:sz="8" w:color="auto"/>
            </w:tcBorders>
            <w:vMerge w:val="continue"/>
          </w:tcPr>
          <w:p>
            <w:pPr>
              <w:spacing w:after="0"/>
              <w:rPr>
                <w:sz w:val="9"/>
                <w:szCs w:val="9"/>
                <w:color w:val="auto"/>
              </w:rPr>
            </w:pPr>
          </w:p>
        </w:tc>
        <w:tc>
          <w:tcPr>
            <w:tcW w:w="36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Email:</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3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Email: rjbankloanopscorp@raymondjames.com</w:t>
            </w:r>
          </w:p>
        </w:tc>
        <w:tc>
          <w:tcPr>
            <w:tcW w:w="3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520" w:type="dxa"/>
            <w:vAlign w:val="bottom"/>
            <w:tcBorders>
              <w:left w:val="single" w:sz="8" w:color="auto"/>
              <w:right w:val="single" w:sz="8" w:color="auto"/>
            </w:tcBorders>
          </w:tcPr>
          <w:p>
            <w:pPr>
              <w:spacing w:after="0"/>
              <w:rPr>
                <w:sz w:val="10"/>
                <w:szCs w:val="10"/>
                <w:color w:val="auto"/>
              </w:rPr>
            </w:pPr>
          </w:p>
        </w:tc>
        <w:tc>
          <w:tcPr>
            <w:tcW w:w="166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3820" w:type="dxa"/>
            <w:vAlign w:val="bottom"/>
            <w:tcBorders>
              <w:right w:val="single" w:sz="8" w:color="auto"/>
            </w:tcBorders>
            <w:vMerge w:val="continue"/>
          </w:tcPr>
          <w:p>
            <w:pPr>
              <w:spacing w:after="0"/>
              <w:rPr>
                <w:sz w:val="10"/>
                <w:szCs w:val="10"/>
                <w:color w:val="auto"/>
              </w:rPr>
            </w:pPr>
          </w:p>
        </w:tc>
        <w:tc>
          <w:tcPr>
            <w:tcW w:w="366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rjbankloanopscorp@raymondjames.com</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bottom w:val="single" w:sz="8" w:color="auto"/>
              <w:right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3820" w:type="dxa"/>
            <w:vAlign w:val="bottom"/>
            <w:tcBorders>
              <w:bottom w:val="single" w:sz="8" w:color="auto"/>
              <w:right w:val="single" w:sz="8" w:color="auto"/>
            </w:tcBorders>
          </w:tcPr>
          <w:p>
            <w:pPr>
              <w:spacing w:after="0"/>
              <w:rPr>
                <w:sz w:val="9"/>
                <w:szCs w:val="9"/>
                <w:color w:val="auto"/>
              </w:rPr>
            </w:pPr>
          </w:p>
        </w:tc>
        <w:tc>
          <w:tcPr>
            <w:tcW w:w="36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5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U.S. Bank</w:t>
            </w:r>
          </w:p>
        </w:tc>
        <w:tc>
          <w:tcPr>
            <w:tcW w:w="1660" w:type="dxa"/>
            <w:vAlign w:val="bottom"/>
          </w:tcPr>
          <w:p>
            <w:pPr>
              <w:jc w:val="center"/>
              <w:ind w:left="471"/>
              <w:spacing w:after="0" w:line="191" w:lineRule="exact"/>
              <w:rPr>
                <w:sz w:val="20"/>
                <w:szCs w:val="20"/>
                <w:color w:val="auto"/>
              </w:rPr>
            </w:pPr>
            <w:r>
              <w:rPr>
                <w:rFonts w:ascii="Times New Roman" w:cs="Times New Roman" w:eastAsia="Times New Roman" w:hAnsi="Times New Roman"/>
                <w:sz w:val="18"/>
                <w:szCs w:val="18"/>
                <w:color w:val="auto"/>
                <w:w w:val="99"/>
              </w:rPr>
              <w:t>$47,000,000</w:t>
            </w:r>
          </w:p>
        </w:tc>
        <w:tc>
          <w:tcPr>
            <w:tcW w:w="580" w:type="dxa"/>
            <w:vAlign w:val="bottom"/>
            <w:tcBorders>
              <w:right w:val="single" w:sz="8" w:color="auto"/>
            </w:tcBorders>
          </w:tcPr>
          <w:p>
            <w:pPr>
              <w:spacing w:after="0"/>
              <w:rPr>
                <w:sz w:val="16"/>
                <w:szCs w:val="16"/>
                <w:color w:val="auto"/>
              </w:rPr>
            </w:pPr>
          </w:p>
        </w:tc>
        <w:tc>
          <w:tcPr>
            <w:tcW w:w="3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CLS Syndication Services Team</w:t>
            </w:r>
          </w:p>
        </w:tc>
        <w:tc>
          <w:tcPr>
            <w:tcW w:w="36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CLS Syndication Services Team</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National</w:t>
            </w:r>
          </w:p>
        </w:tc>
        <w:tc>
          <w:tcPr>
            <w:tcW w:w="16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3820" w:type="dxa"/>
            <w:vAlign w:val="bottom"/>
            <w:tcBorders>
              <w:right w:val="single" w:sz="8" w:color="auto"/>
            </w:tcBorders>
            <w:vMerge w:val="continue"/>
          </w:tcPr>
          <w:p>
            <w:pPr>
              <w:spacing w:after="0"/>
              <w:rPr>
                <w:sz w:val="9"/>
                <w:szCs w:val="9"/>
                <w:color w:val="auto"/>
              </w:rPr>
            </w:pPr>
          </w:p>
        </w:tc>
        <w:tc>
          <w:tcPr>
            <w:tcW w:w="36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Telephone: 920-237-7601</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vMerge w:val="continue"/>
          </w:tcPr>
          <w:p>
            <w:pPr>
              <w:spacing w:after="0"/>
              <w:rPr>
                <w:sz w:val="9"/>
                <w:szCs w:val="9"/>
                <w:color w:val="auto"/>
              </w:rPr>
            </w:pPr>
          </w:p>
        </w:tc>
        <w:tc>
          <w:tcPr>
            <w:tcW w:w="16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3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Telephone: 920-237-7601</w:t>
            </w:r>
          </w:p>
        </w:tc>
        <w:tc>
          <w:tcPr>
            <w:tcW w:w="3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Association</w:t>
            </w:r>
          </w:p>
        </w:tc>
        <w:tc>
          <w:tcPr>
            <w:tcW w:w="16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3820" w:type="dxa"/>
            <w:vAlign w:val="bottom"/>
            <w:tcBorders>
              <w:right w:val="single" w:sz="8" w:color="auto"/>
            </w:tcBorders>
            <w:vMerge w:val="continue"/>
          </w:tcPr>
          <w:p>
            <w:pPr>
              <w:spacing w:after="0"/>
              <w:rPr>
                <w:sz w:val="9"/>
                <w:szCs w:val="9"/>
                <w:color w:val="auto"/>
              </w:rPr>
            </w:pPr>
          </w:p>
        </w:tc>
        <w:tc>
          <w:tcPr>
            <w:tcW w:w="36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Facsimile: 920-237-7993</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vMerge w:val="continue"/>
          </w:tcPr>
          <w:p>
            <w:pPr>
              <w:spacing w:after="0"/>
              <w:rPr>
                <w:sz w:val="9"/>
                <w:szCs w:val="9"/>
                <w:color w:val="auto"/>
              </w:rPr>
            </w:pPr>
          </w:p>
        </w:tc>
        <w:tc>
          <w:tcPr>
            <w:tcW w:w="16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3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Facsimile: 920-237-7993</w:t>
            </w:r>
          </w:p>
        </w:tc>
        <w:tc>
          <w:tcPr>
            <w:tcW w:w="3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3820" w:type="dxa"/>
            <w:vAlign w:val="bottom"/>
            <w:tcBorders>
              <w:right w:val="single" w:sz="8" w:color="auto"/>
            </w:tcBorders>
            <w:vMerge w:val="continue"/>
          </w:tcPr>
          <w:p>
            <w:pPr>
              <w:spacing w:after="0"/>
              <w:rPr>
                <w:sz w:val="9"/>
                <w:szCs w:val="9"/>
                <w:color w:val="auto"/>
              </w:rPr>
            </w:pPr>
          </w:p>
        </w:tc>
        <w:tc>
          <w:tcPr>
            <w:tcW w:w="36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Email:</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38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Email: clssyndicationservicesteam@usbank.com</w:t>
            </w:r>
          </w:p>
        </w:tc>
        <w:tc>
          <w:tcPr>
            <w:tcW w:w="3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520" w:type="dxa"/>
            <w:vAlign w:val="bottom"/>
            <w:tcBorders>
              <w:left w:val="single" w:sz="8" w:color="auto"/>
              <w:right w:val="single" w:sz="8" w:color="auto"/>
            </w:tcBorders>
          </w:tcPr>
          <w:p>
            <w:pPr>
              <w:spacing w:after="0"/>
              <w:rPr>
                <w:sz w:val="10"/>
                <w:szCs w:val="10"/>
                <w:color w:val="auto"/>
              </w:rPr>
            </w:pPr>
          </w:p>
        </w:tc>
        <w:tc>
          <w:tcPr>
            <w:tcW w:w="166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3820" w:type="dxa"/>
            <w:vAlign w:val="bottom"/>
            <w:tcBorders>
              <w:right w:val="single" w:sz="8" w:color="auto"/>
            </w:tcBorders>
            <w:vMerge w:val="continue"/>
          </w:tcPr>
          <w:p>
            <w:pPr>
              <w:spacing w:after="0"/>
              <w:rPr>
                <w:sz w:val="10"/>
                <w:szCs w:val="10"/>
                <w:color w:val="auto"/>
              </w:rPr>
            </w:pPr>
          </w:p>
        </w:tc>
        <w:tc>
          <w:tcPr>
            <w:tcW w:w="366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clssyndicationservicesteam@usbank.com</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bottom w:val="single" w:sz="8" w:color="auto"/>
              <w:right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3820" w:type="dxa"/>
            <w:vAlign w:val="bottom"/>
            <w:tcBorders>
              <w:bottom w:val="single" w:sz="8" w:color="auto"/>
              <w:right w:val="single" w:sz="8" w:color="auto"/>
            </w:tcBorders>
          </w:tcPr>
          <w:p>
            <w:pPr>
              <w:spacing w:after="0"/>
              <w:rPr>
                <w:sz w:val="9"/>
                <w:szCs w:val="9"/>
                <w:color w:val="auto"/>
              </w:rPr>
            </w:pPr>
          </w:p>
        </w:tc>
        <w:tc>
          <w:tcPr>
            <w:tcW w:w="36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5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Banco De</w:t>
            </w:r>
          </w:p>
        </w:tc>
        <w:tc>
          <w:tcPr>
            <w:tcW w:w="1660" w:type="dxa"/>
            <w:vAlign w:val="bottom"/>
          </w:tcPr>
          <w:p>
            <w:pPr>
              <w:jc w:val="center"/>
              <w:ind w:left="471"/>
              <w:spacing w:after="0" w:line="191" w:lineRule="exact"/>
              <w:rPr>
                <w:sz w:val="20"/>
                <w:szCs w:val="20"/>
                <w:color w:val="auto"/>
              </w:rPr>
            </w:pPr>
            <w:r>
              <w:rPr>
                <w:rFonts w:ascii="Times New Roman" w:cs="Times New Roman" w:eastAsia="Times New Roman" w:hAnsi="Times New Roman"/>
                <w:sz w:val="18"/>
                <w:szCs w:val="18"/>
                <w:color w:val="auto"/>
                <w:w w:val="99"/>
              </w:rPr>
              <w:t>$14,000,000</w:t>
            </w:r>
          </w:p>
        </w:tc>
        <w:tc>
          <w:tcPr>
            <w:tcW w:w="580" w:type="dxa"/>
            <w:vAlign w:val="bottom"/>
            <w:tcBorders>
              <w:right w:val="single" w:sz="8" w:color="auto"/>
            </w:tcBorders>
          </w:tcPr>
          <w:p>
            <w:pPr>
              <w:spacing w:after="0"/>
              <w:rPr>
                <w:sz w:val="16"/>
                <w:szCs w:val="16"/>
                <w:color w:val="auto"/>
              </w:rPr>
            </w:pPr>
          </w:p>
        </w:tc>
        <w:tc>
          <w:tcPr>
            <w:tcW w:w="38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Banco de Sabadell, S.A., Miami Branch</w:t>
            </w:r>
          </w:p>
        </w:tc>
        <w:tc>
          <w:tcPr>
            <w:tcW w:w="36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Banco de Sabadell, S.A., Miami Branch</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Sabadell, S.A.,</w:t>
            </w:r>
          </w:p>
        </w:tc>
        <w:tc>
          <w:tcPr>
            <w:tcW w:w="16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(BSABUS3X)</w:t>
            </w:r>
          </w:p>
        </w:tc>
        <w:tc>
          <w:tcPr>
            <w:tcW w:w="36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(BSABUS3X)</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Miami Branch</w:t>
            </w:r>
          </w:p>
        </w:tc>
        <w:tc>
          <w:tcPr>
            <w:tcW w:w="16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1111 Brickell Ave., Suite 3010</w:t>
            </w:r>
          </w:p>
        </w:tc>
        <w:tc>
          <w:tcPr>
            <w:tcW w:w="3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1111 Brickell Ave., Suite 3010</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Miami, FL 33131</w:t>
            </w:r>
          </w:p>
        </w:tc>
        <w:tc>
          <w:tcPr>
            <w:tcW w:w="3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Miami, FL 33131</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Email: mayoroberto@sabadellbank.com;</w:t>
            </w:r>
          </w:p>
        </w:tc>
        <w:tc>
          <w:tcPr>
            <w:tcW w:w="3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Email: mayoroberto@sabadellbank.com;</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middleoffice@sabadellbank.com;</w:t>
            </w:r>
          </w:p>
        </w:tc>
        <w:tc>
          <w:tcPr>
            <w:tcW w:w="3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middleoffice@sabadellbank.com;</w:t>
            </w:r>
          </w:p>
        </w:tc>
        <w:tc>
          <w:tcPr>
            <w:tcW w:w="0" w:type="dxa"/>
            <w:vAlign w:val="bottom"/>
          </w:tcPr>
          <w:p>
            <w:pPr>
              <w:spacing w:after="0"/>
              <w:rPr>
                <w:sz w:val="1"/>
                <w:szCs w:val="1"/>
                <w:color w:val="auto"/>
              </w:rPr>
            </w:pPr>
          </w:p>
        </w:tc>
      </w:tr>
      <w:tr>
        <w:trPr>
          <w:trHeight w:val="234"/>
        </w:trPr>
        <w:tc>
          <w:tcPr>
            <w:tcW w:w="1520" w:type="dxa"/>
            <w:vAlign w:val="bottom"/>
            <w:tcBorders>
              <w:left w:val="single" w:sz="8" w:color="auto"/>
              <w:bottom w:val="single" w:sz="8" w:color="auto"/>
              <w:right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renata.rojas@sabadellbank.com</w:t>
            </w:r>
          </w:p>
        </w:tc>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renata.rojas@sabadellbank.com</w:t>
            </w:r>
          </w:p>
        </w:tc>
        <w:tc>
          <w:tcPr>
            <w:tcW w:w="0" w:type="dxa"/>
            <w:vAlign w:val="bottom"/>
          </w:tcPr>
          <w:p>
            <w:pPr>
              <w:spacing w:after="0"/>
              <w:rPr>
                <w:sz w:val="1"/>
                <w:szCs w:val="1"/>
                <w:color w:val="auto"/>
              </w:rPr>
            </w:pPr>
          </w:p>
        </w:tc>
      </w:tr>
      <w:tr>
        <w:trPr>
          <w:trHeight w:val="243"/>
        </w:trPr>
        <w:tc>
          <w:tcPr>
            <w:tcW w:w="1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224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$200,000,000</w:t>
            </w:r>
          </w:p>
        </w:tc>
        <w:tc>
          <w:tcPr>
            <w:tcW w:w="3820" w:type="dxa"/>
            <w:vAlign w:val="bottom"/>
            <w:tcBorders>
              <w:bottom w:val="single" w:sz="8" w:color="auto"/>
            </w:tcBorders>
          </w:tcPr>
          <w:p>
            <w:pPr>
              <w:spacing w:after="0"/>
              <w:rPr>
                <w:sz w:val="21"/>
                <w:szCs w:val="21"/>
                <w:color w:val="auto"/>
              </w:rPr>
            </w:pPr>
          </w:p>
        </w:tc>
        <w:tc>
          <w:tcPr>
            <w:tcW w:w="36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27"/>
        </w:trPr>
        <w:tc>
          <w:tcPr>
            <w:tcW w:w="15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2" w:name="page143"/>
    <w:bookmarkEnd w:id="142"/>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340" w:type="dxa"/>
            <w:vAlign w:val="bottom"/>
            <w:gridSpan w:val="2"/>
          </w:tcPr>
          <w:p>
            <w:pPr>
              <w:ind w:left="260"/>
              <w:spacing w:after="0"/>
              <w:rPr>
                <w:sz w:val="20"/>
                <w:szCs w:val="20"/>
                <w:color w:val="auto"/>
              </w:rPr>
            </w:pPr>
            <w:r>
              <w:rPr>
                <w:rFonts w:ascii="Arial" w:cs="Arial" w:eastAsia="Arial" w:hAnsi="Arial"/>
                <w:sz w:val="25"/>
                <w:szCs w:val="25"/>
                <w:b w:val="1"/>
                <w:bCs w:val="1"/>
                <w:color w:val="1F3763"/>
              </w:rPr>
              <w:t>EASTERLY GOVERNMENT PROPERTIES</w:t>
            </w:r>
          </w:p>
        </w:tc>
      </w:tr>
      <w:tr>
        <w:trPr>
          <w:trHeight w:val="345"/>
        </w:trPr>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340" w:type="dxa"/>
            <w:vAlign w:val="bottom"/>
            <w:gridSpan w:val="2"/>
          </w:tcPr>
          <w:p>
            <w:pPr>
              <w:ind w:left="560"/>
              <w:spacing w:after="0"/>
              <w:rPr>
                <w:sz w:val="20"/>
                <w:szCs w:val="20"/>
                <w:color w:val="auto"/>
              </w:rPr>
            </w:pPr>
            <w:r>
              <w:rPr>
                <w:rFonts w:ascii="Arial" w:cs="Arial" w:eastAsia="Arial" w:hAnsi="Arial"/>
                <w:sz w:val="22"/>
                <w:szCs w:val="22"/>
                <w:b w:val="1"/>
                <w:bCs w:val="1"/>
                <w:color w:val="1F3763"/>
              </w:rPr>
              <w:t>SCHEDULE II - UNENCUMBERED ASSETS</w:t>
            </w:r>
          </w:p>
        </w:tc>
      </w:tr>
      <w:tr>
        <w:trPr>
          <w:trHeight w:val="176"/>
        </w:trPr>
        <w:tc>
          <w:tcPr>
            <w:tcW w:w="3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tcPr>
          <w:p>
            <w:pPr>
              <w:spacing w:after="0"/>
              <w:rPr>
                <w:sz w:val="15"/>
                <w:szCs w:val="15"/>
                <w:color w:val="auto"/>
              </w:rPr>
            </w:pPr>
          </w:p>
        </w:tc>
        <w:tc>
          <w:tcPr>
            <w:tcW w:w="796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r>
      <w:tr>
        <w:trPr>
          <w:trHeight w:val="304"/>
        </w:trPr>
        <w:tc>
          <w:tcPr>
            <w:tcW w:w="300" w:type="dxa"/>
            <w:vAlign w:val="bottom"/>
          </w:tcPr>
          <w:p>
            <w:pPr>
              <w:spacing w:after="0"/>
              <w:rPr>
                <w:sz w:val="24"/>
                <w:szCs w:val="24"/>
                <w:color w:val="auto"/>
              </w:rPr>
            </w:pPr>
          </w:p>
        </w:tc>
        <w:tc>
          <w:tcPr>
            <w:tcW w:w="240" w:type="dxa"/>
            <w:vAlign w:val="bottom"/>
            <w:tcBorders>
              <w:bottom w:val="single" w:sz="8" w:color="auto"/>
            </w:tcBorders>
            <w:shd w:val="clear" w:color="auto" w:fill="1F3763"/>
          </w:tcPr>
          <w:p>
            <w:pPr>
              <w:spacing w:after="0"/>
              <w:rPr>
                <w:sz w:val="24"/>
                <w:szCs w:val="24"/>
                <w:color w:val="auto"/>
              </w:rPr>
            </w:pPr>
          </w:p>
        </w:tc>
        <w:tc>
          <w:tcPr>
            <w:tcW w:w="2360" w:type="dxa"/>
            <w:vAlign w:val="bottom"/>
            <w:tcBorders>
              <w:bottom w:val="single" w:sz="8" w:color="auto"/>
            </w:tcBorders>
            <w:shd w:val="clear" w:color="auto" w:fill="1F3763"/>
          </w:tcPr>
          <w:p>
            <w:pPr>
              <w:spacing w:after="0"/>
              <w:rPr>
                <w:sz w:val="20"/>
                <w:szCs w:val="20"/>
                <w:color w:val="auto"/>
              </w:rPr>
            </w:pPr>
            <w:r>
              <w:rPr>
                <w:rFonts w:ascii="Arial" w:cs="Arial" w:eastAsia="Arial" w:hAnsi="Arial"/>
                <w:sz w:val="18"/>
                <w:szCs w:val="18"/>
                <w:b w:val="1"/>
                <w:bCs w:val="1"/>
                <w:color w:val="FFFFFF"/>
              </w:rPr>
              <w:t>ASSET NAME</w:t>
            </w:r>
          </w:p>
        </w:tc>
        <w:tc>
          <w:tcPr>
            <w:tcW w:w="7960" w:type="dxa"/>
            <w:vAlign w:val="bottom"/>
            <w:tcBorders>
              <w:bottom w:val="single" w:sz="8" w:color="auto"/>
            </w:tcBorders>
            <w:shd w:val="clear" w:color="auto" w:fill="1F3763"/>
          </w:tcPr>
          <w:p>
            <w:pPr>
              <w:ind w:left="2400"/>
              <w:spacing w:after="0"/>
              <w:rPr>
                <w:sz w:val="20"/>
                <w:szCs w:val="20"/>
                <w:color w:val="auto"/>
              </w:rPr>
            </w:pPr>
            <w:r>
              <w:rPr>
                <w:rFonts w:ascii="Arial" w:cs="Arial" w:eastAsia="Arial" w:hAnsi="Arial"/>
                <w:sz w:val="18"/>
                <w:szCs w:val="18"/>
                <w:b w:val="1"/>
                <w:bCs w:val="1"/>
                <w:color w:val="FFFFFF"/>
              </w:rPr>
              <w:t>ASSET LOCATION</w:t>
            </w:r>
          </w:p>
        </w:tc>
        <w:tc>
          <w:tcPr>
            <w:tcW w:w="38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2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USCIS - Kansas City</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Lees Summit, MO</w:t>
            </w:r>
          </w:p>
        </w:tc>
        <w:tc>
          <w:tcPr>
            <w:tcW w:w="380" w:type="dxa"/>
            <w:vAlign w:val="bottom"/>
          </w:tcPr>
          <w:p>
            <w:pPr>
              <w:spacing w:after="0"/>
              <w:rPr>
                <w:sz w:val="18"/>
                <w:szCs w:val="18"/>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2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JSC - Suffolk</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Suffolk, VA</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2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FDA - Alameda</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Alameda, CA</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2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FBI - Salt Lake City</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Salt Lake City, UT</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2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FDA - Lenexa</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Lenexa, KS</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2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Various GSA - Chicago</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Des Plaines, IL</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2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IRS - Fresno</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Fresno, CA</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8</w:t>
            </w:r>
          </w:p>
        </w:tc>
        <w:tc>
          <w:tcPr>
            <w:tcW w:w="2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Various GSA - Portland</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Portland, OR</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2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VA - San Jose</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San Jose, CA</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10</w:t>
            </w:r>
          </w:p>
        </w:tc>
        <w:tc>
          <w:tcPr>
            <w:tcW w:w="2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Various GSA - Buffalo</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Buffalo, NY</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11</w:t>
            </w:r>
          </w:p>
        </w:tc>
        <w:tc>
          <w:tcPr>
            <w:tcW w:w="2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USCIS - Lincoln</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Lincoln, NE</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12</w:t>
            </w:r>
          </w:p>
        </w:tc>
        <w:tc>
          <w:tcPr>
            <w:tcW w:w="2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EPA - Lenexa</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Lenexa, KS</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13</w:t>
            </w:r>
          </w:p>
        </w:tc>
        <w:tc>
          <w:tcPr>
            <w:tcW w:w="2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FBI - Omaha</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Omaha, NE</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14</w:t>
            </w:r>
          </w:p>
        </w:tc>
        <w:tc>
          <w:tcPr>
            <w:tcW w:w="2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FEMA - Tracy</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Tracy, CA</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15</w:t>
            </w:r>
          </w:p>
        </w:tc>
        <w:tc>
          <w:tcPr>
            <w:tcW w:w="2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TREAS - Parkersburg</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Parkersburg, WV</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16</w:t>
            </w:r>
          </w:p>
        </w:tc>
        <w:tc>
          <w:tcPr>
            <w:tcW w:w="2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FBI - Tampa</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Tampa, FL</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17</w:t>
            </w:r>
          </w:p>
        </w:tc>
        <w:tc>
          <w:tcPr>
            <w:tcW w:w="2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FBI - San Antonio</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San Antonio, TX</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18</w:t>
            </w:r>
          </w:p>
        </w:tc>
        <w:tc>
          <w:tcPr>
            <w:tcW w:w="2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FBI / DEA - El Paso</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El Paso, TX</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19</w:t>
            </w:r>
          </w:p>
        </w:tc>
        <w:tc>
          <w:tcPr>
            <w:tcW w:w="2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VA - South Bend</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Mishawaka, IN</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20</w:t>
            </w:r>
          </w:p>
        </w:tc>
        <w:tc>
          <w:tcPr>
            <w:tcW w:w="2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DEA - Sterling</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Sterling, VA</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21</w:t>
            </w:r>
          </w:p>
        </w:tc>
        <w:tc>
          <w:tcPr>
            <w:tcW w:w="2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PTO - Arlington</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Arlington, VA</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22</w:t>
            </w:r>
          </w:p>
        </w:tc>
        <w:tc>
          <w:tcPr>
            <w:tcW w:w="2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USFS I - Albuquerque</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Albuquerque, NM</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23</w:t>
            </w:r>
          </w:p>
        </w:tc>
        <w:tc>
          <w:tcPr>
            <w:tcW w:w="2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FBI - Richmond</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Richmond, VA</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24</w:t>
            </w:r>
          </w:p>
        </w:tc>
        <w:tc>
          <w:tcPr>
            <w:tcW w:w="2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FBI - Pittsburgh</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Pittsburgh, PA</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25</w:t>
            </w:r>
          </w:p>
        </w:tc>
        <w:tc>
          <w:tcPr>
            <w:tcW w:w="2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VA - Mobile</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Mobile, AL</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26</w:t>
            </w:r>
          </w:p>
        </w:tc>
        <w:tc>
          <w:tcPr>
            <w:tcW w:w="2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DEA - Vista</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Vista, CA</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27</w:t>
            </w:r>
          </w:p>
        </w:tc>
        <w:tc>
          <w:tcPr>
            <w:tcW w:w="2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DEA - Dallas Lab</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Dallas, TX</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28</w:t>
            </w:r>
          </w:p>
        </w:tc>
        <w:tc>
          <w:tcPr>
            <w:tcW w:w="2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ICE - Albuquerque</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Albuquerque, NM</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29</w:t>
            </w:r>
          </w:p>
        </w:tc>
        <w:tc>
          <w:tcPr>
            <w:tcW w:w="2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FBI - New Orleans</w:t>
            </w:r>
          </w:p>
        </w:tc>
        <w:tc>
          <w:tcPr>
            <w:tcW w:w="796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New Orleans, LA</w:t>
            </w:r>
          </w:p>
        </w:tc>
        <w:tc>
          <w:tcPr>
            <w:tcW w:w="380" w:type="dxa"/>
            <w:vAlign w:val="bottom"/>
          </w:tcPr>
          <w:p>
            <w:pPr>
              <w:spacing w:after="0"/>
              <w:rPr>
                <w:sz w:val="20"/>
                <w:szCs w:val="20"/>
                <w:color w:val="auto"/>
              </w:rPr>
            </w:pPr>
          </w:p>
        </w:tc>
      </w:tr>
      <w:tr>
        <w:trPr>
          <w:trHeight w:val="237"/>
        </w:trPr>
        <w:tc>
          <w:tcPr>
            <w:tcW w:w="540" w:type="dxa"/>
            <w:vAlign w:val="bottom"/>
            <w:gridSpan w:val="2"/>
          </w:tcPr>
          <w:p>
            <w:pPr>
              <w:ind w:left="320"/>
              <w:spacing w:after="0"/>
              <w:rPr>
                <w:sz w:val="20"/>
                <w:szCs w:val="20"/>
                <w:color w:val="auto"/>
              </w:rPr>
            </w:pPr>
            <w:r>
              <w:rPr>
                <w:rFonts w:ascii="Arial" w:cs="Arial" w:eastAsia="Arial" w:hAnsi="Arial"/>
                <w:sz w:val="18"/>
                <w:szCs w:val="18"/>
                <w:color w:val="auto"/>
                <w:w w:val="99"/>
              </w:rPr>
              <w:t>30</w:t>
            </w:r>
          </w:p>
        </w:tc>
        <w:tc>
          <w:tcPr>
            <w:tcW w:w="2360" w:type="dxa"/>
            <w:vAlign w:val="bottom"/>
          </w:tcPr>
          <w:p>
            <w:pPr>
              <w:ind w:left="180"/>
              <w:spacing w:after="0"/>
              <w:rPr>
                <w:sz w:val="20"/>
                <w:szCs w:val="20"/>
                <w:color w:val="auto"/>
              </w:rPr>
            </w:pPr>
            <w:r>
              <w:rPr>
                <w:rFonts w:ascii="Arial" w:cs="Arial" w:eastAsia="Arial" w:hAnsi="Arial"/>
                <w:sz w:val="18"/>
                <w:szCs w:val="18"/>
                <w:color w:val="auto"/>
              </w:rPr>
              <w:t>FBI - Birmingham</w:t>
            </w:r>
          </w:p>
        </w:tc>
        <w:tc>
          <w:tcPr>
            <w:tcW w:w="8340" w:type="dxa"/>
            <w:vAlign w:val="bottom"/>
            <w:gridSpan w:val="2"/>
          </w:tcPr>
          <w:p>
            <w:pPr>
              <w:ind w:left="2400"/>
              <w:spacing w:after="0"/>
              <w:rPr>
                <w:sz w:val="20"/>
                <w:szCs w:val="20"/>
                <w:color w:val="auto"/>
              </w:rPr>
            </w:pPr>
            <w:r>
              <w:rPr>
                <w:rFonts w:ascii="Arial" w:cs="Arial" w:eastAsia="Arial" w:hAnsi="Arial"/>
                <w:sz w:val="18"/>
                <w:szCs w:val="18"/>
                <w:color w:val="auto"/>
              </w:rPr>
              <w:t>Birmingham, AL</w:t>
            </w:r>
          </w:p>
        </w:tc>
      </w:tr>
      <w:tr>
        <w:trPr>
          <w:trHeight w:val="1620"/>
        </w:trPr>
        <w:tc>
          <w:tcPr>
            <w:tcW w:w="300" w:type="dxa"/>
            <w:vAlign w:val="bottom"/>
            <w:tcBorders>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2360" w:type="dxa"/>
            <w:vAlign w:val="bottom"/>
            <w:tcBorders>
              <w:top w:val="single" w:sz="8" w:color="auto"/>
              <w:bottom w:val="single" w:sz="8" w:color="9A9A9A"/>
            </w:tcBorders>
          </w:tcPr>
          <w:p>
            <w:pPr>
              <w:spacing w:after="0"/>
              <w:rPr>
                <w:sz w:val="24"/>
                <w:szCs w:val="24"/>
                <w:color w:val="auto"/>
              </w:rPr>
            </w:pPr>
          </w:p>
        </w:tc>
        <w:tc>
          <w:tcPr>
            <w:tcW w:w="7960" w:type="dxa"/>
            <w:vAlign w:val="bottom"/>
            <w:tcBorders>
              <w:top w:val="single" w:sz="8" w:color="auto"/>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304"/>
        </w:trPr>
        <w:tc>
          <w:tcPr>
            <w:tcW w:w="300" w:type="dxa"/>
            <w:vAlign w:val="bottom"/>
          </w:tcPr>
          <w:p>
            <w:pPr>
              <w:spacing w:after="0"/>
              <w:rPr>
                <w:sz w:val="24"/>
                <w:szCs w:val="24"/>
                <w:color w:val="auto"/>
              </w:rPr>
            </w:pPr>
          </w:p>
        </w:tc>
        <w:tc>
          <w:tcPr>
            <w:tcW w:w="240" w:type="dxa"/>
            <w:vAlign w:val="bottom"/>
            <w:tcBorders>
              <w:bottom w:val="single" w:sz="8" w:color="auto"/>
            </w:tcBorders>
            <w:shd w:val="clear" w:color="auto" w:fill="1F3763"/>
          </w:tcPr>
          <w:p>
            <w:pPr>
              <w:spacing w:after="0"/>
              <w:rPr>
                <w:sz w:val="24"/>
                <w:szCs w:val="24"/>
                <w:color w:val="auto"/>
              </w:rPr>
            </w:pPr>
          </w:p>
        </w:tc>
        <w:tc>
          <w:tcPr>
            <w:tcW w:w="3660" w:type="dxa"/>
            <w:vAlign w:val="bottom"/>
            <w:tcBorders>
              <w:bottom w:val="single" w:sz="8" w:color="auto"/>
            </w:tcBorders>
            <w:shd w:val="clear" w:color="auto" w:fill="1F3763"/>
          </w:tcPr>
          <w:p>
            <w:pPr>
              <w:ind w:left="20"/>
              <w:spacing w:after="0"/>
              <w:rPr>
                <w:sz w:val="20"/>
                <w:szCs w:val="20"/>
                <w:color w:val="auto"/>
              </w:rPr>
            </w:pPr>
            <w:r>
              <w:rPr>
                <w:rFonts w:ascii="Arial" w:cs="Arial" w:eastAsia="Arial" w:hAnsi="Arial"/>
                <w:sz w:val="18"/>
                <w:szCs w:val="18"/>
                <w:b w:val="1"/>
                <w:bCs w:val="1"/>
                <w:color w:val="FFFFFF"/>
              </w:rPr>
              <w:t>ASSET NAME</w:t>
            </w:r>
          </w:p>
        </w:tc>
        <w:tc>
          <w:tcPr>
            <w:tcW w:w="6660" w:type="dxa"/>
            <w:vAlign w:val="bottom"/>
            <w:tcBorders>
              <w:bottom w:val="single" w:sz="8" w:color="auto"/>
            </w:tcBorders>
            <w:shd w:val="clear" w:color="auto" w:fill="1F3763"/>
          </w:tcPr>
          <w:p>
            <w:pPr>
              <w:ind w:left="1200"/>
              <w:spacing w:after="0"/>
              <w:rPr>
                <w:sz w:val="20"/>
                <w:szCs w:val="20"/>
                <w:color w:val="auto"/>
              </w:rPr>
            </w:pPr>
            <w:r>
              <w:rPr>
                <w:rFonts w:ascii="Arial" w:cs="Arial" w:eastAsia="Arial" w:hAnsi="Arial"/>
                <w:sz w:val="18"/>
                <w:szCs w:val="18"/>
                <w:b w:val="1"/>
                <w:bCs w:val="1"/>
                <w:color w:val="FFFFFF"/>
              </w:rPr>
              <w:t>ASSET LOCATION</w:t>
            </w:r>
          </w:p>
        </w:tc>
        <w:tc>
          <w:tcPr>
            <w:tcW w:w="380" w:type="dxa"/>
            <w:vAlign w:val="bottom"/>
          </w:tcPr>
          <w:p>
            <w:pPr>
              <w:spacing w:after="0"/>
              <w:rPr>
                <w:sz w:val="24"/>
                <w:szCs w:val="24"/>
                <w:color w:val="auto"/>
              </w:rPr>
            </w:pPr>
          </w:p>
        </w:tc>
      </w:tr>
      <w:tr>
        <w:trPr>
          <w:trHeight w:val="243"/>
        </w:trPr>
        <w:tc>
          <w:tcPr>
            <w:tcW w:w="30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w:t>
            </w: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FBI - Little Rock</w:t>
            </w:r>
          </w:p>
        </w:tc>
        <w:tc>
          <w:tcPr>
            <w:tcW w:w="66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Little Rock, AR</w:t>
            </w:r>
          </w:p>
        </w:tc>
        <w:tc>
          <w:tcPr>
            <w:tcW w:w="380" w:type="dxa"/>
            <w:vAlign w:val="bottom"/>
          </w:tcPr>
          <w:p>
            <w:pPr>
              <w:spacing w:after="0"/>
              <w:rPr>
                <w:sz w:val="21"/>
                <w:szCs w:val="21"/>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32</w:t>
            </w: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FBI - Albany</w:t>
            </w:r>
          </w:p>
        </w:tc>
        <w:tc>
          <w:tcPr>
            <w:tcW w:w="66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Albany, NY</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w:t>
            </w: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ICE - Dallas</w:t>
            </w:r>
          </w:p>
        </w:tc>
        <w:tc>
          <w:tcPr>
            <w:tcW w:w="66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Irving, TX</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34</w:t>
            </w: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JUD - Del Rio</w:t>
            </w:r>
          </w:p>
        </w:tc>
        <w:tc>
          <w:tcPr>
            <w:tcW w:w="66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Del Rio, TX</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35</w:t>
            </w: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Northrop Grumman - Dayton</w:t>
            </w:r>
          </w:p>
        </w:tc>
        <w:tc>
          <w:tcPr>
            <w:tcW w:w="66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Beavercreek, OH</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36</w:t>
            </w: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DEA - Upper Marlboro</w:t>
            </w:r>
          </w:p>
        </w:tc>
        <w:tc>
          <w:tcPr>
            <w:tcW w:w="66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Upper Marlboro, MD</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37</w:t>
            </w: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CA - Anaheim</w:t>
            </w:r>
          </w:p>
        </w:tc>
        <w:tc>
          <w:tcPr>
            <w:tcW w:w="66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Anaheim, CA</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38</w:t>
            </w: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JUD - Charleston</w:t>
            </w:r>
          </w:p>
        </w:tc>
        <w:tc>
          <w:tcPr>
            <w:tcW w:w="66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Charleston, SC</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39</w:t>
            </w: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DHS - Atlanta</w:t>
            </w:r>
          </w:p>
        </w:tc>
        <w:tc>
          <w:tcPr>
            <w:tcW w:w="66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Atlanta, GA</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40</w:t>
            </w: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JUD - El Centro</w:t>
            </w:r>
          </w:p>
        </w:tc>
        <w:tc>
          <w:tcPr>
            <w:tcW w:w="66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El Centro, CA</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41</w:t>
            </w: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DEA - Pleasanton</w:t>
            </w:r>
          </w:p>
        </w:tc>
        <w:tc>
          <w:tcPr>
            <w:tcW w:w="66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Pleasanton, CA</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42</w:t>
            </w: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VA - Indianapolis</w:t>
            </w:r>
          </w:p>
        </w:tc>
        <w:tc>
          <w:tcPr>
            <w:tcW w:w="66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Brownsburg, IN</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43</w:t>
            </w: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SSA - Charleston</w:t>
            </w:r>
          </w:p>
        </w:tc>
        <w:tc>
          <w:tcPr>
            <w:tcW w:w="66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Charleston, WV</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44</w:t>
            </w: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TREAS - Birmingham</w:t>
            </w:r>
          </w:p>
        </w:tc>
        <w:tc>
          <w:tcPr>
            <w:tcW w:w="66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Birmingham, AL</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45</w:t>
            </w: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FBI - Knoxville</w:t>
            </w:r>
          </w:p>
        </w:tc>
        <w:tc>
          <w:tcPr>
            <w:tcW w:w="66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Knoxville, TN</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46</w:t>
            </w: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EPA - Kansas City</w:t>
            </w:r>
          </w:p>
        </w:tc>
        <w:tc>
          <w:tcPr>
            <w:tcW w:w="66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Kansas City, KS</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47</w:t>
            </w: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USCIS - Tustin</w:t>
            </w:r>
          </w:p>
        </w:tc>
        <w:tc>
          <w:tcPr>
            <w:tcW w:w="66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Tustin, CA</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48</w:t>
            </w: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VA - Orange</w:t>
            </w:r>
          </w:p>
        </w:tc>
        <w:tc>
          <w:tcPr>
            <w:tcW w:w="66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Orange, CT</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49</w:t>
            </w: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NWS - Kansas City</w:t>
            </w:r>
          </w:p>
        </w:tc>
        <w:tc>
          <w:tcPr>
            <w:tcW w:w="66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Kansas City, MO</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50</w:t>
            </w: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JUD - Jackson</w:t>
            </w:r>
          </w:p>
        </w:tc>
        <w:tc>
          <w:tcPr>
            <w:tcW w:w="66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Jackson, TN</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51</w:t>
            </w: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NARA - Broomfield</w:t>
            </w:r>
          </w:p>
        </w:tc>
        <w:tc>
          <w:tcPr>
            <w:tcW w:w="66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Broomfield, CO</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52</w:t>
            </w: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VA - Chico</w:t>
            </w:r>
          </w:p>
        </w:tc>
        <w:tc>
          <w:tcPr>
            <w:tcW w:w="66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Chico, CA</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53</w:t>
            </w: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USAO - Louisville</w:t>
            </w:r>
          </w:p>
        </w:tc>
        <w:tc>
          <w:tcPr>
            <w:tcW w:w="66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Louisville, KY</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54</w:t>
            </w: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DEA - Dallas</w:t>
            </w:r>
          </w:p>
        </w:tc>
        <w:tc>
          <w:tcPr>
            <w:tcW w:w="66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Dallas, TX</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55</w:t>
            </w: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NPS - Omaha</w:t>
            </w:r>
          </w:p>
        </w:tc>
        <w:tc>
          <w:tcPr>
            <w:tcW w:w="66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Omaha, NE</w:t>
            </w:r>
          </w:p>
        </w:tc>
        <w:tc>
          <w:tcPr>
            <w:tcW w:w="380" w:type="dxa"/>
            <w:vAlign w:val="bottom"/>
          </w:tcPr>
          <w:p>
            <w:pPr>
              <w:spacing w:after="0"/>
              <w:rPr>
                <w:sz w:val="20"/>
                <w:szCs w:val="20"/>
                <w:color w:val="auto"/>
              </w:rPr>
            </w:pPr>
          </w:p>
        </w:tc>
      </w:tr>
      <w:tr>
        <w:trPr>
          <w:trHeight w:val="236"/>
        </w:trPr>
        <w:tc>
          <w:tcPr>
            <w:tcW w:w="5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3660" w:type="dxa"/>
            <w:vAlign w:val="bottom"/>
          </w:tcPr>
          <w:p>
            <w:pPr>
              <w:ind w:left="180"/>
              <w:spacing w:after="0"/>
              <w:rPr>
                <w:sz w:val="20"/>
                <w:szCs w:val="20"/>
                <w:color w:val="auto"/>
              </w:rPr>
            </w:pPr>
            <w:r>
              <w:rPr>
                <w:rFonts w:ascii="Arial" w:cs="Arial" w:eastAsia="Arial" w:hAnsi="Arial"/>
                <w:sz w:val="18"/>
                <w:szCs w:val="18"/>
                <w:color w:val="auto"/>
              </w:rPr>
              <w:t>DOT - Lakewood</w:t>
            </w:r>
          </w:p>
        </w:tc>
        <w:tc>
          <w:tcPr>
            <w:tcW w:w="7040" w:type="dxa"/>
            <w:vAlign w:val="bottom"/>
            <w:gridSpan w:val="2"/>
          </w:tcPr>
          <w:p>
            <w:pPr>
              <w:ind w:left="1200"/>
              <w:spacing w:after="0"/>
              <w:rPr>
                <w:sz w:val="20"/>
                <w:szCs w:val="20"/>
                <w:color w:val="auto"/>
              </w:rPr>
            </w:pPr>
            <w:r>
              <w:rPr>
                <w:rFonts w:ascii="Arial" w:cs="Arial" w:eastAsia="Arial" w:hAnsi="Arial"/>
                <w:sz w:val="18"/>
                <w:szCs w:val="18"/>
                <w:color w:val="auto"/>
              </w:rPr>
              <w:t>Lakewood, CO</w:t>
            </w:r>
          </w:p>
        </w:tc>
      </w:tr>
      <w:tr>
        <w:trPr>
          <w:trHeight w:val="1188"/>
        </w:trPr>
        <w:tc>
          <w:tcPr>
            <w:tcW w:w="300" w:type="dxa"/>
            <w:vAlign w:val="bottom"/>
            <w:tcBorders>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3660" w:type="dxa"/>
            <w:vAlign w:val="bottom"/>
            <w:tcBorders>
              <w:top w:val="single" w:sz="8" w:color="auto"/>
              <w:bottom w:val="single" w:sz="8" w:color="9A9A9A"/>
            </w:tcBorders>
          </w:tcPr>
          <w:p>
            <w:pPr>
              <w:spacing w:after="0"/>
              <w:rPr>
                <w:sz w:val="24"/>
                <w:szCs w:val="24"/>
                <w:color w:val="auto"/>
              </w:rPr>
            </w:pPr>
          </w:p>
        </w:tc>
        <w:tc>
          <w:tcPr>
            <w:tcW w:w="6660" w:type="dxa"/>
            <w:vAlign w:val="bottom"/>
            <w:tcBorders>
              <w:top w:val="single" w:sz="8" w:color="auto"/>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315"/>
        </w:trPr>
        <w:tc>
          <w:tcPr>
            <w:tcW w:w="300" w:type="dxa"/>
            <w:vAlign w:val="bottom"/>
          </w:tcPr>
          <w:p>
            <w:pPr>
              <w:spacing w:after="0"/>
              <w:rPr>
                <w:sz w:val="24"/>
                <w:szCs w:val="24"/>
                <w:color w:val="auto"/>
              </w:rPr>
            </w:pPr>
          </w:p>
        </w:tc>
        <w:tc>
          <w:tcPr>
            <w:tcW w:w="240" w:type="dxa"/>
            <w:vAlign w:val="bottom"/>
            <w:tcBorders>
              <w:bottom w:val="single" w:sz="8" w:color="1F3763"/>
            </w:tcBorders>
            <w:shd w:val="clear" w:color="auto" w:fill="1F3763"/>
          </w:tcPr>
          <w:p>
            <w:pPr>
              <w:spacing w:after="0"/>
              <w:rPr>
                <w:sz w:val="24"/>
                <w:szCs w:val="24"/>
                <w:color w:val="auto"/>
              </w:rPr>
            </w:pPr>
          </w:p>
        </w:tc>
        <w:tc>
          <w:tcPr>
            <w:tcW w:w="3820" w:type="dxa"/>
            <w:vAlign w:val="bottom"/>
            <w:tcBorders>
              <w:bottom w:val="single" w:sz="8" w:color="1F3763"/>
            </w:tcBorders>
            <w:shd w:val="clear" w:color="auto" w:fill="1F3763"/>
          </w:tcPr>
          <w:p>
            <w:pPr>
              <w:ind w:left="20"/>
              <w:spacing w:after="0"/>
              <w:rPr>
                <w:sz w:val="20"/>
                <w:szCs w:val="20"/>
                <w:color w:val="auto"/>
              </w:rPr>
            </w:pPr>
            <w:r>
              <w:rPr>
                <w:rFonts w:ascii="Arial" w:cs="Arial" w:eastAsia="Arial" w:hAnsi="Arial"/>
                <w:sz w:val="18"/>
                <w:szCs w:val="18"/>
                <w:b w:val="1"/>
                <w:bCs w:val="1"/>
                <w:color w:val="FFFFFF"/>
              </w:rPr>
              <w:t>ASSET NAME</w:t>
            </w:r>
          </w:p>
        </w:tc>
        <w:tc>
          <w:tcPr>
            <w:tcW w:w="6500" w:type="dxa"/>
            <w:vAlign w:val="bottom"/>
            <w:tcBorders>
              <w:bottom w:val="single" w:sz="8" w:color="1F3763"/>
            </w:tcBorders>
            <w:shd w:val="clear" w:color="auto" w:fill="1F3763"/>
          </w:tcPr>
          <w:p>
            <w:pPr>
              <w:ind w:left="1100"/>
              <w:spacing w:after="0"/>
              <w:rPr>
                <w:sz w:val="20"/>
                <w:szCs w:val="20"/>
                <w:color w:val="auto"/>
              </w:rPr>
            </w:pPr>
            <w:r>
              <w:rPr>
                <w:rFonts w:ascii="Arial" w:cs="Arial" w:eastAsia="Arial" w:hAnsi="Arial"/>
                <w:sz w:val="18"/>
                <w:szCs w:val="18"/>
                <w:b w:val="1"/>
                <w:bCs w:val="1"/>
                <w:color w:val="FFFFFF"/>
              </w:rPr>
              <w:t>ASSET LOCATION</w:t>
            </w:r>
          </w:p>
        </w:tc>
        <w:tc>
          <w:tcPr>
            <w:tcW w:w="380" w:type="dxa"/>
            <w:vAlign w:val="bottom"/>
          </w:tcPr>
          <w:p>
            <w:pPr>
              <w:spacing w:after="0"/>
              <w:rPr>
                <w:sz w:val="24"/>
                <w:szCs w:val="24"/>
                <w:color w:val="auto"/>
              </w:rPr>
            </w:pPr>
          </w:p>
        </w:tc>
      </w:tr>
      <w:tr>
        <w:trPr>
          <w:trHeight w:val="234"/>
        </w:trPr>
        <w:tc>
          <w:tcPr>
            <w:tcW w:w="3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57</w:t>
            </w:r>
          </w:p>
        </w:tc>
        <w:tc>
          <w:tcPr>
            <w:tcW w:w="38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FBI - Mobile</w:t>
            </w:r>
          </w:p>
        </w:tc>
        <w:tc>
          <w:tcPr>
            <w:tcW w:w="650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rPr>
              <w:t>Mobile, AL</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58</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JUD - Aberdeen</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Aberdeen, MS</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59</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DEA - Santa Ana</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Santa Ana, CA</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60</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DEA - North Highlands</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North Highlands, CA</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61</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GSA - Clarksburg</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Clarksburg, WV</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62</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USAO - Springfield</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Springfield, IL</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63</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JUD - Newport News</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Newport News, VA</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64</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DEA - Albany</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Albany, NY</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65</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ICE - Orlando</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Orlando, FL</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66</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USCG - Martinsburg</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Martinsburg, WV</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67</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VA - Golden</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Golden, CO</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68</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Various GSA - Cleveland</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Brooklyn Heights, OH</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69</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VA - Charleston</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North Charleston, SC</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70</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DEA - Riverside</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Riverside, CA</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71</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JUD - Council Bluffs</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Council Bluffs, IA</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72</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SSA - Dallas</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Dallas, TX</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73</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DEA - Birmingham</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Birmingham, AL</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74</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HSI - Orlando</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Orlando, FL</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75</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DEA - San Diego</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San Diego, CA</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76</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JUD - South Bend</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South Bend, IN</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77</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ICE - Louisville</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Louisville, KY</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78</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Lummus Corporation</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Lubbock, TX</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79</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DEA - Bakersfield</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Bakersfield, CA</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80</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SSA - San Diego</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San Diego, CA</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81</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Northrop Grumman - Aurora</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Aurora, CO</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82</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IRS - Ogden</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Ogden, UT</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83</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Wake County I - Cary</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Cary, NC</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84</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Wake County II - Cary</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Cary, NC</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85</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Wake County III - Cary</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Cary, NC</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86</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Capitol Plaza - Washington, DC</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Washington, DC</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87</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DHS - Burlington</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Williston, VT</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88</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York - Greenwood Village</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Greenwood, CO</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89</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SVA - Glen Allen I</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Glen Allen, VA</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90</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SVA - Glen Allen II</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Glen Allen, VA</w:t>
            </w:r>
          </w:p>
        </w:tc>
        <w:tc>
          <w:tcPr>
            <w:tcW w:w="380" w:type="dxa"/>
            <w:vAlign w:val="bottom"/>
          </w:tcPr>
          <w:p>
            <w:pPr>
              <w:spacing w:after="0"/>
              <w:rPr>
                <w:sz w:val="20"/>
                <w:szCs w:val="20"/>
                <w:color w:val="auto"/>
              </w:rPr>
            </w:pPr>
          </w:p>
        </w:tc>
      </w:tr>
      <w:tr>
        <w:trPr>
          <w:trHeight w:val="237"/>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91</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SVA - Glen Allen III</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Glen Allen, VA</w:t>
            </w:r>
          </w:p>
        </w:tc>
        <w:tc>
          <w:tcPr>
            <w:tcW w:w="380" w:type="dxa"/>
            <w:vAlign w:val="bottom"/>
          </w:tcPr>
          <w:p>
            <w:pPr>
              <w:spacing w:after="0"/>
              <w:rPr>
                <w:sz w:val="20"/>
                <w:szCs w:val="20"/>
                <w:color w:val="auto"/>
              </w:rPr>
            </w:pPr>
          </w:p>
        </w:tc>
      </w:tr>
      <w:tr>
        <w:trPr>
          <w:trHeight w:val="236"/>
        </w:trPr>
        <w:tc>
          <w:tcPr>
            <w:tcW w:w="30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92</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FDA - Atlanta</w:t>
            </w:r>
          </w:p>
        </w:tc>
        <w:tc>
          <w:tcPr>
            <w:tcW w:w="65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Atlanta, GA</w:t>
            </w:r>
          </w:p>
        </w:tc>
        <w:tc>
          <w:tcPr>
            <w:tcW w:w="380" w:type="dxa"/>
            <w:vAlign w:val="bottom"/>
          </w:tcPr>
          <w:p>
            <w:pPr>
              <w:spacing w:after="0"/>
              <w:rPr>
                <w:sz w:val="20"/>
                <w:szCs w:val="20"/>
                <w:color w:val="auto"/>
              </w:rPr>
            </w:pPr>
          </w:p>
        </w:tc>
      </w:tr>
      <w:tr>
        <w:trPr>
          <w:trHeight w:val="2703"/>
        </w:trPr>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6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145" w:name="page146"/>
    <w:bookmarkEnd w:id="145"/>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A to the</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TERM LOAN AGREEMENT</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FORM OF NOTE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NOTE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 _________ __, ____</w:t>
      </w:r>
    </w:p>
    <w:p>
      <w:pPr>
        <w:spacing w:after="0" w:line="200" w:lineRule="exact"/>
        <w:rPr>
          <w:sz w:val="20"/>
          <w:szCs w:val="20"/>
          <w:color w:val="auto"/>
        </w:rPr>
      </w:pPr>
    </w:p>
    <w:p>
      <w:pPr>
        <w:sectPr>
          <w:pgSz w:w="11900" w:h="16838" w:orient="portrait"/>
          <w:cols w:equalWidth="0" w:num="2">
            <w:col w:w="1520" w:space="380"/>
            <w:col w:w="9340"/>
          </w:cols>
          <w:pgMar w:left="320" w:top="1440" w:right="339"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FOR VALUE RECEIVED, the undersigned, EASTERLY GOVERNMENT PROPERTIES LP, a Delaware limited partnership (the “</w:t>
      </w:r>
      <w:r>
        <w:rPr>
          <w:rFonts w:ascii="Times New Roman" w:cs="Times New Roman" w:eastAsia="Times New Roman" w:hAnsi="Times New Roman"/>
          <w:sz w:val="19"/>
          <w:szCs w:val="19"/>
          <w:b w:val="1"/>
          <w:bCs w:val="1"/>
          <w:i w:val="1"/>
          <w:iCs w:val="1"/>
          <w:color w:val="auto"/>
        </w:rPr>
        <w:t>Borrower</w:t>
      </w:r>
      <w:r>
        <w:rPr>
          <w:rFonts w:ascii="Times New Roman" w:cs="Times New Roman" w:eastAsia="Times New Roman" w:hAnsi="Times New Roman"/>
          <w:sz w:val="19"/>
          <w:szCs w:val="19"/>
          <w:color w:val="auto"/>
        </w:rPr>
        <w:t>”), HEREBY PROMISES TO PAY _________________________ (the “</w:t>
      </w:r>
      <w:r>
        <w:rPr>
          <w:rFonts w:ascii="Times New Roman" w:cs="Times New Roman" w:eastAsia="Times New Roman" w:hAnsi="Times New Roman"/>
          <w:sz w:val="19"/>
          <w:szCs w:val="19"/>
          <w:b w:val="1"/>
          <w:bCs w:val="1"/>
          <w:i w:val="1"/>
          <w:iCs w:val="1"/>
          <w:color w:val="auto"/>
        </w:rPr>
        <w:t>Lender</w:t>
      </w:r>
      <w:r>
        <w:rPr>
          <w:rFonts w:ascii="Times New Roman" w:cs="Times New Roman" w:eastAsia="Times New Roman" w:hAnsi="Times New Roman"/>
          <w:sz w:val="19"/>
          <w:szCs w:val="19"/>
          <w:color w:val="auto"/>
        </w:rPr>
        <w:t>”) for the account of its Applicable Lending Office</w:t>
      </w:r>
    </w:p>
    <w:p>
      <w:pPr>
        <w:jc w:val="both"/>
        <w:spacing w:after="0" w:line="238" w:lineRule="auto"/>
        <w:rPr>
          <w:sz w:val="20"/>
          <w:szCs w:val="20"/>
          <w:color w:val="auto"/>
        </w:rPr>
      </w:pPr>
      <w:r>
        <w:rPr>
          <w:rFonts w:ascii="Times New Roman" w:cs="Times New Roman" w:eastAsia="Times New Roman" w:hAnsi="Times New Roman"/>
          <w:sz w:val="19"/>
          <w:szCs w:val="19"/>
          <w:color w:val="auto"/>
        </w:rPr>
        <w:t>(as defined in the Term Loan Agreement referred to below) the aggregate principal amount of the Advances (as defined below) owing to the Lender by the Borrower pursuant to the Term Loan Agreement dated as of June 25, 2026 (as amended, amended and restated, supplemented or otherwise modified from time to time, the “</w:t>
      </w:r>
      <w:r>
        <w:rPr>
          <w:rFonts w:ascii="Times New Roman" w:cs="Times New Roman" w:eastAsia="Times New Roman" w:hAnsi="Times New Roman"/>
          <w:sz w:val="19"/>
          <w:szCs w:val="19"/>
          <w:b w:val="1"/>
          <w:bCs w:val="1"/>
          <w:i w:val="1"/>
          <w:iCs w:val="1"/>
          <w:color w:val="auto"/>
        </w:rPr>
        <w:t>Term Loan Agreement</w:t>
      </w:r>
      <w:r>
        <w:rPr>
          <w:rFonts w:ascii="Times New Roman" w:cs="Times New Roman" w:eastAsia="Times New Roman" w:hAnsi="Times New Roman"/>
          <w:sz w:val="19"/>
          <w:szCs w:val="19"/>
          <w:color w:val="auto"/>
        </w:rPr>
        <w:t>”; terms defined therein, unless otherwise defined herein, being used herein as therein defined) among the Borrower, the Lender and certain other lender parties party thereto, Easterly Government Properties, Inc., as Parent, the Subsidiary Guarantors party thereto, PNC Bank, National Association, as Administrative Agent for the Lender and such other lender parties, and the Arrangers party thereto, on the Maturity Date.</w:t>
      </w:r>
    </w:p>
    <w:p>
      <w:pPr>
        <w:spacing w:after="0" w:line="192"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9"/>
          <w:szCs w:val="19"/>
          <w:color w:val="auto"/>
        </w:rPr>
        <w:t>The Borrower promises to pay to the Lender interest on the unpaid principal amount of each Advance from the date of such Advance, as the case may be, until such principal amount is paid in full, at such interest rates, and payable at such times, as are specified in the Term Loan Agreement.</w:t>
      </w:r>
    </w:p>
    <w:p>
      <w:pPr>
        <w:spacing w:after="0" w:line="179"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19"/>
          <w:szCs w:val="19"/>
          <w:color w:val="auto"/>
        </w:rPr>
        <w:t>Both principal and interest are payable in lawful money of the United States of America to PNC Bank, National Association, as Administrative Agent, PNC Firstside Center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Floor, 500 First Avenue, Pittsburgh, PA 15219, ABA No. 034-000-096, Account No. 130760016803, Account Name: Commercial Loan Operations, Reference: Easterly Government Properties LP, in same day funds. The Advance owing to the Lender by the Borrower and the maturity thereof, and all payments made on account of principal thereof, shall be recorded by the Lender and, prior to any transfer hereof, endorsed on the grid attached hereto, which is part of this Note;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failure of the Lender to make any such recordation or endorsement shall not affect the Obligations of the Borrower under this Note.</w:t>
      </w:r>
    </w:p>
    <w:p>
      <w:pPr>
        <w:spacing w:after="0" w:line="192"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auto"/>
        </w:rPr>
        <w:t>This Note is one of the Notes referred to in, and is entitled to the benefits of, the Term Loan Agreement. The Term Loan Agreement, among other things, (a) provides for the making of advances (the “</w:t>
      </w:r>
      <w:r>
        <w:rPr>
          <w:rFonts w:ascii="Times New Roman" w:cs="Times New Roman" w:eastAsia="Times New Roman" w:hAnsi="Times New Roman"/>
          <w:sz w:val="19"/>
          <w:szCs w:val="19"/>
          <w:b w:val="1"/>
          <w:bCs w:val="1"/>
          <w:i w:val="1"/>
          <w:iCs w:val="1"/>
          <w:color w:val="auto"/>
        </w:rPr>
        <w:t>Advances</w:t>
      </w:r>
      <w:r>
        <w:rPr>
          <w:rFonts w:ascii="Times New Roman" w:cs="Times New Roman" w:eastAsia="Times New Roman" w:hAnsi="Times New Roman"/>
          <w:sz w:val="19"/>
          <w:szCs w:val="19"/>
          <w:color w:val="auto"/>
        </w:rPr>
        <w:t>”) by the Lender to or for the benefit of the Borrower from time to time in an aggregate amount not to exceed at any time outstanding the U.S. dollar amount first above mentioned, the indebtedness of the Borrower resulting from each such Advance being evidenced by this Note, and (b) contains provisions for acceleration of the maturity hereof upon the happening of an Event of Default and also for prepayments on account of principal hereof prior to the Maturity Date upon the terms and conditions therein specified.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This Note shall be governed by, and construed in accordance with,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1305560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6" w:name="page147"/>
    <w:bookmarkEnd w:id="146"/>
    <w:p>
      <w:pPr>
        <w:spacing w:after="0" w:line="7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b w:val="1"/>
          <w:bCs w:val="1"/>
          <w:color w:val="auto"/>
        </w:rPr>
        <w:t>EASTERLY GOVERNMENT PROPERTIES LP,</w:t>
      </w:r>
    </w:p>
    <w:p>
      <w:pPr>
        <w:spacing w:after="0" w:line="2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partnership</w:t>
      </w:r>
    </w:p>
    <w:p>
      <w:pPr>
        <w:spacing w:after="0" w:line="190" w:lineRule="exact"/>
        <w:rPr>
          <w:sz w:val="20"/>
          <w:szCs w:val="20"/>
          <w:color w:val="auto"/>
        </w:rPr>
      </w:pPr>
    </w:p>
    <w:p>
      <w:pPr>
        <w:ind w:left="3380" w:right="1759" w:hanging="748"/>
        <w:spacing w:after="0" w:line="270" w:lineRule="auto"/>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b w:val="1"/>
          <w:bCs w:val="1"/>
          <w:color w:val="auto"/>
        </w:rPr>
        <w:t>EASTERLY GOVERNMENT PROPERTIES, INC.</w:t>
      </w:r>
      <w:r>
        <w:rPr>
          <w:rFonts w:ascii="Times New Roman" w:cs="Times New Roman" w:eastAsia="Times New Roman" w:hAnsi="Times New Roman"/>
          <w:sz w:val="19"/>
          <w:szCs w:val="19"/>
          <w:color w:val="auto"/>
        </w:rPr>
        <w:t>, a Maryland corporation, its general partner</w:t>
      </w:r>
    </w:p>
    <w:p>
      <w:pPr>
        <w:spacing w:after="0" w:line="37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9"/>
          <w:szCs w:val="19"/>
          <w:color w:val="auto"/>
        </w:rPr>
        <w:t>By: ____________________________</w:t>
      </w:r>
    </w:p>
    <w:p>
      <w:pPr>
        <w:spacing w:after="0" w:line="1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9"/>
          <w:szCs w:val="19"/>
          <w:color w:val="auto"/>
        </w:rPr>
        <w:t>Name:</w:t>
      </w:r>
    </w:p>
    <w:p>
      <w:pPr>
        <w:ind w:left="320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744220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9"/>
          <w:szCs w:val="19"/>
          <w:color w:val="auto"/>
        </w:rPr>
        <w:t>ADVANCES AND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PAYMENTS OF PRINCIPAL</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40" w:type="dxa"/>
            <w:vAlign w:val="bottom"/>
            <w:tcBorders>
              <w:right w:val="single" w:sz="8" w:color="auto"/>
            </w:tcBorders>
          </w:tcPr>
          <w:p>
            <w:pPr>
              <w:spacing w:after="0"/>
              <w:rPr>
                <w:sz w:val="17"/>
                <w:szCs w:val="17"/>
                <w:color w:val="auto"/>
              </w:rPr>
            </w:pPr>
          </w:p>
        </w:tc>
        <w:tc>
          <w:tcPr>
            <w:tcW w:w="1700" w:type="dxa"/>
            <w:vAlign w:val="bottom"/>
            <w:tcBorders>
              <w:top w:val="single" w:sz="8" w:color="auto"/>
              <w:right w:val="single" w:sz="8" w:color="auto"/>
            </w:tcBorders>
          </w:tcPr>
          <w:p>
            <w:pPr>
              <w:spacing w:after="0"/>
              <w:rPr>
                <w:sz w:val="17"/>
                <w:szCs w:val="17"/>
                <w:color w:val="auto"/>
              </w:rPr>
            </w:pPr>
          </w:p>
        </w:tc>
        <w:tc>
          <w:tcPr>
            <w:tcW w:w="2360" w:type="dxa"/>
            <w:vAlign w:val="bottom"/>
            <w:tcBorders>
              <w:top w:val="single" w:sz="8" w:color="auto"/>
              <w:right w:val="single" w:sz="8" w:color="auto"/>
            </w:tcBorders>
          </w:tcPr>
          <w:p>
            <w:pPr>
              <w:spacing w:after="0"/>
              <w:rPr>
                <w:sz w:val="17"/>
                <w:szCs w:val="17"/>
                <w:color w:val="auto"/>
              </w:rPr>
            </w:pPr>
          </w:p>
        </w:tc>
        <w:tc>
          <w:tcPr>
            <w:tcW w:w="2340" w:type="dxa"/>
            <w:vAlign w:val="bottom"/>
            <w:tcBorders>
              <w:top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19"/>
                <w:szCs w:val="19"/>
                <w:b w:val="1"/>
                <w:bCs w:val="1"/>
                <w:color w:val="auto"/>
                <w:w w:val="98"/>
              </w:rPr>
              <w:t>Amount of</w:t>
            </w:r>
          </w:p>
        </w:tc>
        <w:tc>
          <w:tcPr>
            <w:tcW w:w="2360" w:type="dxa"/>
            <w:vAlign w:val="bottom"/>
            <w:tcBorders>
              <w:top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19"/>
                <w:szCs w:val="19"/>
                <w:b w:val="1"/>
                <w:bCs w:val="1"/>
                <w:color w:val="auto"/>
                <w:w w:val="99"/>
              </w:rPr>
              <w:t>Unpaid</w:t>
            </w:r>
          </w:p>
        </w:tc>
        <w:tc>
          <w:tcPr>
            <w:tcW w:w="2340" w:type="dxa"/>
            <w:vAlign w:val="bottom"/>
            <w:tcBorders>
              <w:top w:val="single" w:sz="8" w:color="auto"/>
              <w:right w:val="single" w:sz="8" w:color="auto"/>
            </w:tcBorders>
          </w:tcPr>
          <w:p>
            <w:pPr>
              <w:spacing w:after="0"/>
              <w:rPr>
                <w:sz w:val="17"/>
                <w:szCs w:val="17"/>
                <w:color w:val="auto"/>
              </w:rPr>
            </w:pPr>
          </w:p>
        </w:tc>
      </w:tr>
      <w:tr>
        <w:trPr>
          <w:trHeight w:val="216"/>
        </w:trPr>
        <w:tc>
          <w:tcPr>
            <w:tcW w:w="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auto"/>
                <w:w w:val="98"/>
              </w:rPr>
              <w:t>Amount of</w:t>
            </w:r>
          </w:p>
        </w:tc>
        <w:tc>
          <w:tcPr>
            <w:tcW w:w="234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auto"/>
                <w:w w:val="99"/>
              </w:rPr>
              <w:t>Principal Paid</w:t>
            </w:r>
          </w:p>
        </w:tc>
        <w:tc>
          <w:tcPr>
            <w:tcW w:w="23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auto"/>
                <w:w w:val="98"/>
              </w:rPr>
              <w:t>Principal</w:t>
            </w:r>
          </w:p>
        </w:tc>
        <w:tc>
          <w:tcPr>
            <w:tcW w:w="2340" w:type="dxa"/>
            <w:vAlign w:val="bottom"/>
            <w:tcBorders>
              <w:right w:val="single" w:sz="8" w:color="auto"/>
            </w:tcBorders>
          </w:tcPr>
          <w:p>
            <w:pPr>
              <w:ind w:left="820"/>
              <w:spacing w:after="0" w:line="216" w:lineRule="exact"/>
              <w:rPr>
                <w:sz w:val="20"/>
                <w:szCs w:val="20"/>
                <w:color w:val="auto"/>
              </w:rPr>
            </w:pPr>
            <w:r>
              <w:rPr>
                <w:rFonts w:ascii="Times New Roman" w:cs="Times New Roman" w:eastAsia="Times New Roman" w:hAnsi="Times New Roman"/>
                <w:sz w:val="19"/>
                <w:szCs w:val="19"/>
                <w:b w:val="1"/>
                <w:bCs w:val="1"/>
                <w:color w:val="auto"/>
              </w:rPr>
              <w:t>Notation</w:t>
            </w:r>
          </w:p>
        </w:tc>
      </w:tr>
      <w:tr>
        <w:trPr>
          <w:trHeight w:val="243"/>
        </w:trPr>
        <w:tc>
          <w:tcPr>
            <w:tcW w:w="140" w:type="dxa"/>
            <w:vAlign w:val="bottom"/>
            <w:tcBorders>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9"/>
                <w:szCs w:val="19"/>
                <w:b w:val="1"/>
                <w:bCs w:val="1"/>
                <w:color w:val="auto"/>
              </w:rPr>
              <w:t>Date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Advance</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or Prepaid</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Balance</w:t>
            </w:r>
          </w:p>
        </w:tc>
        <w:tc>
          <w:tcPr>
            <w:tcW w:w="2340" w:type="dxa"/>
            <w:vAlign w:val="bottom"/>
            <w:tcBorders>
              <w:bottom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9"/>
                <w:szCs w:val="19"/>
                <w:b w:val="1"/>
                <w:bCs w:val="1"/>
                <w:color w:val="auto"/>
              </w:rPr>
              <w:t>Made By</w:t>
            </w:r>
          </w:p>
        </w:tc>
      </w:tr>
      <w:tr>
        <w:trPr>
          <w:trHeight w:val="213"/>
        </w:trPr>
        <w:tc>
          <w:tcPr>
            <w:tcW w:w="140" w:type="dxa"/>
            <w:vAlign w:val="bottom"/>
            <w:tcBorders>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r>
      <w:tr>
        <w:trPr>
          <w:trHeight w:val="209"/>
        </w:trPr>
        <w:tc>
          <w:tcPr>
            <w:tcW w:w="140" w:type="dxa"/>
            <w:vAlign w:val="bottom"/>
            <w:tcBorders>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r>
      <w:tr>
        <w:trPr>
          <w:trHeight w:val="1189"/>
        </w:trPr>
        <w:tc>
          <w:tcPr>
            <w:tcW w:w="1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9"/>
          <w:szCs w:val="19"/>
          <w:b w:val="1"/>
          <w:bCs w:val="1"/>
          <w:color w:val="auto"/>
        </w:rPr>
        <w:t>EXHIBIT B to the</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TERM LOAN AGREEMENT</w:t>
      </w:r>
    </w:p>
    <w:p>
      <w:pPr>
        <w:spacing w:after="0" w:line="19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9"/>
          <w:szCs w:val="19"/>
          <w:b w:val="1"/>
          <w:bCs w:val="1"/>
          <w:color w:val="auto"/>
        </w:rPr>
        <w:t>FORM OF NOTICE</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OF BORROWING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NOTICE OF BORROWING</w:t>
      </w:r>
    </w:p>
    <w:p>
      <w:pPr>
        <w:spacing w:after="0" w:line="218"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8"/>
          <w:szCs w:val="18"/>
          <w:color w:val="auto"/>
        </w:rPr>
        <w:t>_________ __, 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PNC BANK, National Association</w:t>
      </w:r>
    </w:p>
    <w:p>
      <w:pPr>
        <w:spacing w:after="0" w:line="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as Administrative Agent</w:t>
      </w:r>
    </w:p>
    <w:p>
      <w:pPr>
        <w:ind w:left="100"/>
        <w:spacing w:after="0" w:line="237" w:lineRule="auto"/>
        <w:rPr>
          <w:sz w:val="20"/>
          <w:szCs w:val="20"/>
          <w:color w:val="auto"/>
        </w:rPr>
      </w:pPr>
      <w:r>
        <w:rPr>
          <w:rFonts w:ascii="Times New Roman" w:cs="Times New Roman" w:eastAsia="Times New Roman" w:hAnsi="Times New Roman"/>
          <w:sz w:val="19"/>
          <w:szCs w:val="19"/>
          <w:color w:val="auto"/>
        </w:rPr>
        <w:t>under the Term Loan Agreement</w:t>
      </w:r>
    </w:p>
    <w:p>
      <w:pPr>
        <w:ind w:left="100"/>
        <w:spacing w:after="0"/>
        <w:rPr>
          <w:sz w:val="20"/>
          <w:szCs w:val="20"/>
          <w:color w:val="auto"/>
        </w:rPr>
      </w:pPr>
      <w:r>
        <w:rPr>
          <w:rFonts w:ascii="Times New Roman" w:cs="Times New Roman" w:eastAsia="Times New Roman" w:hAnsi="Times New Roman"/>
          <w:sz w:val="19"/>
          <w:szCs w:val="19"/>
          <w:color w:val="auto"/>
        </w:rPr>
        <w:t>referred to below</w:t>
      </w:r>
    </w:p>
    <w:p>
      <w:pPr>
        <w:spacing w:after="0" w:line="190" w:lineRule="auto"/>
        <w:rPr>
          <w:sz w:val="20"/>
          <w:szCs w:val="20"/>
          <w:color w:val="auto"/>
        </w:rPr>
      </w:pPr>
      <w:r>
        <w:rPr>
          <w:rFonts w:ascii="Times New Roman" w:cs="Times New Roman" w:eastAsia="Times New Roman" w:hAnsi="Times New Roman"/>
          <w:sz w:val="19"/>
          <w:szCs w:val="19"/>
          <w:color w:val="auto"/>
        </w:rPr>
        <w:t>PNC Firstside Center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Floor</w:t>
      </w:r>
    </w:p>
    <w:p>
      <w:pPr>
        <w:spacing w:after="0" w:line="237" w:lineRule="auto"/>
        <w:rPr>
          <w:sz w:val="20"/>
          <w:szCs w:val="20"/>
          <w:color w:val="auto"/>
        </w:rPr>
      </w:pPr>
      <w:r>
        <w:rPr>
          <w:rFonts w:ascii="Times New Roman" w:cs="Times New Roman" w:eastAsia="Times New Roman" w:hAnsi="Times New Roman"/>
          <w:sz w:val="19"/>
          <w:szCs w:val="19"/>
          <w:color w:val="auto"/>
        </w:rPr>
        <w:t>500 First Avenue</w:t>
      </w:r>
    </w:p>
    <w:p>
      <w:pPr>
        <w:spacing w:after="0" w:line="237" w:lineRule="auto"/>
        <w:rPr>
          <w:sz w:val="20"/>
          <w:szCs w:val="20"/>
          <w:color w:val="auto"/>
        </w:rPr>
      </w:pPr>
      <w:r>
        <w:rPr>
          <w:rFonts w:ascii="Times New Roman" w:cs="Times New Roman" w:eastAsia="Times New Roman" w:hAnsi="Times New Roman"/>
          <w:sz w:val="19"/>
          <w:szCs w:val="19"/>
          <w:color w:val="auto"/>
        </w:rPr>
        <w:t>Pittsburgh, PA 15219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Attention: Nicole Novak</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Ladies and Gentlemen:</w:t>
      </w:r>
    </w:p>
    <w:p>
      <w:pPr>
        <w:spacing w:after="0" w:line="214"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auto"/>
        </w:rPr>
        <w:t>The undersigned, EASTERLY GOVERNMENT PROPERTIES LP, refers to the Term Loan Agreement dated as of June 25, 2026 (as amended, amended and restated, supplemented or otherwise modified from time to time, the “</w:t>
      </w:r>
      <w:r>
        <w:rPr>
          <w:rFonts w:ascii="Times New Roman" w:cs="Times New Roman" w:eastAsia="Times New Roman" w:hAnsi="Times New Roman"/>
          <w:sz w:val="19"/>
          <w:szCs w:val="19"/>
          <w:b w:val="1"/>
          <w:bCs w:val="1"/>
          <w:i w:val="1"/>
          <w:iCs w:val="1"/>
          <w:color w:val="auto"/>
        </w:rPr>
        <w:t>Term Loan Agreement</w:t>
      </w:r>
      <w:r>
        <w:rPr>
          <w:rFonts w:ascii="Times New Roman" w:cs="Times New Roman" w:eastAsia="Times New Roman" w:hAnsi="Times New Roman"/>
          <w:sz w:val="19"/>
          <w:szCs w:val="19"/>
          <w:color w:val="auto"/>
        </w:rPr>
        <w:t>”; the terms defined therein being used herein as therein defined), among the undersigned, Easterly Government Properties, Inc., as Parent, the Subsidiary Guarantors party thereto, the Lenders party thereto, PNC Bank, National Association, as Administrative Agent for the Lenders, and the Arrangers party thereto, and hereby gives you notice pursuant to Section 2.02 of the Term Loan Agreement (which notice is irrevocable pursuant to Section 2.02(c) of the Term Loan Agreement) that the undersigned hereby requests a Borrowing under the Term Loan Agreement, and in that connection sets forth below the information relating to such Borrowing (the “</w:t>
      </w:r>
      <w:r>
        <w:rPr>
          <w:rFonts w:ascii="Times New Roman" w:cs="Times New Roman" w:eastAsia="Times New Roman" w:hAnsi="Times New Roman"/>
          <w:sz w:val="19"/>
          <w:szCs w:val="19"/>
          <w:b w:val="1"/>
          <w:bCs w:val="1"/>
          <w:i w:val="1"/>
          <w:iCs w:val="1"/>
          <w:color w:val="auto"/>
        </w:rPr>
        <w:t>Proposed Borrowing</w:t>
      </w:r>
      <w:r>
        <w:rPr>
          <w:rFonts w:ascii="Times New Roman" w:cs="Times New Roman" w:eastAsia="Times New Roman" w:hAnsi="Times New Roman"/>
          <w:sz w:val="19"/>
          <w:szCs w:val="19"/>
          <w:color w:val="auto"/>
        </w:rPr>
        <w:t>”) as required by Section 2.02(a) of the Term Loan Agreement:</w:t>
      </w:r>
    </w:p>
    <w:p>
      <w:pPr>
        <w:spacing w:after="0" w:line="186" w:lineRule="exact"/>
        <w:rPr>
          <w:sz w:val="20"/>
          <w:szCs w:val="20"/>
          <w:color w:val="auto"/>
        </w:rPr>
      </w:pPr>
    </w:p>
    <w:p>
      <w:pPr>
        <w:ind w:left="1140" w:hanging="758"/>
        <w:spacing w:after="0"/>
        <w:tabs>
          <w:tab w:leader="none" w:pos="1140"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Business Day of the Proposed Borrowing is _________ __, ____.</w:t>
      </w:r>
    </w:p>
    <w:p>
      <w:pPr>
        <w:spacing w:after="0" w:line="213" w:lineRule="exact"/>
        <w:rPr>
          <w:rFonts w:ascii="Times New Roman" w:cs="Times New Roman" w:eastAsia="Times New Roman" w:hAnsi="Times New Roman"/>
          <w:sz w:val="19"/>
          <w:szCs w:val="19"/>
          <w:color w:val="auto"/>
        </w:rPr>
      </w:pPr>
    </w:p>
    <w:p>
      <w:pPr>
        <w:ind w:left="1140" w:hanging="758"/>
        <w:spacing w:after="0"/>
        <w:tabs>
          <w:tab w:leader="none" w:pos="1140"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Type of Advances comprising the Proposed Borrowing is [Base Rate Advances] [Term SOFR Advances] [DSS Advances].</w:t>
      </w:r>
    </w:p>
    <w:p>
      <w:pPr>
        <w:spacing w:after="0" w:line="213" w:lineRule="exact"/>
        <w:rPr>
          <w:rFonts w:ascii="Times New Roman" w:cs="Times New Roman" w:eastAsia="Times New Roman" w:hAnsi="Times New Roman"/>
          <w:sz w:val="19"/>
          <w:szCs w:val="19"/>
          <w:color w:val="auto"/>
        </w:rPr>
      </w:pPr>
    </w:p>
    <w:p>
      <w:pPr>
        <w:ind w:left="1140" w:hanging="758"/>
        <w:spacing w:after="0"/>
        <w:tabs>
          <w:tab w:leader="none" w:pos="1140"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amount of the Proposed Borrowing is $[__________].</w:t>
      </w:r>
    </w:p>
    <w:p>
      <w:pPr>
        <w:spacing w:after="0" w:line="221" w:lineRule="exact"/>
        <w:rPr>
          <w:rFonts w:ascii="Times New Roman" w:cs="Times New Roman" w:eastAsia="Times New Roman" w:hAnsi="Times New Roman"/>
          <w:sz w:val="19"/>
          <w:szCs w:val="19"/>
          <w:color w:val="auto"/>
        </w:rPr>
      </w:pPr>
    </w:p>
    <w:p>
      <w:pPr>
        <w:ind w:left="1140" w:hanging="758"/>
        <w:spacing w:after="0"/>
        <w:tabs>
          <w:tab w:leader="none" w:pos="1140"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initial Interest Period for each Term SOFR Advance made as part of the Proposed Borrowing is __________ month[s].]</w:t>
      </w:r>
      <w:r>
        <w:rPr>
          <w:rFonts w:ascii="Times New Roman" w:cs="Times New Roman" w:eastAsia="Times New Roman" w:hAnsi="Times New Roman"/>
          <w:sz w:val="25"/>
          <w:szCs w:val="25"/>
          <w:color w:val="auto"/>
          <w:vertAlign w:val="superscript"/>
        </w:rPr>
        <w:t>1</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The undersigned hereby certifies that the following statements are true on the date hereof, and will be true on the date of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Proposed Borrowing:</w:t>
      </w:r>
    </w:p>
    <w:p>
      <w:pPr>
        <w:spacing w:after="0" w:line="194" w:lineRule="exact"/>
        <w:rPr>
          <w:sz w:val="20"/>
          <w:szCs w:val="20"/>
          <w:color w:val="auto"/>
        </w:rPr>
      </w:pPr>
    </w:p>
    <w:p>
      <w:pPr>
        <w:jc w:val="both"/>
        <w:ind w:left="1580" w:hanging="449"/>
        <w:spacing w:after="0" w:line="242" w:lineRule="auto"/>
        <w:tabs>
          <w:tab w:leader="none" w:pos="1580"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representations and warranties contained in each Loan Document are true and correct on and as of the date of the Proposed Borrowing in all material respects except to the extent (i) any such representation or warranty is qualified as to materiality or Material Adverse Effect, in which case such representation or warranty shall be true and correct in all respects and/or (ii) the representation or warranty is no longer true and correct as a result of changes in facts and circumstances that do not constitute, or result from, a breach by the Borrower of any of its covenants and do not otherwise constitute or result in a Default or Event of Default and/or (iii) such representation or warranty is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1688465" cy="508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301" w:lineRule="exact"/>
        <w:rPr>
          <w:sz w:val="20"/>
          <w:szCs w:val="20"/>
          <w:color w:val="auto"/>
        </w:rPr>
      </w:pPr>
    </w:p>
    <w:p>
      <w:pPr>
        <w:ind w:left="120" w:hanging="112"/>
        <w:spacing w:after="0"/>
        <w:tabs>
          <w:tab w:leader="none" w:pos="120" w:val="left"/>
        </w:tabs>
        <w:numPr>
          <w:ilvl w:val="0"/>
          <w:numId w:val="1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 the case of Term SOFR Advances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723265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7" w:right="339" w:bottom="1440" w:gutter="0" w:footer="0" w:header="0"/>
        </w:sectPr>
      </w:pPr>
    </w:p>
    <w:bookmarkStart w:id="149" w:name="page150"/>
    <w:bookmarkEnd w:id="149"/>
    <w:p>
      <w:pPr>
        <w:jc w:val="both"/>
        <w:ind w:left="1580"/>
        <w:spacing w:after="0" w:line="246" w:lineRule="auto"/>
        <w:rPr>
          <w:sz w:val="20"/>
          <w:szCs w:val="20"/>
          <w:color w:val="auto"/>
        </w:rPr>
      </w:pPr>
      <w:r>
        <w:rPr>
          <w:rFonts w:ascii="Times New Roman" w:cs="Times New Roman" w:eastAsia="Times New Roman" w:hAnsi="Times New Roman"/>
          <w:sz w:val="19"/>
          <w:szCs w:val="19"/>
          <w:color w:val="auto"/>
        </w:rPr>
        <w:t>to relate solely to an earlier date, in which case such representation or warranty shall have been true and correct on and as of such earlier date, and/or (iv) any such representation or warranty is no longer true and correct as a result of factual changes since the Closing Date that are permitted under the Term Loan Agreement before and after giving effect to (1) such Proposed Borrowing and (2) the application of the proceeds therefrom, as though made on and as of the date of the Proposed Borrowing;</w:t>
      </w:r>
    </w:p>
    <w:p>
      <w:pPr>
        <w:spacing w:after="0" w:line="184" w:lineRule="exact"/>
        <w:rPr>
          <w:sz w:val="20"/>
          <w:szCs w:val="20"/>
          <w:color w:val="auto"/>
        </w:rPr>
      </w:pPr>
    </w:p>
    <w:p>
      <w:pPr>
        <w:ind w:left="1580" w:hanging="449"/>
        <w:spacing w:after="0" w:line="265" w:lineRule="auto"/>
        <w:tabs>
          <w:tab w:leader="none" w:pos="1580"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or Event of Default has occurred and is continuing, or would result from (1) such Proposed Borrowing or (2) from the application of the proceeds therefrom;</w:t>
      </w:r>
    </w:p>
    <w:p>
      <w:pPr>
        <w:spacing w:after="0" w:line="165" w:lineRule="exact"/>
        <w:rPr>
          <w:rFonts w:ascii="Times New Roman" w:cs="Times New Roman" w:eastAsia="Times New Roman" w:hAnsi="Times New Roman"/>
          <w:sz w:val="19"/>
          <w:szCs w:val="19"/>
          <w:color w:val="auto"/>
        </w:rPr>
      </w:pPr>
    </w:p>
    <w:p>
      <w:pPr>
        <w:ind w:left="1580" w:hanging="449"/>
        <w:spacing w:after="0" w:line="265" w:lineRule="auto"/>
        <w:tabs>
          <w:tab w:leader="none" w:pos="1580"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Before and after giving effect to such Proposed Borrowing, the Parent Guarantor shall be in compliance with the covenants contained in Section 5.04; and</w:t>
      </w:r>
    </w:p>
    <w:p>
      <w:pPr>
        <w:spacing w:after="0" w:line="165" w:lineRule="exact"/>
        <w:rPr>
          <w:rFonts w:ascii="Times New Roman" w:cs="Times New Roman" w:eastAsia="Times New Roman" w:hAnsi="Times New Roman"/>
          <w:sz w:val="19"/>
          <w:szCs w:val="19"/>
          <w:color w:val="auto"/>
        </w:rPr>
      </w:pPr>
    </w:p>
    <w:p>
      <w:pPr>
        <w:ind w:left="1580" w:hanging="449"/>
        <w:spacing w:after="0" w:line="265" w:lineRule="auto"/>
        <w:tabs>
          <w:tab w:leader="none" w:pos="1580"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Attached as Schedule A is supporting information showing the computations used in determining compliance with the covenants contained in Section 5.04.</w:t>
      </w:r>
    </w:p>
    <w:p>
      <w:pPr>
        <w:spacing w:after="0" w:line="166"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9"/>
          <w:szCs w:val="19"/>
          <w:color w:val="auto"/>
        </w:rPr>
        <w:t>Delivery of an executed counterpart of this Notice of Borrowing by e-mail with a .pdf or similar attachment containing the legible signature of the person executing this Notice of Borrowing shall be effective as delivery of an original executed counterpart of this Notice of Borrowing.</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[Balance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759460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Very truly yours,</w:t>
      </w:r>
    </w:p>
    <w:p>
      <w:pPr>
        <w:spacing w:after="0" w:line="21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b w:val="1"/>
          <w:bCs w:val="1"/>
          <w:color w:val="auto"/>
        </w:rPr>
        <w:t>EASTERLY GOVERNMENT PROPERTIES LP,</w:t>
      </w:r>
    </w:p>
    <w:p>
      <w:pPr>
        <w:spacing w:after="0" w:line="2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partnership</w:t>
      </w:r>
    </w:p>
    <w:p>
      <w:pPr>
        <w:spacing w:after="0" w:line="190" w:lineRule="exact"/>
        <w:rPr>
          <w:sz w:val="20"/>
          <w:szCs w:val="20"/>
          <w:color w:val="auto"/>
        </w:rPr>
      </w:pPr>
    </w:p>
    <w:p>
      <w:pPr>
        <w:ind w:left="3020" w:right="1759" w:hanging="379"/>
        <w:spacing w:after="0" w:line="270" w:lineRule="auto"/>
        <w:tabs>
          <w:tab w:leader="none" w:pos="300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b w:val="1"/>
          <w:bCs w:val="1"/>
          <w:color w:val="auto"/>
        </w:rPr>
        <w:t>EASTERLY GOVERNMENT PROPERTIES, INC.</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 Maryland corporation, its general partner</w:t>
      </w:r>
    </w:p>
    <w:p>
      <w:pPr>
        <w:spacing w:after="0" w:line="37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9"/>
          <w:szCs w:val="19"/>
          <w:color w:val="auto"/>
        </w:rPr>
        <w:t>By: ____________________________</w:t>
      </w:r>
    </w:p>
    <w:p>
      <w:pPr>
        <w:spacing w:after="0" w:line="1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9"/>
          <w:szCs w:val="19"/>
          <w:color w:val="auto"/>
        </w:rPr>
        <w:t>Name:</w:t>
      </w:r>
    </w:p>
    <w:p>
      <w:pPr>
        <w:ind w:left="320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1155700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9"/>
          <w:szCs w:val="19"/>
          <w:b w:val="1"/>
          <w:bCs w:val="1"/>
          <w:color w:val="auto"/>
        </w:rPr>
        <w:t>EXHIBIT C to the</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TERM LOAN AGREEMENT</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FORM OF</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GUARANTY SUPPLEMENT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GUARANTY SUPPLEMENT</w:t>
      </w:r>
    </w:p>
    <w:p>
      <w:pPr>
        <w:spacing w:after="0" w:line="22"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8"/>
          <w:szCs w:val="18"/>
          <w:color w:val="auto"/>
        </w:rPr>
        <w:t>_________ __, ____</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PNC BANK, National Association</w:t>
      </w:r>
    </w:p>
    <w:p>
      <w:pPr>
        <w:spacing w:after="0" w:line="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as Administrative Agent</w:t>
      </w:r>
    </w:p>
    <w:p>
      <w:pPr>
        <w:ind w:left="100"/>
        <w:spacing w:after="0" w:line="237" w:lineRule="auto"/>
        <w:rPr>
          <w:sz w:val="20"/>
          <w:szCs w:val="20"/>
          <w:color w:val="auto"/>
        </w:rPr>
      </w:pPr>
      <w:r>
        <w:rPr>
          <w:rFonts w:ascii="Times New Roman" w:cs="Times New Roman" w:eastAsia="Times New Roman" w:hAnsi="Times New Roman"/>
          <w:sz w:val="19"/>
          <w:szCs w:val="19"/>
          <w:color w:val="auto"/>
        </w:rPr>
        <w:t>under the Term Loan Agreement</w:t>
      </w:r>
    </w:p>
    <w:p>
      <w:pPr>
        <w:ind w:left="100"/>
        <w:spacing w:after="0"/>
        <w:rPr>
          <w:sz w:val="20"/>
          <w:szCs w:val="20"/>
          <w:color w:val="auto"/>
        </w:rPr>
      </w:pPr>
      <w:r>
        <w:rPr>
          <w:rFonts w:ascii="Times New Roman" w:cs="Times New Roman" w:eastAsia="Times New Roman" w:hAnsi="Times New Roman"/>
          <w:sz w:val="19"/>
          <w:szCs w:val="19"/>
          <w:color w:val="auto"/>
        </w:rPr>
        <w:t>referred to below</w:t>
      </w:r>
    </w:p>
    <w:p>
      <w:pPr>
        <w:spacing w:after="0" w:line="190" w:lineRule="auto"/>
        <w:rPr>
          <w:sz w:val="20"/>
          <w:szCs w:val="20"/>
          <w:color w:val="auto"/>
        </w:rPr>
      </w:pPr>
      <w:r>
        <w:rPr>
          <w:rFonts w:ascii="Times New Roman" w:cs="Times New Roman" w:eastAsia="Times New Roman" w:hAnsi="Times New Roman"/>
          <w:sz w:val="19"/>
          <w:szCs w:val="19"/>
          <w:color w:val="auto"/>
        </w:rPr>
        <w:t>PNC Firstside Center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Floor</w:t>
      </w:r>
    </w:p>
    <w:p>
      <w:pPr>
        <w:spacing w:after="0" w:line="237" w:lineRule="auto"/>
        <w:rPr>
          <w:sz w:val="20"/>
          <w:szCs w:val="20"/>
          <w:color w:val="auto"/>
        </w:rPr>
      </w:pPr>
      <w:r>
        <w:rPr>
          <w:rFonts w:ascii="Times New Roman" w:cs="Times New Roman" w:eastAsia="Times New Roman" w:hAnsi="Times New Roman"/>
          <w:sz w:val="19"/>
          <w:szCs w:val="19"/>
          <w:color w:val="auto"/>
        </w:rPr>
        <w:t>500 First Avenue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Pittsburgh, PA 15219</w:t>
      </w:r>
    </w:p>
    <w:p>
      <w:pPr>
        <w:spacing w:after="0" w:line="200" w:lineRule="exact"/>
        <w:rPr>
          <w:sz w:val="20"/>
          <w:szCs w:val="20"/>
          <w:color w:val="auto"/>
        </w:rPr>
      </w:pPr>
    </w:p>
    <w:p>
      <w:pPr>
        <w:spacing w:after="0" w:line="2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b w:val="1"/>
          <w:bCs w:val="1"/>
          <w:color w:val="auto"/>
        </w:rPr>
        <w:t>Term Loan Agreement dated as of June 25, 2026 (as in effect on the date hereof and as it may hereafter be amended, amended and restated, supplemented or otherwise modified from time to time, the “</w:t>
      </w:r>
      <w:r>
        <w:rPr>
          <w:rFonts w:ascii="Times New Roman" w:cs="Times New Roman" w:eastAsia="Times New Roman" w:hAnsi="Times New Roman"/>
          <w:sz w:val="19"/>
          <w:szCs w:val="19"/>
          <w:b w:val="1"/>
          <w:bCs w:val="1"/>
          <w:i w:val="1"/>
          <w:iCs w:val="1"/>
          <w:color w:val="auto"/>
        </w:rPr>
        <w:t>Term Loan Agreement</w:t>
      </w:r>
      <w:r>
        <w:rPr>
          <w:rFonts w:ascii="Times New Roman" w:cs="Times New Roman" w:eastAsia="Times New Roman" w:hAnsi="Times New Roman"/>
          <w:sz w:val="19"/>
          <w:szCs w:val="19"/>
          <w:b w:val="1"/>
          <w:bCs w:val="1"/>
          <w:color w:val="auto"/>
        </w:rPr>
        <w:t>”), among Easterly Government Properties LP, as Borrower, Easterly Government Properties, Inc., as Parent, the Subsidiary Guarantors party thereto, the Lenders party thereto, PNC Bank, National Association, as Administrative Agent for the Lenders, and the Arrangers party thereto.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Ladies and Gentlemen:</w:t>
      </w:r>
    </w:p>
    <w:p>
      <w:pPr>
        <w:spacing w:after="0" w:line="21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auto"/>
        </w:rPr>
        <w:t>Reference is made to the above-captioned Term Loan Agreement and to the Guaranty set forth in Article VII thereof (such Guaranty, as in effect on the date hereof and as it may hereafter be amended, supplemented or otherwise modified from time to time, together with this Guaranty Supplement, being the “</w:t>
      </w:r>
      <w:r>
        <w:rPr>
          <w:rFonts w:ascii="Times New Roman" w:cs="Times New Roman" w:eastAsia="Times New Roman" w:hAnsi="Times New Roman"/>
          <w:sz w:val="19"/>
          <w:szCs w:val="19"/>
          <w:b w:val="1"/>
          <w:bCs w:val="1"/>
          <w:i w:val="1"/>
          <w:iCs w:val="1"/>
          <w:color w:val="auto"/>
        </w:rPr>
        <w:t>Guaranty</w:t>
      </w:r>
      <w:r>
        <w:rPr>
          <w:rFonts w:ascii="Times New Roman" w:cs="Times New Roman" w:eastAsia="Times New Roman" w:hAnsi="Times New Roman"/>
          <w:sz w:val="19"/>
          <w:szCs w:val="19"/>
          <w:color w:val="auto"/>
        </w:rPr>
        <w:t>”). The capitalized terms defined in the Term Loan Agreement and not otherwise defined herein are used herein as therein defined.</w:t>
      </w:r>
    </w:p>
    <w:p>
      <w:pPr>
        <w:spacing w:after="0" w:line="184"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19"/>
          <w:szCs w:val="19"/>
          <w:color w:val="auto"/>
        </w:rPr>
        <w:t xml:space="preserve">Section 1. </w:t>
      </w:r>
      <w:r>
        <w:rPr>
          <w:rFonts w:ascii="Times New Roman" w:cs="Times New Roman" w:eastAsia="Times New Roman" w:hAnsi="Times New Roman"/>
          <w:sz w:val="19"/>
          <w:szCs w:val="19"/>
          <w:u w:val="single" w:color="auto"/>
          <w:color w:val="auto"/>
        </w:rPr>
        <w:t>Guaranty; Limitation of Liability</w:t>
      </w:r>
      <w:r>
        <w:rPr>
          <w:rFonts w:ascii="Times New Roman" w:cs="Times New Roman" w:eastAsia="Times New Roman" w:hAnsi="Times New Roman"/>
          <w:sz w:val="19"/>
          <w:szCs w:val="19"/>
          <w:color w:val="auto"/>
        </w:rPr>
        <w:t>. (a) Subject to the terms of the Term Loan Agreement, including, without limitation, Section 9.14: The undersigned hereby absolutely, unconditionally and irrevocably guarantees the punctual payment when due, whether at scheduled maturity or on any date of a required prepayment or by acceleration, demand or otherwise, of all Obligations of the Borrower and each other Loan Party now or hereafter existing under or in respect of the Loan Documents (including, without limitation, any extensions, modifications, substitutions, amendments or renewals of any or all of the foregoing Obligations, but in each case, excluding all Excluded Swap Obligations), whether direct or indirect, absolute or contingent, and whether for principal, interest, premiums, fees, indemnities, contract causes of action, costs, expenses or otherwise (such Obligations being the “</w:t>
      </w:r>
      <w:r>
        <w:rPr>
          <w:rFonts w:ascii="Times New Roman" w:cs="Times New Roman" w:eastAsia="Times New Roman" w:hAnsi="Times New Roman"/>
          <w:sz w:val="19"/>
          <w:szCs w:val="19"/>
          <w:b w:val="1"/>
          <w:bCs w:val="1"/>
          <w:i w:val="1"/>
          <w:iCs w:val="1"/>
          <w:color w:val="auto"/>
        </w:rPr>
        <w:t>Guaranteed Obligations</w:t>
      </w:r>
      <w:r>
        <w:rPr>
          <w:rFonts w:ascii="Times New Roman" w:cs="Times New Roman" w:eastAsia="Times New Roman" w:hAnsi="Times New Roman"/>
          <w:sz w:val="19"/>
          <w:szCs w:val="19"/>
          <w:color w:val="auto"/>
        </w:rPr>
        <w:t>”), and agrees to pay any and all expenses (including, without limitation, fees and expenses of counsel) incurred by the Administrative Agent, any Lender or any Hedge Bank in enforcing any rights under this Guaranty Supplement, the Guaranty, the Term Loan Agreement or any other Loan Document. Without limiting the generality of the foregoing, the undersigned’s liability shall extend to all amounts that constitute part of the Guaranteed Obligations and would be owed by any other Loan Party to the Administrative Agent, any Lender or any Hedge Bank under or in respect of the Loan Documents but for the fact that they are unenforceable or not allowable due to the existence of a bankruptcy, reorganization or similar proceeding involving such other Loan Party. This Guaranty is and constitutes a guaranty of payment and not merely of collection.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1019810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52" w:name="page153"/>
    <w:bookmarkEnd w:id="152"/>
    <w:p>
      <w:pPr>
        <w:jc w:val="both"/>
        <w:ind w:firstLine="1505"/>
        <w:spacing w:after="0" w:line="241" w:lineRule="auto"/>
        <w:tabs>
          <w:tab w:leader="none" w:pos="1875"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undersigned, and by its acceptance of the benefits of this Guaranty Supplement, the Administrative Agent, each Lender and each Hedge Bank, hereby confirms that it is the intention of all such Persons that this Guaranty Supplement, the Guaranty and the Obligations of the undersigned hereunder and thereunder not constitute a fraudulent transfer or conveyance for purposes of Bankruptcy Law, the Uniform Fraudulent Conveyance Act, the Uniform Fraudulent Transfer Act or any similar foreign, federal or state law to the extent applicable to this Guaranty Supplement, the Guaranty and the Obligations of the undersigned hereunder and thereunder. To effectuate the foregoing intention, the Administrative Agent, the Lenders, the Hedge Banks and the undersigned hereby irrevocably agree that the Obligations of the undersigned under this Guaranty Supplement and the Guaranty at any time shall be limited to the maximum amount as will result in the Obligations of the undersigned under this Guaranty Supplement and the Guaranty not constituting a fraudulent transfer or conveyance.</w:t>
      </w:r>
    </w:p>
    <w:p>
      <w:pPr>
        <w:spacing w:after="0" w:line="188" w:lineRule="exact"/>
        <w:rPr>
          <w:rFonts w:ascii="Times New Roman" w:cs="Times New Roman" w:eastAsia="Times New Roman" w:hAnsi="Times New Roman"/>
          <w:sz w:val="19"/>
          <w:szCs w:val="19"/>
          <w:color w:val="auto"/>
        </w:rPr>
      </w:pPr>
    </w:p>
    <w:p>
      <w:pPr>
        <w:jc w:val="both"/>
        <w:ind w:firstLine="1505"/>
        <w:spacing w:after="0" w:line="246" w:lineRule="auto"/>
        <w:tabs>
          <w:tab w:leader="none" w:pos="1875"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undersigned hereby unconditionally and irrevocably agrees that in the event any payment shall be required to be made to the Administrative Agent, any Lender or any Hedge Bank under this Guaranty Supplement, the Guaranty or any other guaranty, the undersigned will contribute, to the maximum extent permitted by law, such amounts to each other Subsidiary Guarantor and each other guarantor so as to maximize the aggregate amount paid to the Administrative Agent, the Lenders and the Hedge Banks under or in respect of the Loan Documents.</w:t>
      </w:r>
    </w:p>
    <w:p>
      <w:pPr>
        <w:spacing w:after="0" w:line="184"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auto"/>
        </w:rPr>
        <w:t xml:space="preserve">Section 2. </w:t>
      </w:r>
      <w:r>
        <w:rPr>
          <w:rFonts w:ascii="Times New Roman" w:cs="Times New Roman" w:eastAsia="Times New Roman" w:hAnsi="Times New Roman"/>
          <w:sz w:val="19"/>
          <w:szCs w:val="19"/>
          <w:u w:val="single" w:color="auto"/>
          <w:color w:val="auto"/>
        </w:rPr>
        <w:t>Obligations Under the Guaranty</w:t>
      </w:r>
      <w:r>
        <w:rPr>
          <w:rFonts w:ascii="Times New Roman" w:cs="Times New Roman" w:eastAsia="Times New Roman" w:hAnsi="Times New Roman"/>
          <w:sz w:val="19"/>
          <w:szCs w:val="19"/>
          <w:color w:val="auto"/>
        </w:rPr>
        <w:t>. The undersigned hereby agrees, as of the date first above written, to be bound as a Subsidiary Guarantor by all of the terms and conditions of the Term Loan Agreement and the Guaranty to the same extent as each of the other Subsidiary Guarantors thereunder (including, without limitation, Section 7.02 through and including Section 7.09 thereof). The undersigned further agrees, as of the date first above written, that each reference in the Term Loan Agreement to an “</w:t>
      </w:r>
      <w:r>
        <w:rPr>
          <w:rFonts w:ascii="Times New Roman" w:cs="Times New Roman" w:eastAsia="Times New Roman" w:hAnsi="Times New Roman"/>
          <w:sz w:val="19"/>
          <w:szCs w:val="19"/>
          <w:i w:val="1"/>
          <w:iCs w:val="1"/>
          <w:color w:val="auto"/>
        </w:rPr>
        <w:t>Additional Guarantor</w:t>
      </w:r>
      <w:r>
        <w:rPr>
          <w:rFonts w:ascii="Times New Roman" w:cs="Times New Roman" w:eastAsia="Times New Roman" w:hAnsi="Times New Roman"/>
          <w:sz w:val="19"/>
          <w:szCs w:val="19"/>
          <w:color w:val="auto"/>
        </w:rPr>
        <w:t>”, a “</w:t>
      </w:r>
      <w:r>
        <w:rPr>
          <w:rFonts w:ascii="Times New Roman" w:cs="Times New Roman" w:eastAsia="Times New Roman" w:hAnsi="Times New Roman"/>
          <w:sz w:val="19"/>
          <w:szCs w:val="19"/>
          <w:i w:val="1"/>
          <w:iCs w:val="1"/>
          <w:color w:val="auto"/>
        </w:rPr>
        <w:t>Loan Party</w:t>
      </w:r>
      <w:r>
        <w:rPr>
          <w:rFonts w:ascii="Times New Roman" w:cs="Times New Roman" w:eastAsia="Times New Roman" w:hAnsi="Times New Roman"/>
          <w:sz w:val="19"/>
          <w:szCs w:val="19"/>
          <w:color w:val="auto"/>
        </w:rPr>
        <w:t>” or a “</w:t>
      </w:r>
      <w:r>
        <w:rPr>
          <w:rFonts w:ascii="Times New Roman" w:cs="Times New Roman" w:eastAsia="Times New Roman" w:hAnsi="Times New Roman"/>
          <w:sz w:val="19"/>
          <w:szCs w:val="19"/>
          <w:i w:val="1"/>
          <w:iCs w:val="1"/>
          <w:color w:val="auto"/>
        </w:rPr>
        <w:t>Subsidiary Guarantor</w:t>
      </w:r>
      <w:r>
        <w:rPr>
          <w:rFonts w:ascii="Times New Roman" w:cs="Times New Roman" w:eastAsia="Times New Roman" w:hAnsi="Times New Roman"/>
          <w:sz w:val="19"/>
          <w:szCs w:val="19"/>
          <w:color w:val="auto"/>
        </w:rPr>
        <w:t>” shall also mean and be a reference to the undersigned, and each reference in any other Loan Document to a “</w:t>
      </w:r>
      <w:r>
        <w:rPr>
          <w:rFonts w:ascii="Times New Roman" w:cs="Times New Roman" w:eastAsia="Times New Roman" w:hAnsi="Times New Roman"/>
          <w:sz w:val="19"/>
          <w:szCs w:val="19"/>
          <w:i w:val="1"/>
          <w:iCs w:val="1"/>
          <w:color w:val="auto"/>
        </w:rPr>
        <w:t>Subsidiary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Guarantor</w:t>
      </w:r>
      <w:r>
        <w:rPr>
          <w:rFonts w:ascii="Times New Roman" w:cs="Times New Roman" w:eastAsia="Times New Roman" w:hAnsi="Times New Roman"/>
          <w:sz w:val="19"/>
          <w:szCs w:val="19"/>
          <w:color w:val="auto"/>
        </w:rPr>
        <w:t>” or a “</w:t>
      </w:r>
      <w:r>
        <w:rPr>
          <w:rFonts w:ascii="Times New Roman" w:cs="Times New Roman" w:eastAsia="Times New Roman" w:hAnsi="Times New Roman"/>
          <w:sz w:val="19"/>
          <w:szCs w:val="19"/>
          <w:i w:val="1"/>
          <w:iCs w:val="1"/>
          <w:color w:val="auto"/>
        </w:rPr>
        <w:t>Loan Party</w:t>
      </w:r>
      <w:r>
        <w:rPr>
          <w:rFonts w:ascii="Times New Roman" w:cs="Times New Roman" w:eastAsia="Times New Roman" w:hAnsi="Times New Roman"/>
          <w:sz w:val="19"/>
          <w:szCs w:val="19"/>
          <w:color w:val="auto"/>
        </w:rPr>
        <w:t>” shall also mean and be a reference to the undersigned.</w:t>
      </w:r>
    </w:p>
    <w:p>
      <w:pPr>
        <w:spacing w:after="0" w:line="19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auto"/>
        </w:rPr>
        <w:t xml:space="preserve">Section 3. </w:t>
      </w: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 xml:space="preserve">. The undersigned hereby makes each representation and warranty set forth in Section 4.01 of the Term Loan Agreement to the same extent as each other Subsidiary Guarantor. To the extent required by Section 5.01(j)(iv) of the Term Loan Agreement, attached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hereto is an updated Schedule 4.01(b) and/or Schedule 4.01(p) to the Term Loan Agreement (or the factual information needed to update such Schedules).</w:t>
      </w:r>
    </w:p>
    <w:p>
      <w:pPr>
        <w:spacing w:after="0" w:line="184"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9"/>
          <w:szCs w:val="19"/>
          <w:color w:val="auto"/>
        </w:rPr>
        <w:t xml:space="preserve">Section 4. </w:t>
      </w:r>
      <w:r>
        <w:rPr>
          <w:rFonts w:ascii="Times New Roman" w:cs="Times New Roman" w:eastAsia="Times New Roman" w:hAnsi="Times New Roman"/>
          <w:sz w:val="19"/>
          <w:szCs w:val="19"/>
          <w:u w:val="single" w:color="auto"/>
          <w:color w:val="auto"/>
        </w:rPr>
        <w:t>Delivery by Telecopier</w:t>
      </w:r>
      <w:r>
        <w:rPr>
          <w:rFonts w:ascii="Times New Roman" w:cs="Times New Roman" w:eastAsia="Times New Roman" w:hAnsi="Times New Roman"/>
          <w:sz w:val="19"/>
          <w:szCs w:val="19"/>
          <w:color w:val="auto"/>
        </w:rPr>
        <w:t>. Delivery of an executed counterpart of a signature page to this Guaranty Supplement by telecopier or by e-mail with a .pdf or similar attachment containing the legible signature of the person executing this Guaranty Supplement shall be effective as delivery of an original executed counterpart of this Guaranty Supplement.</w:t>
      </w:r>
    </w:p>
    <w:p>
      <w:pPr>
        <w:spacing w:after="0" w:line="179" w:lineRule="exact"/>
        <w:rPr>
          <w:sz w:val="20"/>
          <w:szCs w:val="20"/>
          <w:color w:val="auto"/>
        </w:rPr>
      </w:pPr>
    </w:p>
    <w:p>
      <w:pPr>
        <w:ind w:right="140" w:firstLine="1497"/>
        <w:spacing w:after="0" w:line="265" w:lineRule="auto"/>
        <w:rPr>
          <w:sz w:val="20"/>
          <w:szCs w:val="20"/>
          <w:color w:val="auto"/>
        </w:rPr>
      </w:pPr>
      <w:r>
        <w:rPr>
          <w:rFonts w:ascii="Times New Roman" w:cs="Times New Roman" w:eastAsia="Times New Roman" w:hAnsi="Times New Roman"/>
          <w:sz w:val="19"/>
          <w:szCs w:val="19"/>
          <w:color w:val="auto"/>
        </w:rPr>
        <w:t xml:space="preserve">Section 5. </w:t>
      </w:r>
      <w:r>
        <w:rPr>
          <w:rFonts w:ascii="Times New Roman" w:cs="Times New Roman" w:eastAsia="Times New Roman" w:hAnsi="Times New Roman"/>
          <w:sz w:val="19"/>
          <w:szCs w:val="19"/>
          <w:u w:val="single" w:color="auto"/>
          <w:color w:val="auto"/>
        </w:rPr>
        <w:t>Governing Law; Jurisdiction; Waiver of Jury Trial, Etc</w:t>
      </w:r>
      <w:r>
        <w:rPr>
          <w:rFonts w:ascii="Times New Roman" w:cs="Times New Roman" w:eastAsia="Times New Roman" w:hAnsi="Times New Roman"/>
          <w:sz w:val="19"/>
          <w:szCs w:val="19"/>
          <w:color w:val="auto"/>
        </w:rPr>
        <w:t>. (a) This Guaranty Supplement shall be governed by, and construed in accordance with, the laws of the State of New York.</w:t>
      </w:r>
    </w:p>
    <w:p>
      <w:pPr>
        <w:spacing w:after="0" w:line="166" w:lineRule="exact"/>
        <w:rPr>
          <w:sz w:val="20"/>
          <w:szCs w:val="20"/>
          <w:color w:val="auto"/>
        </w:rPr>
      </w:pPr>
    </w:p>
    <w:p>
      <w:pPr>
        <w:jc w:val="both"/>
        <w:ind w:firstLine="1505"/>
        <w:spacing w:after="0"/>
        <w:tabs>
          <w:tab w:leader="none" w:pos="1875"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undersigned hereby irrevocably and unconditionally agrees that it will not commence any action, litigation or other proceeding of any kind or description, whether in law or equity, whether in contract or in tort or otherwise, arising out of or relating to this Guaranty Supplement, the Guaranty, the Term Loan Agreement or any of the other Loan Documents to which it is, against any other party hereto in any forum other than the courts of the State of New York sitting in New York County, and of the United States District Court of the Southern District of New York, and any appellate court from any thereof and the undersigned irrevocably and unconditionally submits to the jurisdiction of such courts, and each undersigned hereby irrevocably and unconditionally agrees that all claims in respect of any such action, litigation or proceeding may be heard and determined in any such New York State court or, to the extent permitted or required by law, in such Federal court. The undersigned agrees that a final judgment in any such action or proceeding shall be conclusive and may be enforced in other jurisdictions by suit on the judgment or in any other manner provided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881380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3" w:name="page154"/>
    <w:bookmarkEnd w:id="153"/>
    <w:p>
      <w:pPr>
        <w:jc w:val="both"/>
        <w:ind w:firstLine="1505"/>
        <w:spacing w:after="0" w:line="241" w:lineRule="auto"/>
        <w:tabs>
          <w:tab w:leader="none" w:pos="1875"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undersigned irrevocably and unconditionally waives, to the fullest extent it may legally and effectively do so, any objection that it may now or hereafter have to the laying of venue of any litigation, action or proceeding arising out of or relating to this Guaranty Supplement, the Term Loan Agreement, the Guaranty or any of the other Loan Documents to which it is a party in any New York State or Federal court sitting in the City, County and State of New York. The undersigned hereby irrevocably waives, to the fullest extent permitted by law, the defense of an inconvenient forum to the maintenance of such action or proceeding in any such court.</w:t>
      </w:r>
    </w:p>
    <w:p>
      <w:pPr>
        <w:spacing w:after="0" w:line="3" w:lineRule="exact"/>
        <w:rPr>
          <w:rFonts w:ascii="Times New Roman" w:cs="Times New Roman" w:eastAsia="Times New Roman" w:hAnsi="Times New Roman"/>
          <w:sz w:val="19"/>
          <w:szCs w:val="19"/>
          <w:color w:val="auto"/>
        </w:rPr>
      </w:pPr>
    </w:p>
    <w:p>
      <w:pPr>
        <w:ind w:left="1880" w:hanging="375"/>
        <w:spacing w:after="0" w:line="237" w:lineRule="auto"/>
        <w:tabs>
          <w:tab w:leader="none" w:pos="188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UNDERSIGNED HEREBY IRREVOCABLY WAIVES ALL RIGHT TO TRIAL BY JURY IN ANY ACTION,</w:t>
      </w:r>
    </w:p>
    <w:p>
      <w:pPr>
        <w:jc w:val="both"/>
        <w:spacing w:after="0" w:line="237" w:lineRule="auto"/>
        <w:rPr>
          <w:sz w:val="20"/>
          <w:szCs w:val="20"/>
          <w:color w:val="auto"/>
        </w:rPr>
      </w:pPr>
      <w:r>
        <w:rPr>
          <w:rFonts w:ascii="Times New Roman" w:cs="Times New Roman" w:eastAsia="Times New Roman" w:hAnsi="Times New Roman"/>
          <w:sz w:val="19"/>
          <w:szCs w:val="19"/>
          <w:color w:val="auto"/>
        </w:rPr>
        <w:t>PROCEEDING OR COUNTERCLAIM (WHETHER BASED ON CONTRACT, TORT OR OTHERWISE) ARISING OUT OF OR RELATING TO ANY OF THE LOAN DOCUMENTS, THE ADVANCES OR THE ACTIONS OF THE ADMINISTRATIVE AGENT OR ANY LENDER IN THE NEGOTIATION, ADMINISTRATION, PERFORMANCE OR ENFORCEMENT THEREOF.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Balance of page intentionally left blank</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881380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Very truly yours,</w:t>
      </w:r>
    </w:p>
    <w:p>
      <w:pPr>
        <w:spacing w:after="0" w:line="1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[NAME OF ADDITIONAL GUARANTOR]</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By: _________________________________</w:t>
      </w:r>
    </w:p>
    <w:p>
      <w:pPr>
        <w:spacing w:after="0" w:line="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Name:</w:t>
      </w:r>
    </w:p>
    <w:p>
      <w:pPr>
        <w:ind w:left="338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1155700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5" w:name="page156"/>
    <w:bookmarkEnd w:id="155"/>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D to the</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TERM LOAN AGREEMENT</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FORM OF</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ASSIGNMENT AND ACCEPTANCE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ASSIGNMENT AND ACCEPTANCE</w:t>
      </w:r>
    </w:p>
    <w:p>
      <w:pPr>
        <w:spacing w:after="0" w:line="218"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auto"/>
        </w:rPr>
        <w:t>Reference is made to the Term Loan Agreement dated as of June 25, 2026 (as amended, amended and restated, supplemented or otherwise modified from time to time, the “</w:t>
      </w:r>
      <w:r>
        <w:rPr>
          <w:rFonts w:ascii="Times New Roman" w:cs="Times New Roman" w:eastAsia="Times New Roman" w:hAnsi="Times New Roman"/>
          <w:sz w:val="19"/>
          <w:szCs w:val="19"/>
          <w:b w:val="1"/>
          <w:bCs w:val="1"/>
          <w:i w:val="1"/>
          <w:iCs w:val="1"/>
          <w:color w:val="auto"/>
        </w:rPr>
        <w:t>Term Loan Agreement</w:t>
      </w:r>
      <w:r>
        <w:rPr>
          <w:rFonts w:ascii="Times New Roman" w:cs="Times New Roman" w:eastAsia="Times New Roman" w:hAnsi="Times New Roman"/>
          <w:sz w:val="19"/>
          <w:szCs w:val="19"/>
          <w:color w:val="auto"/>
        </w:rPr>
        <w:t>”; the terms defined therein, unless otherwise defined herein, being used herein as therein defined), among Easterly Government Properties LP, a Delaware limited partnership, as Borrower, Easterly Government Properties, Inc., a Maryland corporation, as Parent, the Subsidiary Guarantors party thereto, the Lenders party thereto, PNC Bank, National Association, as Administrative Agent for the Lenders, and the Arrangers party thereto. Each “Assignor” referred to on Schedule 1 hereto (each, an “</w:t>
      </w:r>
      <w:r>
        <w:rPr>
          <w:rFonts w:ascii="Times New Roman" w:cs="Times New Roman" w:eastAsia="Times New Roman" w:hAnsi="Times New Roman"/>
          <w:sz w:val="19"/>
          <w:szCs w:val="19"/>
          <w:b w:val="1"/>
          <w:bCs w:val="1"/>
          <w:i w:val="1"/>
          <w:iCs w:val="1"/>
          <w:color w:val="auto"/>
        </w:rPr>
        <w:t>Assignor</w:t>
      </w:r>
      <w:r>
        <w:rPr>
          <w:rFonts w:ascii="Times New Roman" w:cs="Times New Roman" w:eastAsia="Times New Roman" w:hAnsi="Times New Roman"/>
          <w:sz w:val="19"/>
          <w:szCs w:val="19"/>
          <w:color w:val="auto"/>
        </w:rPr>
        <w:t>”) and each “Assignee” referred to on Schedule 1 hereto (each, an “</w:t>
      </w:r>
      <w:r>
        <w:rPr>
          <w:rFonts w:ascii="Times New Roman" w:cs="Times New Roman" w:eastAsia="Times New Roman" w:hAnsi="Times New Roman"/>
          <w:sz w:val="19"/>
          <w:szCs w:val="19"/>
          <w:b w:val="1"/>
          <w:bCs w:val="1"/>
          <w:i w:val="1"/>
          <w:iCs w:val="1"/>
          <w:color w:val="auto"/>
        </w:rPr>
        <w:t>Assignee</w:t>
      </w:r>
      <w:r>
        <w:rPr>
          <w:rFonts w:ascii="Times New Roman" w:cs="Times New Roman" w:eastAsia="Times New Roman" w:hAnsi="Times New Roman"/>
          <w:sz w:val="19"/>
          <w:szCs w:val="19"/>
          <w:color w:val="auto"/>
        </w:rPr>
        <w:t>”) agrees severally with respect to all information relating to it and its assignment hereunder and on Schedule 1 hereto as follows:</w:t>
      </w:r>
    </w:p>
    <w:p>
      <w:pPr>
        <w:spacing w:after="0" w:line="186" w:lineRule="exact"/>
        <w:rPr>
          <w:sz w:val="20"/>
          <w:szCs w:val="20"/>
          <w:color w:val="auto"/>
        </w:rPr>
      </w:pPr>
    </w:p>
    <w:p>
      <w:pPr>
        <w:jc w:val="both"/>
        <w:ind w:firstLine="1505"/>
        <w:spacing w:after="0" w:line="244" w:lineRule="auto"/>
        <w:tabs>
          <w:tab w:leader="none" w:pos="1875"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Assignor hereby sells and assigns, without recourse except as to the representations and warranties made by it herein, to such Assignee, and such Assignee hereby purchases and assumes from such Assignor, an interest in and to such Assignor’s rights and obligations under the Term Loan Agreement as of the date hereof equal to the percentage interest specified on Schedule 1 hereto of all outstanding rights and obligations under the Loan Agreement Facility specified on Schedule 1 hereto. After giving effect to such sale and assignment, such Assignee’s Commitment and the amount of the Advances owing to such Assignee will be as set forth on Schedule 1 hereto.</w:t>
      </w:r>
    </w:p>
    <w:p>
      <w:pPr>
        <w:spacing w:after="0" w:line="185" w:lineRule="exact"/>
        <w:rPr>
          <w:rFonts w:ascii="Times New Roman" w:cs="Times New Roman" w:eastAsia="Times New Roman" w:hAnsi="Times New Roman"/>
          <w:sz w:val="19"/>
          <w:szCs w:val="19"/>
          <w:color w:val="auto"/>
        </w:rPr>
      </w:pPr>
    </w:p>
    <w:p>
      <w:pPr>
        <w:jc w:val="both"/>
        <w:ind w:firstLine="1505"/>
        <w:spacing w:after="0" w:line="239" w:lineRule="auto"/>
        <w:tabs>
          <w:tab w:leader="none" w:pos="1875"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Assignor (a) represents and warrants that its name set forth on Schedule 1 hereto is its legal name, that it is the legal and beneficial owner of the interest or interests being assigned by it hereunder and that such interest or interests are free and clear of any adverse claim; (b) makes no representation or warranty and assumes no responsibility with respect to any statements, warranties or representations made in or in connection with any Loan Document or the execution, legality, validity, enforceability, genuineness, sufficiency or value of, or the perfection or priority of any lien or security interest created or purported to be created under or in connection with, any Loan Document or any other instrument or document furnished pursuant thereto; (c) makes no representation or warranty and assumes no responsibility with respect to the financial condition of any Loan Party or the performance or observance by any Loan Party of any of its obligations under any Loan Document or any other instrument or document furnished pursuant thereto; and (d) attaches the Note or Notes (if any) held by such Assignor and requests that the Administrative Agent exchange such Note or Notes for a new Note or Notes payable to the order of such Assignee in an amount equal to the Commitment assumed by such Assignee pursuant hereto or new Notes payable to the order of such Assignee in an amount equal to the Commitment assumed by such Assignee pursuant hereto and such Assignor in an amount equal to the Commitment retained by such Assignor under the Term Loan Agreement, respectively, as specified on Schedule 1 hereto.</w:t>
      </w:r>
    </w:p>
    <w:p>
      <w:pPr>
        <w:spacing w:after="0" w:line="197" w:lineRule="exact"/>
        <w:rPr>
          <w:rFonts w:ascii="Times New Roman" w:cs="Times New Roman" w:eastAsia="Times New Roman" w:hAnsi="Times New Roman"/>
          <w:sz w:val="19"/>
          <w:szCs w:val="19"/>
          <w:color w:val="auto"/>
        </w:rPr>
      </w:pPr>
    </w:p>
    <w:p>
      <w:pPr>
        <w:jc w:val="both"/>
        <w:ind w:firstLine="1505"/>
        <w:spacing w:after="0" w:line="242" w:lineRule="auto"/>
        <w:tabs>
          <w:tab w:leader="none" w:pos="1875"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Assignee (a) represents and warrants that it is legally authorized to enter into this Assignment and Acceptance; (b) confirms that it has received a copy of the Term Loan Agreement, together with copies of the financial statements referred to in Section 4.01 thereof and such other documents and information as it has deemed appropriate to make its own credit analysis and decision to enter into this Assignment and Acceptance; (c) agrees that it will, independently and without reliance upon the Administrative Agent, any Assignor or any other Lender and based on such documents and information as it shall deem appropriate at the time, continue to make its own credit decisions in taking or not taking action under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1016635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jc w:val="both"/>
        <w:spacing w:after="0" w:line="242" w:lineRule="auto"/>
        <w:rPr>
          <w:sz w:val="20"/>
          <w:szCs w:val="20"/>
          <w:color w:val="auto"/>
        </w:rPr>
      </w:pPr>
      <w:r>
        <w:rPr>
          <w:rFonts w:ascii="Times New Roman" w:cs="Times New Roman" w:eastAsia="Times New Roman" w:hAnsi="Times New Roman"/>
          <w:sz w:val="19"/>
          <w:szCs w:val="19"/>
          <w:color w:val="auto"/>
        </w:rPr>
        <w:t>Loan Agreement; (d) represents and warrants that its name set forth on Schedule 1 hereto is its legal name; (e) confirms that it is an Eligible Assignee; (f) appoints and authorizes the Administrative Agent to take such action as agent on its behalf and to exercise such powers and discretion under the Loan Documents as are delegated to the Administrative Agent by the terms thereof, together with such powers and discretion as are reasonably incidental thereto; (g) agrees that it will perform in accordance with their terms all of the obligations that by the terms of the Term Loan Agreement are required to be performed by it as a Lender; (h) attaches any U.S. Internal Revenue Service forms required under Section 2.12 of the Term Loan Agreement; and (i) confirm for the benefit of the Administrative Agent and not for the benefit of any Loan Party, the representations made in Section 8.08 of the Term Loan Agreement.</w:t>
      </w:r>
    </w:p>
    <w:p>
      <w:pPr>
        <w:spacing w:after="0" w:line="186" w:lineRule="exact"/>
        <w:rPr>
          <w:sz w:val="20"/>
          <w:szCs w:val="20"/>
          <w:color w:val="auto"/>
        </w:rPr>
      </w:pPr>
    </w:p>
    <w:p>
      <w:pPr>
        <w:jc w:val="both"/>
        <w:ind w:firstLine="1505"/>
        <w:spacing w:after="0" w:line="251" w:lineRule="auto"/>
        <w:tabs>
          <w:tab w:leader="none" w:pos="1875"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Following the execution of this Assignment and Acceptance, it will be delivered to the Administrative Agent for acceptance and recording by the Administrative Agent. The effective date for this Assignment and Acceptance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shall be the date of acceptance hereof by the Administrative Agent, unless otherwise specified on Schedule 1 hereto.</w:t>
      </w:r>
    </w:p>
    <w:p>
      <w:pPr>
        <w:spacing w:after="0" w:line="178" w:lineRule="exact"/>
        <w:rPr>
          <w:rFonts w:ascii="Times New Roman" w:cs="Times New Roman" w:eastAsia="Times New Roman" w:hAnsi="Times New Roman"/>
          <w:sz w:val="19"/>
          <w:szCs w:val="19"/>
          <w:color w:val="auto"/>
        </w:rPr>
      </w:pPr>
    </w:p>
    <w:p>
      <w:pPr>
        <w:jc w:val="both"/>
        <w:ind w:firstLine="1505"/>
        <w:spacing w:after="0" w:line="241" w:lineRule="auto"/>
        <w:tabs>
          <w:tab w:leader="none" w:pos="1875"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such acceptance by the Administrative Agent and, if applicable, the Borrower and recording by the Administrative Agent, as of the Effective Date, (a) such Assignee shall be a party to the Term Loan Agreement and, to the extent provided in this Assignment and Acceptance, have the rights and obligations of a Lender thereunder and (b) such Assignor shall, to the extent provided in this Assignment and Acceptance, relinquish its rights and be released from its obligations under the Term Loan Agreement (other than its rights and obligations under the Loan Documents that are specified under the terms of such Loan Documents to survive the payment in full of the Obligations of the Loan Parties under the Loan Documents to the extent any claim thereunder relates to an event arising prior to the Effective Date of this Assignment and Acceptance) and, if this Assignment and Acceptance covers all of the remaining portion of the rights and obligations of such Assignor under the Term Loan Agreement, such Assignor shall cease to be a party thereto.</w:t>
      </w:r>
    </w:p>
    <w:p>
      <w:pPr>
        <w:spacing w:after="0" w:line="188" w:lineRule="exact"/>
        <w:rPr>
          <w:rFonts w:ascii="Times New Roman" w:cs="Times New Roman" w:eastAsia="Times New Roman" w:hAnsi="Times New Roman"/>
          <w:sz w:val="19"/>
          <w:szCs w:val="19"/>
          <w:color w:val="auto"/>
        </w:rPr>
      </w:pPr>
    </w:p>
    <w:p>
      <w:pPr>
        <w:jc w:val="both"/>
        <w:ind w:firstLine="1505"/>
        <w:spacing w:after="0" w:line="244" w:lineRule="auto"/>
        <w:tabs>
          <w:tab w:leader="none" w:pos="1875"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such acceptance by the Administrative Agent and, if applicable, the Borrower and recording by the Administrative Agent, from and after the Effective Date, the Administrative Agent shall make all payments under the Term Loan Agreement and the Notes in respect of the interest assigned hereby (including, without limitation, all payments of principal, interest and commitment fees with respect thereto) to such Assignee. Such Assignor and such Assignee shall make all appropriate adjustments in payments under the Term Loan Agreement and the Notes for periods prior to the Effective Date directly between themselves.</w:t>
      </w:r>
    </w:p>
    <w:p>
      <w:pPr>
        <w:spacing w:after="0" w:line="185" w:lineRule="exact"/>
        <w:rPr>
          <w:rFonts w:ascii="Times New Roman" w:cs="Times New Roman" w:eastAsia="Times New Roman" w:hAnsi="Times New Roman"/>
          <w:sz w:val="19"/>
          <w:szCs w:val="19"/>
          <w:color w:val="auto"/>
        </w:rPr>
      </w:pPr>
    </w:p>
    <w:p>
      <w:pPr>
        <w:ind w:left="1880" w:hanging="375"/>
        <w:spacing w:after="0"/>
        <w:tabs>
          <w:tab w:leader="none" w:pos="1880"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Assignment and Acceptance shall be governed by, and construed in accordance with, the laws of the State of New</w:t>
      </w:r>
    </w:p>
    <w:p>
      <w:pPr>
        <w:spacing w:after="0" w:line="1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York.</w:t>
      </w:r>
    </w:p>
    <w:p>
      <w:pPr>
        <w:spacing w:after="0" w:line="193" w:lineRule="exact"/>
        <w:rPr>
          <w:rFonts w:ascii="Times New Roman" w:cs="Times New Roman" w:eastAsia="Times New Roman" w:hAnsi="Times New Roman"/>
          <w:sz w:val="19"/>
          <w:szCs w:val="19"/>
          <w:color w:val="auto"/>
        </w:rPr>
      </w:pPr>
    </w:p>
    <w:p>
      <w:pPr>
        <w:jc w:val="both"/>
        <w:ind w:firstLine="1505"/>
        <w:spacing w:after="0" w:line="244" w:lineRule="auto"/>
        <w:tabs>
          <w:tab w:leader="none" w:pos="1875"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Schedule 1 to this Assignment and Acceptance by telecopier or by e-mail with a .pdf or similar attachment containing the legible signature of the person executing this Assignment and Acceptance shall be effective as delivery of an original executed counterpart of this Assignment and Acceptance.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[Balance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1033780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7" w:name="page158"/>
    <w:bookmarkEnd w:id="157"/>
    <w:p>
      <w:pPr>
        <w:spacing w:after="0" w:line="265" w:lineRule="auto"/>
        <w:rPr>
          <w:sz w:val="20"/>
          <w:szCs w:val="20"/>
          <w:color w:val="auto"/>
        </w:rPr>
      </w:pPr>
      <w:r>
        <w:rPr>
          <w:rFonts w:ascii="Times New Roman" w:cs="Times New Roman" w:eastAsia="Times New Roman" w:hAnsi="Times New Roman"/>
          <w:sz w:val="19"/>
          <w:szCs w:val="19"/>
          <w:color w:val="auto"/>
        </w:rPr>
        <w:t>IN WITNESS WHEREOF, each Assignor and each Assignee has caused Schedule 1 to this Assignment and Acceptance to be executed by their officers thereunto duly authorized as of the date specified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1000760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09" w:right="69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9"/>
          <w:szCs w:val="19"/>
          <w:color w:val="auto"/>
        </w:rPr>
        <w:t>SCHEDULE 1</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to</w:t>
      </w:r>
    </w:p>
    <w:p>
      <w:pPr>
        <w:jc w:val="center"/>
        <w:spacing w:after="0"/>
        <w:rPr>
          <w:sz w:val="20"/>
          <w:szCs w:val="20"/>
          <w:color w:val="auto"/>
        </w:rPr>
      </w:pPr>
      <w:r>
        <w:rPr>
          <w:rFonts w:ascii="Times New Roman" w:cs="Times New Roman" w:eastAsia="Times New Roman" w:hAnsi="Times New Roman"/>
          <w:sz w:val="19"/>
          <w:szCs w:val="19"/>
          <w:color w:val="auto"/>
        </w:rPr>
        <w:t>ASSIGNMENT AND ACCEPTANCE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40" w:type="dxa"/>
            <w:vAlign w:val="bottom"/>
            <w:tcBorders>
              <w:right w:val="single" w:sz="8" w:color="auto"/>
            </w:tcBorders>
          </w:tcPr>
          <w:p>
            <w:pPr>
              <w:spacing w:after="0"/>
              <w:rPr>
                <w:sz w:val="21"/>
                <w:szCs w:val="21"/>
                <w:color w:val="auto"/>
              </w:rPr>
            </w:pPr>
          </w:p>
        </w:tc>
        <w:tc>
          <w:tcPr>
            <w:tcW w:w="558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ASSIGNORS:</w:t>
            </w:r>
          </w:p>
        </w:tc>
        <w:tc>
          <w:tcPr>
            <w:tcW w:w="1060" w:type="dxa"/>
            <w:vAlign w:val="bottom"/>
            <w:tcBorders>
              <w:top w:val="single" w:sz="8" w:color="auto"/>
              <w:bottom w:val="single" w:sz="8" w:color="auto"/>
              <w:right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right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right w:val="single" w:sz="8" w:color="auto"/>
            </w:tcBorders>
          </w:tcPr>
          <w:p>
            <w:pPr>
              <w:spacing w:after="0"/>
              <w:rPr>
                <w:sz w:val="21"/>
                <w:szCs w:val="21"/>
                <w:color w:val="auto"/>
              </w:rPr>
            </w:pPr>
          </w:p>
        </w:tc>
        <w:tc>
          <w:tcPr>
            <w:tcW w:w="1060" w:type="dxa"/>
            <w:vAlign w:val="bottom"/>
            <w:tcBorders>
              <w:top w:val="single" w:sz="8" w:color="auto"/>
              <w:bottom w:val="single" w:sz="8" w:color="auto"/>
              <w:right w:val="single" w:sz="8" w:color="auto"/>
            </w:tcBorders>
          </w:tcPr>
          <w:p>
            <w:pPr>
              <w:spacing w:after="0"/>
              <w:rPr>
                <w:sz w:val="21"/>
                <w:szCs w:val="21"/>
                <w:color w:val="auto"/>
              </w:rPr>
            </w:pPr>
          </w:p>
        </w:tc>
        <w:tc>
          <w:tcPr>
            <w:tcW w:w="1160" w:type="dxa"/>
            <w:vAlign w:val="bottom"/>
            <w:tcBorders>
              <w:top w:val="single" w:sz="8" w:color="auto"/>
              <w:bottom w:val="single" w:sz="8" w:color="auto"/>
              <w:right w:val="single" w:sz="8" w:color="auto"/>
            </w:tcBorders>
          </w:tcPr>
          <w:p>
            <w:pPr>
              <w:spacing w:after="0"/>
              <w:rPr>
                <w:sz w:val="21"/>
                <w:szCs w:val="21"/>
                <w:color w:val="auto"/>
              </w:rPr>
            </w:pPr>
          </w:p>
        </w:tc>
      </w:tr>
      <w:tr>
        <w:trPr>
          <w:trHeight w:val="193"/>
        </w:trPr>
        <w:tc>
          <w:tcPr>
            <w:tcW w:w="140" w:type="dxa"/>
            <w:vAlign w:val="bottom"/>
            <w:tcBorders>
              <w:right w:val="single" w:sz="8" w:color="auto"/>
            </w:tcBorders>
          </w:tcPr>
          <w:p>
            <w:pPr>
              <w:spacing w:after="0"/>
              <w:rPr>
                <w:sz w:val="16"/>
                <w:szCs w:val="16"/>
                <w:color w:val="auto"/>
              </w:rPr>
            </w:pPr>
          </w:p>
        </w:tc>
        <w:tc>
          <w:tcPr>
            <w:tcW w:w="5580" w:type="dxa"/>
            <w:vAlign w:val="bottom"/>
            <w:tcBorders>
              <w:bottom w:val="single" w:sz="8" w:color="auto"/>
              <w:right w:val="single" w:sz="8" w:color="auto"/>
            </w:tcBorders>
          </w:tcPr>
          <w:p>
            <w:pPr>
              <w:ind w:left="160"/>
              <w:spacing w:after="0" w:line="193" w:lineRule="exact"/>
              <w:rPr>
                <w:sz w:val="20"/>
                <w:szCs w:val="20"/>
                <w:color w:val="auto"/>
              </w:rPr>
            </w:pPr>
            <w:r>
              <w:rPr>
                <w:rFonts w:ascii="Times New Roman" w:cs="Times New Roman" w:eastAsia="Times New Roman" w:hAnsi="Times New Roman"/>
                <w:sz w:val="19"/>
                <w:szCs w:val="19"/>
                <w:color w:val="auto"/>
              </w:rPr>
              <w:t>Percentage interest assigned</w:t>
            </w:r>
          </w:p>
        </w:tc>
        <w:tc>
          <w:tcPr>
            <w:tcW w:w="1060" w:type="dxa"/>
            <w:vAlign w:val="bottom"/>
            <w:tcBorders>
              <w:bottom w:val="single" w:sz="8" w:color="auto"/>
              <w:right w:val="single" w:sz="8" w:color="auto"/>
            </w:tcBorders>
          </w:tcPr>
          <w:p>
            <w:pPr>
              <w:jc w:val="right"/>
              <w:ind w:right="26"/>
              <w:spacing w:after="0" w:line="193" w:lineRule="exact"/>
              <w:rPr>
                <w:sz w:val="20"/>
                <w:szCs w:val="20"/>
                <w:color w:val="auto"/>
              </w:rPr>
            </w:pPr>
            <w:r>
              <w:rPr>
                <w:rFonts w:ascii="Times New Roman" w:cs="Times New Roman" w:eastAsia="Times New Roman" w:hAnsi="Times New Roman"/>
                <w:sz w:val="19"/>
                <w:szCs w:val="19"/>
                <w:color w:val="auto"/>
              </w:rPr>
              <w:t>%</w:t>
            </w:r>
          </w:p>
        </w:tc>
        <w:tc>
          <w:tcPr>
            <w:tcW w:w="48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jc w:val="right"/>
              <w:ind w:right="26"/>
              <w:spacing w:after="0" w:line="193" w:lineRule="exact"/>
              <w:rPr>
                <w:sz w:val="20"/>
                <w:szCs w:val="20"/>
                <w:color w:val="auto"/>
              </w:rPr>
            </w:pPr>
            <w:r>
              <w:rPr>
                <w:rFonts w:ascii="Times New Roman" w:cs="Times New Roman" w:eastAsia="Times New Roman" w:hAnsi="Times New Roman"/>
                <w:sz w:val="19"/>
                <w:szCs w:val="19"/>
                <w:color w:val="auto"/>
              </w:rPr>
              <w:t>%</w:t>
            </w:r>
          </w:p>
        </w:tc>
        <w:tc>
          <w:tcPr>
            <w:tcW w:w="560" w:type="dxa"/>
            <w:vAlign w:val="bottom"/>
            <w:tcBorders>
              <w:bottom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right"/>
              <w:ind w:right="26"/>
              <w:spacing w:after="0" w:line="193" w:lineRule="exact"/>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right w:val="single" w:sz="8" w:color="auto"/>
            </w:tcBorders>
          </w:tcPr>
          <w:p>
            <w:pPr>
              <w:jc w:val="right"/>
              <w:ind w:right="26"/>
              <w:spacing w:after="0" w:line="193" w:lineRule="exact"/>
              <w:rPr>
                <w:sz w:val="20"/>
                <w:szCs w:val="20"/>
                <w:color w:val="auto"/>
              </w:rPr>
            </w:pPr>
            <w:r>
              <w:rPr>
                <w:rFonts w:ascii="Times New Roman" w:cs="Times New Roman" w:eastAsia="Times New Roman" w:hAnsi="Times New Roman"/>
                <w:sz w:val="19"/>
                <w:szCs w:val="19"/>
                <w:color w:val="auto"/>
              </w:rPr>
              <w:t>%</w:t>
            </w:r>
          </w:p>
        </w:tc>
        <w:tc>
          <w:tcPr>
            <w:tcW w:w="1160" w:type="dxa"/>
            <w:vAlign w:val="bottom"/>
            <w:tcBorders>
              <w:bottom w:val="single" w:sz="8" w:color="auto"/>
              <w:right w:val="single" w:sz="8" w:color="auto"/>
            </w:tcBorders>
          </w:tcPr>
          <w:p>
            <w:pPr>
              <w:jc w:val="right"/>
              <w:ind w:right="26"/>
              <w:spacing w:after="0" w:line="193" w:lineRule="exact"/>
              <w:rPr>
                <w:sz w:val="20"/>
                <w:szCs w:val="20"/>
                <w:color w:val="auto"/>
              </w:rPr>
            </w:pPr>
            <w:r>
              <w:rPr>
                <w:rFonts w:ascii="Times New Roman" w:cs="Times New Roman" w:eastAsia="Times New Roman" w:hAnsi="Times New Roman"/>
                <w:sz w:val="19"/>
                <w:szCs w:val="19"/>
                <w:color w:val="auto"/>
              </w:rPr>
              <w:t>%</w:t>
            </w:r>
          </w:p>
        </w:tc>
      </w:tr>
      <w:tr>
        <w:trPr>
          <w:trHeight w:val="209"/>
        </w:trPr>
        <w:tc>
          <w:tcPr>
            <w:tcW w:w="140" w:type="dxa"/>
            <w:vAlign w:val="bottom"/>
            <w:tcBorders>
              <w:right w:val="single" w:sz="8" w:color="auto"/>
            </w:tcBorders>
          </w:tcPr>
          <w:p>
            <w:pPr>
              <w:spacing w:after="0"/>
              <w:rPr>
                <w:sz w:val="18"/>
                <w:szCs w:val="18"/>
                <w:color w:val="auto"/>
              </w:rPr>
            </w:pPr>
          </w:p>
        </w:tc>
        <w:tc>
          <w:tcPr>
            <w:tcW w:w="5580" w:type="dxa"/>
            <w:vAlign w:val="bottom"/>
            <w:tcBorders>
              <w:bottom w:val="single" w:sz="8" w:color="auto"/>
              <w:right w:val="single" w:sz="8" w:color="auto"/>
            </w:tcBorders>
          </w:tcPr>
          <w:p>
            <w:pPr>
              <w:ind w:left="160"/>
              <w:spacing w:after="0" w:line="210" w:lineRule="exact"/>
              <w:rPr>
                <w:sz w:val="20"/>
                <w:szCs w:val="20"/>
                <w:color w:val="auto"/>
              </w:rPr>
            </w:pPr>
            <w:r>
              <w:rPr>
                <w:rFonts w:ascii="Times New Roman" w:cs="Times New Roman" w:eastAsia="Times New Roman" w:hAnsi="Times New Roman"/>
                <w:sz w:val="19"/>
                <w:szCs w:val="19"/>
                <w:color w:val="auto"/>
              </w:rPr>
              <w:t>Percentage interest retained</w:t>
            </w:r>
          </w:p>
        </w:tc>
        <w:tc>
          <w:tcPr>
            <w:tcW w:w="1060" w:type="dxa"/>
            <w:vAlign w:val="bottom"/>
            <w:tcBorders>
              <w:bottom w:val="single" w:sz="8" w:color="auto"/>
              <w:right w:val="single" w:sz="8" w:color="auto"/>
            </w:tcBorders>
          </w:tcPr>
          <w:p>
            <w:pPr>
              <w:jc w:val="right"/>
              <w:ind w:right="26"/>
              <w:spacing w:after="0" w:line="210" w:lineRule="exact"/>
              <w:rPr>
                <w:sz w:val="20"/>
                <w:szCs w:val="20"/>
                <w:color w:val="auto"/>
              </w:rPr>
            </w:pPr>
            <w:r>
              <w:rPr>
                <w:rFonts w:ascii="Times New Roman" w:cs="Times New Roman" w:eastAsia="Times New Roman" w:hAnsi="Times New Roman"/>
                <w:sz w:val="19"/>
                <w:szCs w:val="19"/>
                <w:color w:val="auto"/>
              </w:rPr>
              <w:t>%</w:t>
            </w:r>
          </w:p>
        </w:tc>
        <w:tc>
          <w:tcPr>
            <w:tcW w:w="48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jc w:val="right"/>
              <w:ind w:right="26"/>
              <w:spacing w:after="0" w:line="210" w:lineRule="exact"/>
              <w:rPr>
                <w:sz w:val="20"/>
                <w:szCs w:val="20"/>
                <w:color w:val="auto"/>
              </w:rPr>
            </w:pPr>
            <w:r>
              <w:rPr>
                <w:rFonts w:ascii="Times New Roman" w:cs="Times New Roman" w:eastAsia="Times New Roman" w:hAnsi="Times New Roman"/>
                <w:sz w:val="19"/>
                <w:szCs w:val="19"/>
                <w:color w:val="auto"/>
              </w:rPr>
              <w:t>%</w:t>
            </w:r>
          </w:p>
        </w:tc>
        <w:tc>
          <w:tcPr>
            <w:tcW w:w="56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26"/>
              <w:spacing w:after="0" w:line="210" w:lineRule="exact"/>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right w:val="single" w:sz="8" w:color="auto"/>
            </w:tcBorders>
          </w:tcPr>
          <w:p>
            <w:pPr>
              <w:jc w:val="right"/>
              <w:ind w:right="26"/>
              <w:spacing w:after="0" w:line="210" w:lineRule="exact"/>
              <w:rPr>
                <w:sz w:val="20"/>
                <w:szCs w:val="20"/>
                <w:color w:val="auto"/>
              </w:rPr>
            </w:pPr>
            <w:r>
              <w:rPr>
                <w:rFonts w:ascii="Times New Roman" w:cs="Times New Roman" w:eastAsia="Times New Roman" w:hAnsi="Times New Roman"/>
                <w:sz w:val="19"/>
                <w:szCs w:val="19"/>
                <w:color w:val="auto"/>
              </w:rPr>
              <w:t>%</w:t>
            </w:r>
          </w:p>
        </w:tc>
        <w:tc>
          <w:tcPr>
            <w:tcW w:w="1160" w:type="dxa"/>
            <w:vAlign w:val="bottom"/>
            <w:tcBorders>
              <w:bottom w:val="single" w:sz="8" w:color="auto"/>
              <w:right w:val="single" w:sz="8" w:color="auto"/>
            </w:tcBorders>
          </w:tcPr>
          <w:p>
            <w:pPr>
              <w:jc w:val="right"/>
              <w:ind w:right="26"/>
              <w:spacing w:after="0" w:line="210" w:lineRule="exact"/>
              <w:rPr>
                <w:sz w:val="20"/>
                <w:szCs w:val="20"/>
                <w:color w:val="auto"/>
              </w:rPr>
            </w:pPr>
            <w:r>
              <w:rPr>
                <w:rFonts w:ascii="Times New Roman" w:cs="Times New Roman" w:eastAsia="Times New Roman" w:hAnsi="Times New Roman"/>
                <w:sz w:val="19"/>
                <w:szCs w:val="19"/>
                <w:color w:val="auto"/>
              </w:rPr>
              <w:t>%</w:t>
            </w:r>
          </w:p>
        </w:tc>
      </w:tr>
      <w:tr>
        <w:trPr>
          <w:trHeight w:val="209"/>
        </w:trPr>
        <w:tc>
          <w:tcPr>
            <w:tcW w:w="140" w:type="dxa"/>
            <w:vAlign w:val="bottom"/>
            <w:tcBorders>
              <w:right w:val="single" w:sz="8" w:color="auto"/>
            </w:tcBorders>
          </w:tcPr>
          <w:p>
            <w:pPr>
              <w:spacing w:after="0"/>
              <w:rPr>
                <w:sz w:val="18"/>
                <w:szCs w:val="18"/>
                <w:color w:val="auto"/>
              </w:rPr>
            </w:pPr>
          </w:p>
        </w:tc>
        <w:tc>
          <w:tcPr>
            <w:tcW w:w="5580" w:type="dxa"/>
            <w:vAlign w:val="bottom"/>
            <w:tcBorders>
              <w:bottom w:val="single" w:sz="8" w:color="auto"/>
              <w:right w:val="single" w:sz="8" w:color="auto"/>
            </w:tcBorders>
          </w:tcPr>
          <w:p>
            <w:pPr>
              <w:ind w:left="160"/>
              <w:spacing w:after="0" w:line="210" w:lineRule="exact"/>
              <w:rPr>
                <w:sz w:val="20"/>
                <w:szCs w:val="20"/>
                <w:color w:val="auto"/>
              </w:rPr>
            </w:pPr>
            <w:r>
              <w:rPr>
                <w:rFonts w:ascii="Times New Roman" w:cs="Times New Roman" w:eastAsia="Times New Roman" w:hAnsi="Times New Roman"/>
                <w:sz w:val="19"/>
                <w:szCs w:val="19"/>
                <w:color w:val="auto"/>
              </w:rPr>
              <w:t>Commitment assigned</w:t>
            </w:r>
          </w:p>
        </w:tc>
        <w:tc>
          <w:tcPr>
            <w:tcW w:w="1060" w:type="dxa"/>
            <w:vAlign w:val="bottom"/>
            <w:tcBorders>
              <w:bottom w:val="single" w:sz="8" w:color="auto"/>
              <w:right w:val="single" w:sz="8" w:color="auto"/>
            </w:tcBorders>
          </w:tcPr>
          <w:p>
            <w:pPr>
              <w:jc w:val="right"/>
              <w:ind w:right="786"/>
              <w:spacing w:after="0" w:line="210" w:lineRule="exact"/>
              <w:rPr>
                <w:sz w:val="20"/>
                <w:szCs w:val="20"/>
                <w:color w:val="auto"/>
              </w:rPr>
            </w:pPr>
            <w:r>
              <w:rPr>
                <w:rFonts w:ascii="Times New Roman" w:cs="Times New Roman" w:eastAsia="Times New Roman" w:hAnsi="Times New Roman"/>
                <w:sz w:val="19"/>
                <w:szCs w:val="19"/>
                <w:color w:val="auto"/>
              </w:rPr>
              <w:t>$</w:t>
            </w:r>
          </w:p>
        </w:tc>
        <w:tc>
          <w:tcPr>
            <w:tcW w:w="480" w:type="dxa"/>
            <w:vAlign w:val="bottom"/>
            <w:tcBorders>
              <w:bottom w:val="single" w:sz="8" w:color="auto"/>
            </w:tcBorders>
          </w:tcPr>
          <w:p>
            <w:pPr>
              <w:jc w:val="right"/>
              <w:ind w:right="186"/>
              <w:spacing w:after="0" w:line="210" w:lineRule="exact"/>
              <w:rPr>
                <w:sz w:val="20"/>
                <w:szCs w:val="20"/>
                <w:color w:val="auto"/>
              </w:rPr>
            </w:pPr>
            <w:r>
              <w:rPr>
                <w:rFonts w:ascii="Times New Roman" w:cs="Times New Roman" w:eastAsia="Times New Roman" w:hAnsi="Times New Roman"/>
                <w:sz w:val="19"/>
                <w:szCs w:val="19"/>
                <w:color w:val="auto"/>
              </w:rPr>
              <w:t>$</w:t>
            </w:r>
          </w:p>
        </w:tc>
        <w:tc>
          <w:tcPr>
            <w:tcW w:w="58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jc w:val="right"/>
              <w:ind w:right="266"/>
              <w:spacing w:after="0" w:line="210" w:lineRule="exact"/>
              <w:rPr>
                <w:sz w:val="20"/>
                <w:szCs w:val="20"/>
                <w:color w:val="auto"/>
              </w:rPr>
            </w:pPr>
            <w:r>
              <w:rPr>
                <w:rFonts w:ascii="Times New Roman" w:cs="Times New Roman" w:eastAsia="Times New Roman" w:hAnsi="Times New Roman"/>
                <w:sz w:val="19"/>
                <w:szCs w:val="19"/>
                <w:color w:val="auto"/>
              </w:rPr>
              <w:t>$</w:t>
            </w:r>
          </w:p>
        </w:tc>
        <w:tc>
          <w:tcPr>
            <w:tcW w:w="62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ind w:right="766"/>
              <w:spacing w:after="0" w:line="210" w:lineRule="exact"/>
              <w:rPr>
                <w:sz w:val="20"/>
                <w:szCs w:val="20"/>
                <w:color w:val="auto"/>
              </w:rPr>
            </w:pPr>
            <w:r>
              <w:rPr>
                <w:rFonts w:ascii="Times New Roman" w:cs="Times New Roman" w:eastAsia="Times New Roman" w:hAnsi="Times New Roman"/>
                <w:sz w:val="19"/>
                <w:szCs w:val="19"/>
                <w:color w:val="auto"/>
              </w:rPr>
              <w:t>$</w:t>
            </w:r>
          </w:p>
        </w:tc>
        <w:tc>
          <w:tcPr>
            <w:tcW w:w="1160" w:type="dxa"/>
            <w:vAlign w:val="bottom"/>
            <w:tcBorders>
              <w:bottom w:val="single" w:sz="8" w:color="auto"/>
              <w:right w:val="single" w:sz="8" w:color="auto"/>
            </w:tcBorders>
          </w:tcPr>
          <w:p>
            <w:pPr>
              <w:jc w:val="right"/>
              <w:ind w:right="866"/>
              <w:spacing w:after="0" w:line="210" w:lineRule="exact"/>
              <w:rPr>
                <w:sz w:val="20"/>
                <w:szCs w:val="20"/>
                <w:color w:val="auto"/>
              </w:rPr>
            </w:pPr>
            <w:r>
              <w:rPr>
                <w:rFonts w:ascii="Times New Roman" w:cs="Times New Roman" w:eastAsia="Times New Roman" w:hAnsi="Times New Roman"/>
                <w:sz w:val="19"/>
                <w:szCs w:val="19"/>
                <w:color w:val="auto"/>
              </w:rPr>
              <w:t>$</w:t>
            </w:r>
          </w:p>
        </w:tc>
      </w:tr>
      <w:tr>
        <w:trPr>
          <w:trHeight w:val="210"/>
        </w:trPr>
        <w:tc>
          <w:tcPr>
            <w:tcW w:w="140" w:type="dxa"/>
            <w:vAlign w:val="bottom"/>
            <w:tcBorders>
              <w:right w:val="single" w:sz="8" w:color="auto"/>
            </w:tcBorders>
          </w:tcPr>
          <w:p>
            <w:pPr>
              <w:spacing w:after="0"/>
              <w:rPr>
                <w:sz w:val="18"/>
                <w:szCs w:val="18"/>
                <w:color w:val="auto"/>
              </w:rPr>
            </w:pPr>
          </w:p>
        </w:tc>
        <w:tc>
          <w:tcPr>
            <w:tcW w:w="5580" w:type="dxa"/>
            <w:vAlign w:val="bottom"/>
            <w:tcBorders>
              <w:bottom w:val="single" w:sz="8" w:color="auto"/>
              <w:right w:val="single" w:sz="8" w:color="auto"/>
            </w:tcBorders>
          </w:tcPr>
          <w:p>
            <w:pPr>
              <w:ind w:left="160"/>
              <w:spacing w:after="0" w:line="210" w:lineRule="exact"/>
              <w:rPr>
                <w:sz w:val="20"/>
                <w:szCs w:val="20"/>
                <w:color w:val="auto"/>
              </w:rPr>
            </w:pPr>
            <w:r>
              <w:rPr>
                <w:rFonts w:ascii="Times New Roman" w:cs="Times New Roman" w:eastAsia="Times New Roman" w:hAnsi="Times New Roman"/>
                <w:sz w:val="19"/>
                <w:szCs w:val="19"/>
                <w:color w:val="auto"/>
              </w:rPr>
              <w:t>Commitment retained</w:t>
            </w:r>
          </w:p>
        </w:tc>
        <w:tc>
          <w:tcPr>
            <w:tcW w:w="1060" w:type="dxa"/>
            <w:vAlign w:val="bottom"/>
            <w:tcBorders>
              <w:bottom w:val="single" w:sz="8" w:color="auto"/>
              <w:right w:val="single" w:sz="8" w:color="auto"/>
            </w:tcBorders>
          </w:tcPr>
          <w:p>
            <w:pPr>
              <w:jc w:val="right"/>
              <w:ind w:right="786"/>
              <w:spacing w:after="0" w:line="210" w:lineRule="exact"/>
              <w:rPr>
                <w:sz w:val="20"/>
                <w:szCs w:val="20"/>
                <w:color w:val="auto"/>
              </w:rPr>
            </w:pPr>
            <w:r>
              <w:rPr>
                <w:rFonts w:ascii="Times New Roman" w:cs="Times New Roman" w:eastAsia="Times New Roman" w:hAnsi="Times New Roman"/>
                <w:sz w:val="19"/>
                <w:szCs w:val="19"/>
                <w:color w:val="auto"/>
              </w:rPr>
              <w:t>$</w:t>
            </w:r>
          </w:p>
        </w:tc>
        <w:tc>
          <w:tcPr>
            <w:tcW w:w="480" w:type="dxa"/>
            <w:vAlign w:val="bottom"/>
            <w:tcBorders>
              <w:bottom w:val="single" w:sz="8" w:color="auto"/>
            </w:tcBorders>
          </w:tcPr>
          <w:p>
            <w:pPr>
              <w:jc w:val="right"/>
              <w:ind w:right="186"/>
              <w:spacing w:after="0" w:line="210" w:lineRule="exact"/>
              <w:rPr>
                <w:sz w:val="20"/>
                <w:szCs w:val="20"/>
                <w:color w:val="auto"/>
              </w:rPr>
            </w:pPr>
            <w:r>
              <w:rPr>
                <w:rFonts w:ascii="Times New Roman" w:cs="Times New Roman" w:eastAsia="Times New Roman" w:hAnsi="Times New Roman"/>
                <w:sz w:val="19"/>
                <w:szCs w:val="19"/>
                <w:color w:val="auto"/>
              </w:rPr>
              <w:t>$</w:t>
            </w:r>
          </w:p>
        </w:tc>
        <w:tc>
          <w:tcPr>
            <w:tcW w:w="58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jc w:val="right"/>
              <w:ind w:right="266"/>
              <w:spacing w:after="0" w:line="210" w:lineRule="exact"/>
              <w:rPr>
                <w:sz w:val="20"/>
                <w:szCs w:val="20"/>
                <w:color w:val="auto"/>
              </w:rPr>
            </w:pPr>
            <w:r>
              <w:rPr>
                <w:rFonts w:ascii="Times New Roman" w:cs="Times New Roman" w:eastAsia="Times New Roman" w:hAnsi="Times New Roman"/>
                <w:sz w:val="19"/>
                <w:szCs w:val="19"/>
                <w:color w:val="auto"/>
              </w:rPr>
              <w:t>$</w:t>
            </w:r>
          </w:p>
        </w:tc>
        <w:tc>
          <w:tcPr>
            <w:tcW w:w="62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ind w:right="766"/>
              <w:spacing w:after="0" w:line="210" w:lineRule="exact"/>
              <w:rPr>
                <w:sz w:val="20"/>
                <w:szCs w:val="20"/>
                <w:color w:val="auto"/>
              </w:rPr>
            </w:pPr>
            <w:r>
              <w:rPr>
                <w:rFonts w:ascii="Times New Roman" w:cs="Times New Roman" w:eastAsia="Times New Roman" w:hAnsi="Times New Roman"/>
                <w:sz w:val="19"/>
                <w:szCs w:val="19"/>
                <w:color w:val="auto"/>
              </w:rPr>
              <w:t>$</w:t>
            </w:r>
          </w:p>
        </w:tc>
        <w:tc>
          <w:tcPr>
            <w:tcW w:w="1160" w:type="dxa"/>
            <w:vAlign w:val="bottom"/>
            <w:tcBorders>
              <w:bottom w:val="single" w:sz="8" w:color="auto"/>
              <w:right w:val="single" w:sz="8" w:color="auto"/>
            </w:tcBorders>
          </w:tcPr>
          <w:p>
            <w:pPr>
              <w:jc w:val="right"/>
              <w:ind w:right="866"/>
              <w:spacing w:after="0" w:line="210" w:lineRule="exact"/>
              <w:rPr>
                <w:sz w:val="20"/>
                <w:szCs w:val="20"/>
                <w:color w:val="auto"/>
              </w:rPr>
            </w:pPr>
            <w:r>
              <w:rPr>
                <w:rFonts w:ascii="Times New Roman" w:cs="Times New Roman" w:eastAsia="Times New Roman" w:hAnsi="Times New Roman"/>
                <w:sz w:val="19"/>
                <w:szCs w:val="19"/>
                <w:color w:val="auto"/>
              </w:rPr>
              <w:t>$</w:t>
            </w:r>
          </w:p>
        </w:tc>
      </w:tr>
      <w:tr>
        <w:trPr>
          <w:trHeight w:val="183"/>
        </w:trPr>
        <w:tc>
          <w:tcPr>
            <w:tcW w:w="140" w:type="dxa"/>
            <w:vAlign w:val="bottom"/>
            <w:tcBorders>
              <w:right w:val="single" w:sz="8" w:color="auto"/>
            </w:tcBorders>
          </w:tcPr>
          <w:p>
            <w:pPr>
              <w:spacing w:after="0"/>
              <w:rPr>
                <w:sz w:val="15"/>
                <w:szCs w:val="15"/>
                <w:color w:val="auto"/>
              </w:rPr>
            </w:pPr>
          </w:p>
        </w:tc>
        <w:tc>
          <w:tcPr>
            <w:tcW w:w="5580" w:type="dxa"/>
            <w:vAlign w:val="bottom"/>
            <w:tcBorders>
              <w:right w:val="single" w:sz="8" w:color="auto"/>
            </w:tcBorders>
          </w:tcPr>
          <w:p>
            <w:pPr>
              <w:ind w:left="160"/>
              <w:spacing w:after="0" w:line="183" w:lineRule="exact"/>
              <w:rPr>
                <w:sz w:val="20"/>
                <w:szCs w:val="20"/>
                <w:color w:val="auto"/>
              </w:rPr>
            </w:pPr>
            <w:r>
              <w:rPr>
                <w:rFonts w:ascii="Times New Roman" w:cs="Times New Roman" w:eastAsia="Times New Roman" w:hAnsi="Times New Roman"/>
                <w:sz w:val="19"/>
                <w:szCs w:val="19"/>
                <w:color w:val="auto"/>
              </w:rPr>
              <w:t>Aggregate outstanding principal amount of the</w:t>
            </w:r>
          </w:p>
        </w:tc>
        <w:tc>
          <w:tcPr>
            <w:tcW w:w="106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r>
      <w:tr>
        <w:trPr>
          <w:trHeight w:val="242"/>
        </w:trPr>
        <w:tc>
          <w:tcPr>
            <w:tcW w:w="140" w:type="dxa"/>
            <w:vAlign w:val="bottom"/>
            <w:tcBorders>
              <w:right w:val="single" w:sz="8" w:color="auto"/>
            </w:tcBorders>
          </w:tcPr>
          <w:p>
            <w:pPr>
              <w:spacing w:after="0"/>
              <w:rPr>
                <w:sz w:val="21"/>
                <w:szCs w:val="21"/>
                <w:color w:val="auto"/>
              </w:rPr>
            </w:pPr>
          </w:p>
        </w:tc>
        <w:tc>
          <w:tcPr>
            <w:tcW w:w="55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9"/>
                <w:szCs w:val="19"/>
                <w:color w:val="auto"/>
              </w:rPr>
              <w:t>Advances assigned</w:t>
            </w:r>
          </w:p>
        </w:tc>
        <w:tc>
          <w:tcPr>
            <w:tcW w:w="1060" w:type="dxa"/>
            <w:vAlign w:val="bottom"/>
            <w:tcBorders>
              <w:bottom w:val="single" w:sz="8" w:color="auto"/>
              <w:right w:val="single" w:sz="8" w:color="auto"/>
            </w:tcBorders>
          </w:tcPr>
          <w:p>
            <w:pPr>
              <w:jc w:val="right"/>
              <w:ind w:right="786"/>
              <w:spacing w:after="0"/>
              <w:rPr>
                <w:sz w:val="20"/>
                <w:szCs w:val="20"/>
                <w:color w:val="auto"/>
              </w:rPr>
            </w:pPr>
            <w:r>
              <w:rPr>
                <w:rFonts w:ascii="Times New Roman" w:cs="Times New Roman" w:eastAsia="Times New Roman" w:hAnsi="Times New Roman"/>
                <w:sz w:val="19"/>
                <w:szCs w:val="19"/>
                <w:color w:val="auto"/>
              </w:rPr>
              <w:t>$</w:t>
            </w:r>
          </w:p>
        </w:tc>
        <w:tc>
          <w:tcPr>
            <w:tcW w:w="48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9"/>
                <w:szCs w:val="19"/>
                <w:color w:val="auto"/>
              </w:rPr>
              <w:t>$</w:t>
            </w:r>
          </w:p>
        </w:tc>
        <w:tc>
          <w:tcPr>
            <w:tcW w:w="58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9"/>
                <w:szCs w:val="19"/>
                <w:color w:val="auto"/>
              </w:rPr>
              <w:t>$</w:t>
            </w:r>
          </w:p>
        </w:tc>
        <w:tc>
          <w:tcPr>
            <w:tcW w:w="62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right"/>
              <w:ind w:right="766"/>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Borders>
              <w:bottom w:val="single" w:sz="8" w:color="auto"/>
              <w:right w:val="single" w:sz="8" w:color="auto"/>
            </w:tcBorders>
          </w:tcPr>
          <w:p>
            <w:pPr>
              <w:jc w:val="right"/>
              <w:ind w:right="866"/>
              <w:spacing w:after="0"/>
              <w:rPr>
                <w:sz w:val="20"/>
                <w:szCs w:val="20"/>
                <w:color w:val="auto"/>
              </w:rPr>
            </w:pPr>
            <w:r>
              <w:rPr>
                <w:rFonts w:ascii="Times New Roman" w:cs="Times New Roman" w:eastAsia="Times New Roman" w:hAnsi="Times New Roman"/>
                <w:sz w:val="19"/>
                <w:szCs w:val="19"/>
                <w:color w:val="auto"/>
              </w:rPr>
              <w:t>$</w:t>
            </w:r>
          </w:p>
        </w:tc>
      </w:tr>
      <w:tr>
        <w:trPr>
          <w:trHeight w:val="183"/>
        </w:trPr>
        <w:tc>
          <w:tcPr>
            <w:tcW w:w="140" w:type="dxa"/>
            <w:vAlign w:val="bottom"/>
            <w:tcBorders>
              <w:right w:val="single" w:sz="8" w:color="auto"/>
            </w:tcBorders>
          </w:tcPr>
          <w:p>
            <w:pPr>
              <w:spacing w:after="0"/>
              <w:rPr>
                <w:sz w:val="15"/>
                <w:szCs w:val="15"/>
                <w:color w:val="auto"/>
              </w:rPr>
            </w:pPr>
          </w:p>
        </w:tc>
        <w:tc>
          <w:tcPr>
            <w:tcW w:w="5580" w:type="dxa"/>
            <w:vAlign w:val="bottom"/>
            <w:tcBorders>
              <w:right w:val="single" w:sz="8" w:color="auto"/>
            </w:tcBorders>
          </w:tcPr>
          <w:p>
            <w:pPr>
              <w:ind w:left="160"/>
              <w:spacing w:after="0" w:line="183" w:lineRule="exact"/>
              <w:rPr>
                <w:sz w:val="20"/>
                <w:szCs w:val="20"/>
                <w:color w:val="auto"/>
              </w:rPr>
            </w:pPr>
            <w:r>
              <w:rPr>
                <w:rFonts w:ascii="Times New Roman" w:cs="Times New Roman" w:eastAsia="Times New Roman" w:hAnsi="Times New Roman"/>
                <w:sz w:val="19"/>
                <w:szCs w:val="19"/>
                <w:color w:val="auto"/>
              </w:rPr>
              <w:t>Aggregate outstanding principal amount of the</w:t>
            </w:r>
          </w:p>
        </w:tc>
        <w:tc>
          <w:tcPr>
            <w:tcW w:w="106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r>
      <w:tr>
        <w:trPr>
          <w:trHeight w:val="242"/>
        </w:trPr>
        <w:tc>
          <w:tcPr>
            <w:tcW w:w="140" w:type="dxa"/>
            <w:vAlign w:val="bottom"/>
            <w:tcBorders>
              <w:right w:val="single" w:sz="8" w:color="auto"/>
            </w:tcBorders>
          </w:tcPr>
          <w:p>
            <w:pPr>
              <w:spacing w:after="0"/>
              <w:rPr>
                <w:sz w:val="21"/>
                <w:szCs w:val="21"/>
                <w:color w:val="auto"/>
              </w:rPr>
            </w:pPr>
          </w:p>
        </w:tc>
        <w:tc>
          <w:tcPr>
            <w:tcW w:w="55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9"/>
                <w:szCs w:val="19"/>
                <w:color w:val="auto"/>
              </w:rPr>
              <w:t>Advances retained</w:t>
            </w:r>
          </w:p>
        </w:tc>
        <w:tc>
          <w:tcPr>
            <w:tcW w:w="1060" w:type="dxa"/>
            <w:vAlign w:val="bottom"/>
            <w:tcBorders>
              <w:bottom w:val="single" w:sz="8" w:color="auto"/>
              <w:right w:val="single" w:sz="8" w:color="auto"/>
            </w:tcBorders>
          </w:tcPr>
          <w:p>
            <w:pPr>
              <w:jc w:val="right"/>
              <w:ind w:right="786"/>
              <w:spacing w:after="0"/>
              <w:rPr>
                <w:sz w:val="20"/>
                <w:szCs w:val="20"/>
                <w:color w:val="auto"/>
              </w:rPr>
            </w:pPr>
            <w:r>
              <w:rPr>
                <w:rFonts w:ascii="Times New Roman" w:cs="Times New Roman" w:eastAsia="Times New Roman" w:hAnsi="Times New Roman"/>
                <w:sz w:val="19"/>
                <w:szCs w:val="19"/>
                <w:color w:val="auto"/>
              </w:rPr>
              <w:t>$</w:t>
            </w:r>
          </w:p>
        </w:tc>
        <w:tc>
          <w:tcPr>
            <w:tcW w:w="48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9"/>
                <w:szCs w:val="19"/>
                <w:color w:val="auto"/>
              </w:rPr>
              <w:t>$</w:t>
            </w:r>
          </w:p>
        </w:tc>
        <w:tc>
          <w:tcPr>
            <w:tcW w:w="58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9"/>
                <w:szCs w:val="19"/>
                <w:color w:val="auto"/>
              </w:rPr>
              <w:t>$</w:t>
            </w:r>
          </w:p>
        </w:tc>
        <w:tc>
          <w:tcPr>
            <w:tcW w:w="62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right"/>
              <w:ind w:right="766"/>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Borders>
              <w:bottom w:val="single" w:sz="8" w:color="auto"/>
              <w:right w:val="single" w:sz="8" w:color="auto"/>
            </w:tcBorders>
          </w:tcPr>
          <w:p>
            <w:pPr>
              <w:jc w:val="right"/>
              <w:ind w:right="866"/>
              <w:spacing w:after="0"/>
              <w:rPr>
                <w:sz w:val="20"/>
                <w:szCs w:val="20"/>
                <w:color w:val="auto"/>
              </w:rPr>
            </w:pPr>
            <w:r>
              <w:rPr>
                <w:rFonts w:ascii="Times New Roman" w:cs="Times New Roman" w:eastAsia="Times New Roman" w:hAnsi="Times New Roman"/>
                <w:sz w:val="19"/>
                <w:szCs w:val="19"/>
                <w:color w:val="auto"/>
              </w:rPr>
              <w:t>$</w:t>
            </w:r>
          </w:p>
        </w:tc>
      </w:tr>
      <w:tr>
        <w:trPr>
          <w:trHeight w:val="183"/>
        </w:trPr>
        <w:tc>
          <w:tcPr>
            <w:tcW w:w="140" w:type="dxa"/>
            <w:vAlign w:val="bottom"/>
            <w:tcBorders>
              <w:right w:val="single" w:sz="8" w:color="auto"/>
            </w:tcBorders>
          </w:tcPr>
          <w:p>
            <w:pPr>
              <w:spacing w:after="0"/>
              <w:rPr>
                <w:sz w:val="15"/>
                <w:szCs w:val="15"/>
                <w:color w:val="auto"/>
              </w:rPr>
            </w:pPr>
          </w:p>
        </w:tc>
        <w:tc>
          <w:tcPr>
            <w:tcW w:w="5580" w:type="dxa"/>
            <w:vAlign w:val="bottom"/>
            <w:tcBorders>
              <w:right w:val="single" w:sz="8" w:color="auto"/>
            </w:tcBorders>
          </w:tcPr>
          <w:p>
            <w:pPr>
              <w:ind w:left="160"/>
              <w:spacing w:after="0" w:line="183" w:lineRule="exact"/>
              <w:rPr>
                <w:sz w:val="20"/>
                <w:szCs w:val="20"/>
                <w:color w:val="auto"/>
              </w:rPr>
            </w:pPr>
            <w:r>
              <w:rPr>
                <w:rFonts w:ascii="Times New Roman" w:cs="Times New Roman" w:eastAsia="Times New Roman" w:hAnsi="Times New Roman"/>
                <w:sz w:val="19"/>
                <w:szCs w:val="19"/>
                <w:color w:val="auto"/>
              </w:rPr>
              <w:t>Principal amount of Note payable</w:t>
            </w:r>
          </w:p>
        </w:tc>
        <w:tc>
          <w:tcPr>
            <w:tcW w:w="1060" w:type="dxa"/>
            <w:vAlign w:val="bottom"/>
            <w:tcBorders>
              <w:right w:val="single" w:sz="8" w:color="auto"/>
            </w:tcBorders>
          </w:tcPr>
          <w:p>
            <w:pPr>
              <w:jc w:val="right"/>
              <w:ind w:right="786"/>
              <w:spacing w:after="0" w:line="183" w:lineRule="exact"/>
              <w:rPr>
                <w:sz w:val="20"/>
                <w:szCs w:val="20"/>
                <w:color w:val="auto"/>
              </w:rPr>
            </w:pPr>
            <w:r>
              <w:rPr>
                <w:rFonts w:ascii="Times New Roman" w:cs="Times New Roman" w:eastAsia="Times New Roman" w:hAnsi="Times New Roman"/>
                <w:sz w:val="19"/>
                <w:szCs w:val="19"/>
                <w:color w:val="auto"/>
              </w:rPr>
              <w:t>$</w:t>
            </w:r>
          </w:p>
        </w:tc>
        <w:tc>
          <w:tcPr>
            <w:tcW w:w="480" w:type="dxa"/>
            <w:vAlign w:val="bottom"/>
          </w:tcPr>
          <w:p>
            <w:pPr>
              <w:jc w:val="right"/>
              <w:ind w:right="186"/>
              <w:spacing w:after="0" w:line="183" w:lineRule="exact"/>
              <w:rPr>
                <w:sz w:val="20"/>
                <w:szCs w:val="20"/>
                <w:color w:val="auto"/>
              </w:rPr>
            </w:pPr>
            <w:r>
              <w:rPr>
                <w:rFonts w:ascii="Times New Roman" w:cs="Times New Roman" w:eastAsia="Times New Roman" w:hAnsi="Times New Roman"/>
                <w:sz w:val="19"/>
                <w:szCs w:val="19"/>
                <w:color w:val="auto"/>
              </w:rPr>
              <w:t>$</w:t>
            </w:r>
          </w:p>
        </w:tc>
        <w:tc>
          <w:tcPr>
            <w:tcW w:w="580" w:type="dxa"/>
            <w:vAlign w:val="bottom"/>
            <w:tcBorders>
              <w:right w:val="single" w:sz="8" w:color="auto"/>
            </w:tcBorders>
          </w:tcPr>
          <w:p>
            <w:pPr>
              <w:spacing w:after="0"/>
              <w:rPr>
                <w:sz w:val="15"/>
                <w:szCs w:val="15"/>
                <w:color w:val="auto"/>
              </w:rPr>
            </w:pPr>
          </w:p>
        </w:tc>
        <w:tc>
          <w:tcPr>
            <w:tcW w:w="560" w:type="dxa"/>
            <w:vAlign w:val="bottom"/>
          </w:tcPr>
          <w:p>
            <w:pPr>
              <w:jc w:val="right"/>
              <w:ind w:right="266"/>
              <w:spacing w:after="0" w:line="183" w:lineRule="exact"/>
              <w:rPr>
                <w:sz w:val="20"/>
                <w:szCs w:val="20"/>
                <w:color w:val="auto"/>
              </w:rPr>
            </w:pPr>
            <w:r>
              <w:rPr>
                <w:rFonts w:ascii="Times New Roman" w:cs="Times New Roman" w:eastAsia="Times New Roman" w:hAnsi="Times New Roman"/>
                <w:sz w:val="19"/>
                <w:szCs w:val="19"/>
                <w:color w:val="auto"/>
              </w:rPr>
              <w:t>$</w:t>
            </w:r>
          </w:p>
        </w:tc>
        <w:tc>
          <w:tcPr>
            <w:tcW w:w="62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jc w:val="right"/>
              <w:ind w:right="766"/>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60" w:type="dxa"/>
            <w:vAlign w:val="bottom"/>
            <w:tcBorders>
              <w:right w:val="single" w:sz="8" w:color="auto"/>
            </w:tcBorders>
          </w:tcPr>
          <w:p>
            <w:pPr>
              <w:jc w:val="right"/>
              <w:ind w:right="866"/>
              <w:spacing w:after="0" w:line="183" w:lineRule="exact"/>
              <w:rPr>
                <w:sz w:val="20"/>
                <w:szCs w:val="20"/>
                <w:color w:val="auto"/>
              </w:rPr>
            </w:pPr>
            <w:r>
              <w:rPr>
                <w:rFonts w:ascii="Times New Roman" w:cs="Times New Roman" w:eastAsia="Times New Roman" w:hAnsi="Times New Roman"/>
                <w:sz w:val="19"/>
                <w:szCs w:val="19"/>
                <w:color w:val="auto"/>
              </w:rPr>
              <w:t>$</w:t>
            </w:r>
          </w:p>
        </w:tc>
      </w:tr>
      <w:tr>
        <w:trPr>
          <w:trHeight w:val="242"/>
        </w:trPr>
        <w:tc>
          <w:tcPr>
            <w:tcW w:w="140" w:type="dxa"/>
            <w:vAlign w:val="bottom"/>
            <w:tcBorders>
              <w:right w:val="single" w:sz="8" w:color="auto"/>
            </w:tcBorders>
          </w:tcPr>
          <w:p>
            <w:pPr>
              <w:spacing w:after="0"/>
              <w:rPr>
                <w:sz w:val="21"/>
                <w:szCs w:val="21"/>
                <w:color w:val="auto"/>
              </w:rPr>
            </w:pPr>
          </w:p>
        </w:tc>
        <w:tc>
          <w:tcPr>
            <w:tcW w:w="5580" w:type="dxa"/>
            <w:vAlign w:val="bottom"/>
            <w:tcBorders>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9"/>
                <w:szCs w:val="19"/>
                <w:color w:val="auto"/>
              </w:rPr>
              <w:t>to Assignor</w:t>
            </w:r>
          </w:p>
        </w:tc>
        <w:tc>
          <w:tcPr>
            <w:tcW w:w="1060" w:type="dxa"/>
            <w:vAlign w:val="bottom"/>
            <w:tcBorders>
              <w:bottom w:val="single" w:sz="8" w:color="auto"/>
              <w:right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r>
      <w:tr>
        <w:trPr>
          <w:trHeight w:val="422"/>
        </w:trPr>
        <w:tc>
          <w:tcPr>
            <w:tcW w:w="140" w:type="dxa"/>
            <w:vAlign w:val="bottom"/>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29"/>
        </w:trPr>
        <w:tc>
          <w:tcPr>
            <w:tcW w:w="140" w:type="dxa"/>
            <w:vAlign w:val="bottom"/>
            <w:tcBorders>
              <w:right w:val="single" w:sz="8" w:color="auto"/>
            </w:tcBorders>
          </w:tcPr>
          <w:p>
            <w:pPr>
              <w:spacing w:after="0"/>
              <w:rPr>
                <w:sz w:val="19"/>
                <w:szCs w:val="19"/>
                <w:color w:val="auto"/>
              </w:rPr>
            </w:pPr>
          </w:p>
        </w:tc>
        <w:tc>
          <w:tcPr>
            <w:tcW w:w="5580" w:type="dxa"/>
            <w:vAlign w:val="bottom"/>
            <w:tcBorders>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9"/>
                <w:szCs w:val="19"/>
                <w:b w:val="1"/>
                <w:bCs w:val="1"/>
                <w:color w:val="auto"/>
              </w:rPr>
              <w:t>ASSIGNEES:</w:t>
            </w:r>
          </w:p>
        </w:tc>
        <w:tc>
          <w:tcPr>
            <w:tcW w:w="106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r>
      <w:tr>
        <w:trPr>
          <w:trHeight w:val="193"/>
        </w:trPr>
        <w:tc>
          <w:tcPr>
            <w:tcW w:w="140" w:type="dxa"/>
            <w:vAlign w:val="bottom"/>
            <w:tcBorders>
              <w:right w:val="single" w:sz="8" w:color="auto"/>
            </w:tcBorders>
          </w:tcPr>
          <w:p>
            <w:pPr>
              <w:spacing w:after="0"/>
              <w:rPr>
                <w:sz w:val="16"/>
                <w:szCs w:val="16"/>
                <w:color w:val="auto"/>
              </w:rPr>
            </w:pPr>
          </w:p>
        </w:tc>
        <w:tc>
          <w:tcPr>
            <w:tcW w:w="5580" w:type="dxa"/>
            <w:vAlign w:val="bottom"/>
            <w:tcBorders>
              <w:bottom w:val="single" w:sz="8" w:color="auto"/>
              <w:right w:val="single" w:sz="8" w:color="auto"/>
            </w:tcBorders>
          </w:tcPr>
          <w:p>
            <w:pPr>
              <w:ind w:left="160"/>
              <w:spacing w:after="0" w:line="193" w:lineRule="exact"/>
              <w:rPr>
                <w:sz w:val="20"/>
                <w:szCs w:val="20"/>
                <w:color w:val="auto"/>
              </w:rPr>
            </w:pPr>
            <w:r>
              <w:rPr>
                <w:rFonts w:ascii="Times New Roman" w:cs="Times New Roman" w:eastAsia="Times New Roman" w:hAnsi="Times New Roman"/>
                <w:sz w:val="19"/>
                <w:szCs w:val="19"/>
                <w:color w:val="auto"/>
              </w:rPr>
              <w:t>Percentage interest assumed</w:t>
            </w:r>
          </w:p>
        </w:tc>
        <w:tc>
          <w:tcPr>
            <w:tcW w:w="1060" w:type="dxa"/>
            <w:vAlign w:val="bottom"/>
            <w:tcBorders>
              <w:bottom w:val="single" w:sz="8" w:color="auto"/>
              <w:right w:val="single" w:sz="8" w:color="auto"/>
            </w:tcBorders>
          </w:tcPr>
          <w:p>
            <w:pPr>
              <w:jc w:val="right"/>
              <w:ind w:right="26"/>
              <w:spacing w:after="0" w:line="193" w:lineRule="exact"/>
              <w:rPr>
                <w:sz w:val="20"/>
                <w:szCs w:val="20"/>
                <w:color w:val="auto"/>
              </w:rPr>
            </w:pPr>
            <w:r>
              <w:rPr>
                <w:rFonts w:ascii="Times New Roman" w:cs="Times New Roman" w:eastAsia="Times New Roman" w:hAnsi="Times New Roman"/>
                <w:sz w:val="19"/>
                <w:szCs w:val="19"/>
                <w:color w:val="auto"/>
              </w:rPr>
              <w:t>%</w:t>
            </w:r>
          </w:p>
        </w:tc>
        <w:tc>
          <w:tcPr>
            <w:tcW w:w="48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jc w:val="right"/>
              <w:ind w:right="26"/>
              <w:spacing w:after="0" w:line="193" w:lineRule="exact"/>
              <w:rPr>
                <w:sz w:val="20"/>
                <w:szCs w:val="20"/>
                <w:color w:val="auto"/>
              </w:rPr>
            </w:pPr>
            <w:r>
              <w:rPr>
                <w:rFonts w:ascii="Times New Roman" w:cs="Times New Roman" w:eastAsia="Times New Roman" w:hAnsi="Times New Roman"/>
                <w:sz w:val="19"/>
                <w:szCs w:val="19"/>
                <w:color w:val="auto"/>
              </w:rPr>
              <w:t>%</w:t>
            </w:r>
          </w:p>
        </w:tc>
        <w:tc>
          <w:tcPr>
            <w:tcW w:w="560" w:type="dxa"/>
            <w:vAlign w:val="bottom"/>
            <w:tcBorders>
              <w:bottom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right"/>
              <w:ind w:right="26"/>
              <w:spacing w:after="0" w:line="193" w:lineRule="exact"/>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right w:val="single" w:sz="8" w:color="auto"/>
            </w:tcBorders>
          </w:tcPr>
          <w:p>
            <w:pPr>
              <w:jc w:val="right"/>
              <w:ind w:right="26"/>
              <w:spacing w:after="0" w:line="193" w:lineRule="exact"/>
              <w:rPr>
                <w:sz w:val="20"/>
                <w:szCs w:val="20"/>
                <w:color w:val="auto"/>
              </w:rPr>
            </w:pPr>
            <w:r>
              <w:rPr>
                <w:rFonts w:ascii="Times New Roman" w:cs="Times New Roman" w:eastAsia="Times New Roman" w:hAnsi="Times New Roman"/>
                <w:sz w:val="19"/>
                <w:szCs w:val="19"/>
                <w:color w:val="auto"/>
              </w:rPr>
              <w:t>%</w:t>
            </w:r>
          </w:p>
        </w:tc>
        <w:tc>
          <w:tcPr>
            <w:tcW w:w="1160" w:type="dxa"/>
            <w:vAlign w:val="bottom"/>
            <w:tcBorders>
              <w:bottom w:val="single" w:sz="8" w:color="auto"/>
              <w:right w:val="single" w:sz="8" w:color="auto"/>
            </w:tcBorders>
          </w:tcPr>
          <w:p>
            <w:pPr>
              <w:jc w:val="right"/>
              <w:ind w:right="26"/>
              <w:spacing w:after="0" w:line="193" w:lineRule="exact"/>
              <w:rPr>
                <w:sz w:val="20"/>
                <w:szCs w:val="20"/>
                <w:color w:val="auto"/>
              </w:rPr>
            </w:pPr>
            <w:r>
              <w:rPr>
                <w:rFonts w:ascii="Times New Roman" w:cs="Times New Roman" w:eastAsia="Times New Roman" w:hAnsi="Times New Roman"/>
                <w:sz w:val="19"/>
                <w:szCs w:val="19"/>
                <w:color w:val="auto"/>
              </w:rPr>
              <w:t>%</w:t>
            </w:r>
          </w:p>
        </w:tc>
      </w:tr>
      <w:tr>
        <w:trPr>
          <w:trHeight w:val="209"/>
        </w:trPr>
        <w:tc>
          <w:tcPr>
            <w:tcW w:w="140" w:type="dxa"/>
            <w:vAlign w:val="bottom"/>
            <w:tcBorders>
              <w:right w:val="single" w:sz="8" w:color="auto"/>
            </w:tcBorders>
          </w:tcPr>
          <w:p>
            <w:pPr>
              <w:spacing w:after="0"/>
              <w:rPr>
                <w:sz w:val="18"/>
                <w:szCs w:val="18"/>
                <w:color w:val="auto"/>
              </w:rPr>
            </w:pPr>
          </w:p>
        </w:tc>
        <w:tc>
          <w:tcPr>
            <w:tcW w:w="5580" w:type="dxa"/>
            <w:vAlign w:val="bottom"/>
            <w:tcBorders>
              <w:bottom w:val="single" w:sz="8" w:color="auto"/>
              <w:right w:val="single" w:sz="8" w:color="auto"/>
            </w:tcBorders>
          </w:tcPr>
          <w:p>
            <w:pPr>
              <w:ind w:left="160"/>
              <w:spacing w:after="0" w:line="210" w:lineRule="exact"/>
              <w:rPr>
                <w:sz w:val="20"/>
                <w:szCs w:val="20"/>
                <w:color w:val="auto"/>
              </w:rPr>
            </w:pPr>
            <w:r>
              <w:rPr>
                <w:rFonts w:ascii="Times New Roman" w:cs="Times New Roman" w:eastAsia="Times New Roman" w:hAnsi="Times New Roman"/>
                <w:sz w:val="19"/>
                <w:szCs w:val="19"/>
                <w:color w:val="auto"/>
              </w:rPr>
              <w:t>Commitment assumed</w:t>
            </w:r>
          </w:p>
        </w:tc>
        <w:tc>
          <w:tcPr>
            <w:tcW w:w="1060" w:type="dxa"/>
            <w:vAlign w:val="bottom"/>
            <w:tcBorders>
              <w:bottom w:val="single" w:sz="8" w:color="auto"/>
              <w:right w:val="single" w:sz="8" w:color="auto"/>
            </w:tcBorders>
          </w:tcPr>
          <w:p>
            <w:pPr>
              <w:jc w:val="right"/>
              <w:ind w:right="786"/>
              <w:spacing w:after="0" w:line="210" w:lineRule="exact"/>
              <w:rPr>
                <w:sz w:val="20"/>
                <w:szCs w:val="20"/>
                <w:color w:val="auto"/>
              </w:rPr>
            </w:pPr>
            <w:r>
              <w:rPr>
                <w:rFonts w:ascii="Times New Roman" w:cs="Times New Roman" w:eastAsia="Times New Roman" w:hAnsi="Times New Roman"/>
                <w:sz w:val="19"/>
                <w:szCs w:val="19"/>
                <w:color w:val="auto"/>
              </w:rPr>
              <w:t>$</w:t>
            </w:r>
          </w:p>
        </w:tc>
        <w:tc>
          <w:tcPr>
            <w:tcW w:w="480" w:type="dxa"/>
            <w:vAlign w:val="bottom"/>
            <w:tcBorders>
              <w:bottom w:val="single" w:sz="8" w:color="auto"/>
            </w:tcBorders>
          </w:tcPr>
          <w:p>
            <w:pPr>
              <w:jc w:val="right"/>
              <w:ind w:right="186"/>
              <w:spacing w:after="0" w:line="210" w:lineRule="exact"/>
              <w:rPr>
                <w:sz w:val="20"/>
                <w:szCs w:val="20"/>
                <w:color w:val="auto"/>
              </w:rPr>
            </w:pPr>
            <w:r>
              <w:rPr>
                <w:rFonts w:ascii="Times New Roman" w:cs="Times New Roman" w:eastAsia="Times New Roman" w:hAnsi="Times New Roman"/>
                <w:sz w:val="19"/>
                <w:szCs w:val="19"/>
                <w:color w:val="auto"/>
              </w:rPr>
              <w:t>$</w:t>
            </w:r>
          </w:p>
        </w:tc>
        <w:tc>
          <w:tcPr>
            <w:tcW w:w="58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jc w:val="right"/>
              <w:ind w:right="266"/>
              <w:spacing w:after="0" w:line="210" w:lineRule="exact"/>
              <w:rPr>
                <w:sz w:val="20"/>
                <w:szCs w:val="20"/>
                <w:color w:val="auto"/>
              </w:rPr>
            </w:pPr>
            <w:r>
              <w:rPr>
                <w:rFonts w:ascii="Times New Roman" w:cs="Times New Roman" w:eastAsia="Times New Roman" w:hAnsi="Times New Roman"/>
                <w:sz w:val="19"/>
                <w:szCs w:val="19"/>
                <w:color w:val="auto"/>
              </w:rPr>
              <w:t>$</w:t>
            </w:r>
          </w:p>
        </w:tc>
        <w:tc>
          <w:tcPr>
            <w:tcW w:w="62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jc w:val="right"/>
              <w:ind w:right="766"/>
              <w:spacing w:after="0" w:line="210" w:lineRule="exact"/>
              <w:rPr>
                <w:sz w:val="20"/>
                <w:szCs w:val="20"/>
                <w:color w:val="auto"/>
              </w:rPr>
            </w:pPr>
            <w:r>
              <w:rPr>
                <w:rFonts w:ascii="Times New Roman" w:cs="Times New Roman" w:eastAsia="Times New Roman" w:hAnsi="Times New Roman"/>
                <w:sz w:val="19"/>
                <w:szCs w:val="19"/>
                <w:color w:val="auto"/>
              </w:rPr>
              <w:t>$</w:t>
            </w:r>
          </w:p>
        </w:tc>
        <w:tc>
          <w:tcPr>
            <w:tcW w:w="1160" w:type="dxa"/>
            <w:vAlign w:val="bottom"/>
            <w:tcBorders>
              <w:bottom w:val="single" w:sz="8" w:color="auto"/>
              <w:right w:val="single" w:sz="8" w:color="auto"/>
            </w:tcBorders>
          </w:tcPr>
          <w:p>
            <w:pPr>
              <w:jc w:val="right"/>
              <w:ind w:right="866"/>
              <w:spacing w:after="0" w:line="210" w:lineRule="exact"/>
              <w:rPr>
                <w:sz w:val="20"/>
                <w:szCs w:val="20"/>
                <w:color w:val="auto"/>
              </w:rPr>
            </w:pPr>
            <w:r>
              <w:rPr>
                <w:rFonts w:ascii="Times New Roman" w:cs="Times New Roman" w:eastAsia="Times New Roman" w:hAnsi="Times New Roman"/>
                <w:sz w:val="19"/>
                <w:szCs w:val="19"/>
                <w:color w:val="auto"/>
              </w:rPr>
              <w:t>$</w:t>
            </w:r>
          </w:p>
        </w:tc>
      </w:tr>
      <w:tr>
        <w:trPr>
          <w:trHeight w:val="183"/>
        </w:trPr>
        <w:tc>
          <w:tcPr>
            <w:tcW w:w="140" w:type="dxa"/>
            <w:vAlign w:val="bottom"/>
            <w:tcBorders>
              <w:right w:val="single" w:sz="8" w:color="auto"/>
            </w:tcBorders>
          </w:tcPr>
          <w:p>
            <w:pPr>
              <w:spacing w:after="0"/>
              <w:rPr>
                <w:sz w:val="15"/>
                <w:szCs w:val="15"/>
                <w:color w:val="auto"/>
              </w:rPr>
            </w:pPr>
          </w:p>
        </w:tc>
        <w:tc>
          <w:tcPr>
            <w:tcW w:w="5580" w:type="dxa"/>
            <w:vAlign w:val="bottom"/>
            <w:tcBorders>
              <w:right w:val="single" w:sz="8" w:color="auto"/>
            </w:tcBorders>
          </w:tcPr>
          <w:p>
            <w:pPr>
              <w:ind w:left="160"/>
              <w:spacing w:after="0" w:line="183" w:lineRule="exact"/>
              <w:rPr>
                <w:sz w:val="20"/>
                <w:szCs w:val="20"/>
                <w:color w:val="auto"/>
              </w:rPr>
            </w:pPr>
            <w:r>
              <w:rPr>
                <w:rFonts w:ascii="Times New Roman" w:cs="Times New Roman" w:eastAsia="Times New Roman" w:hAnsi="Times New Roman"/>
                <w:sz w:val="19"/>
                <w:szCs w:val="19"/>
                <w:color w:val="auto"/>
              </w:rPr>
              <w:t>Aggregate outstanding principal amount of the</w:t>
            </w:r>
          </w:p>
        </w:tc>
        <w:tc>
          <w:tcPr>
            <w:tcW w:w="106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r>
      <w:tr>
        <w:trPr>
          <w:trHeight w:val="242"/>
        </w:trPr>
        <w:tc>
          <w:tcPr>
            <w:tcW w:w="140" w:type="dxa"/>
            <w:vAlign w:val="bottom"/>
            <w:tcBorders>
              <w:right w:val="single" w:sz="8" w:color="auto"/>
            </w:tcBorders>
          </w:tcPr>
          <w:p>
            <w:pPr>
              <w:spacing w:after="0"/>
              <w:rPr>
                <w:sz w:val="21"/>
                <w:szCs w:val="21"/>
                <w:color w:val="auto"/>
              </w:rPr>
            </w:pPr>
          </w:p>
        </w:tc>
        <w:tc>
          <w:tcPr>
            <w:tcW w:w="558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9"/>
                <w:szCs w:val="19"/>
                <w:color w:val="auto"/>
              </w:rPr>
              <w:t>Advances assumed</w:t>
            </w:r>
          </w:p>
        </w:tc>
        <w:tc>
          <w:tcPr>
            <w:tcW w:w="1060" w:type="dxa"/>
            <w:vAlign w:val="bottom"/>
            <w:tcBorders>
              <w:bottom w:val="single" w:sz="8" w:color="auto"/>
              <w:right w:val="single" w:sz="8" w:color="auto"/>
            </w:tcBorders>
          </w:tcPr>
          <w:p>
            <w:pPr>
              <w:jc w:val="right"/>
              <w:ind w:right="786"/>
              <w:spacing w:after="0"/>
              <w:rPr>
                <w:sz w:val="20"/>
                <w:szCs w:val="20"/>
                <w:color w:val="auto"/>
              </w:rPr>
            </w:pPr>
            <w:r>
              <w:rPr>
                <w:rFonts w:ascii="Times New Roman" w:cs="Times New Roman" w:eastAsia="Times New Roman" w:hAnsi="Times New Roman"/>
                <w:sz w:val="19"/>
                <w:szCs w:val="19"/>
                <w:color w:val="auto"/>
              </w:rPr>
              <w:t>$</w:t>
            </w:r>
          </w:p>
        </w:tc>
        <w:tc>
          <w:tcPr>
            <w:tcW w:w="48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9"/>
                <w:szCs w:val="19"/>
                <w:color w:val="auto"/>
              </w:rPr>
              <w:t>$</w:t>
            </w:r>
          </w:p>
        </w:tc>
        <w:tc>
          <w:tcPr>
            <w:tcW w:w="58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9"/>
                <w:szCs w:val="19"/>
                <w:color w:val="auto"/>
              </w:rPr>
              <w:t>$</w:t>
            </w:r>
          </w:p>
        </w:tc>
        <w:tc>
          <w:tcPr>
            <w:tcW w:w="62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jc w:val="right"/>
              <w:ind w:right="766"/>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Borders>
              <w:bottom w:val="single" w:sz="8" w:color="auto"/>
              <w:right w:val="single" w:sz="8" w:color="auto"/>
            </w:tcBorders>
          </w:tcPr>
          <w:p>
            <w:pPr>
              <w:jc w:val="right"/>
              <w:ind w:right="866"/>
              <w:spacing w:after="0"/>
              <w:rPr>
                <w:sz w:val="20"/>
                <w:szCs w:val="20"/>
                <w:color w:val="auto"/>
              </w:rPr>
            </w:pPr>
            <w:r>
              <w:rPr>
                <w:rFonts w:ascii="Times New Roman" w:cs="Times New Roman" w:eastAsia="Times New Roman" w:hAnsi="Times New Roman"/>
                <w:sz w:val="19"/>
                <w:szCs w:val="19"/>
                <w:color w:val="auto"/>
              </w:rPr>
              <w:t>$</w:t>
            </w:r>
          </w:p>
        </w:tc>
      </w:tr>
      <w:tr>
        <w:trPr>
          <w:trHeight w:val="183"/>
        </w:trPr>
        <w:tc>
          <w:tcPr>
            <w:tcW w:w="140" w:type="dxa"/>
            <w:vAlign w:val="bottom"/>
            <w:tcBorders>
              <w:right w:val="single" w:sz="8" w:color="auto"/>
            </w:tcBorders>
          </w:tcPr>
          <w:p>
            <w:pPr>
              <w:spacing w:after="0"/>
              <w:rPr>
                <w:sz w:val="15"/>
                <w:szCs w:val="15"/>
                <w:color w:val="auto"/>
              </w:rPr>
            </w:pPr>
          </w:p>
        </w:tc>
        <w:tc>
          <w:tcPr>
            <w:tcW w:w="5580" w:type="dxa"/>
            <w:vAlign w:val="bottom"/>
            <w:tcBorders>
              <w:right w:val="single" w:sz="8" w:color="auto"/>
            </w:tcBorders>
          </w:tcPr>
          <w:p>
            <w:pPr>
              <w:ind w:left="160"/>
              <w:spacing w:after="0" w:line="183" w:lineRule="exact"/>
              <w:rPr>
                <w:sz w:val="20"/>
                <w:szCs w:val="20"/>
                <w:color w:val="auto"/>
              </w:rPr>
            </w:pPr>
            <w:r>
              <w:rPr>
                <w:rFonts w:ascii="Times New Roman" w:cs="Times New Roman" w:eastAsia="Times New Roman" w:hAnsi="Times New Roman"/>
                <w:sz w:val="19"/>
                <w:szCs w:val="19"/>
                <w:color w:val="auto"/>
              </w:rPr>
              <w:t>Principal amount of Note payable</w:t>
            </w:r>
          </w:p>
        </w:tc>
        <w:tc>
          <w:tcPr>
            <w:tcW w:w="1060" w:type="dxa"/>
            <w:vAlign w:val="bottom"/>
            <w:tcBorders>
              <w:right w:val="single" w:sz="8" w:color="auto"/>
            </w:tcBorders>
          </w:tcPr>
          <w:p>
            <w:pPr>
              <w:jc w:val="right"/>
              <w:ind w:right="786"/>
              <w:spacing w:after="0" w:line="183" w:lineRule="exact"/>
              <w:rPr>
                <w:sz w:val="20"/>
                <w:szCs w:val="20"/>
                <w:color w:val="auto"/>
              </w:rPr>
            </w:pPr>
            <w:r>
              <w:rPr>
                <w:rFonts w:ascii="Times New Roman" w:cs="Times New Roman" w:eastAsia="Times New Roman" w:hAnsi="Times New Roman"/>
                <w:sz w:val="19"/>
                <w:szCs w:val="19"/>
                <w:color w:val="auto"/>
              </w:rPr>
              <w:t>$</w:t>
            </w:r>
          </w:p>
        </w:tc>
        <w:tc>
          <w:tcPr>
            <w:tcW w:w="480" w:type="dxa"/>
            <w:vAlign w:val="bottom"/>
          </w:tcPr>
          <w:p>
            <w:pPr>
              <w:jc w:val="right"/>
              <w:ind w:right="186"/>
              <w:spacing w:after="0" w:line="183" w:lineRule="exact"/>
              <w:rPr>
                <w:sz w:val="20"/>
                <w:szCs w:val="20"/>
                <w:color w:val="auto"/>
              </w:rPr>
            </w:pPr>
            <w:r>
              <w:rPr>
                <w:rFonts w:ascii="Times New Roman" w:cs="Times New Roman" w:eastAsia="Times New Roman" w:hAnsi="Times New Roman"/>
                <w:sz w:val="19"/>
                <w:szCs w:val="19"/>
                <w:color w:val="auto"/>
              </w:rPr>
              <w:t>$</w:t>
            </w:r>
          </w:p>
        </w:tc>
        <w:tc>
          <w:tcPr>
            <w:tcW w:w="580" w:type="dxa"/>
            <w:vAlign w:val="bottom"/>
            <w:tcBorders>
              <w:right w:val="single" w:sz="8" w:color="auto"/>
            </w:tcBorders>
          </w:tcPr>
          <w:p>
            <w:pPr>
              <w:spacing w:after="0"/>
              <w:rPr>
                <w:sz w:val="15"/>
                <w:szCs w:val="15"/>
                <w:color w:val="auto"/>
              </w:rPr>
            </w:pPr>
          </w:p>
        </w:tc>
        <w:tc>
          <w:tcPr>
            <w:tcW w:w="560" w:type="dxa"/>
            <w:vAlign w:val="bottom"/>
          </w:tcPr>
          <w:p>
            <w:pPr>
              <w:jc w:val="right"/>
              <w:ind w:right="266"/>
              <w:spacing w:after="0" w:line="183" w:lineRule="exact"/>
              <w:rPr>
                <w:sz w:val="20"/>
                <w:szCs w:val="20"/>
                <w:color w:val="auto"/>
              </w:rPr>
            </w:pPr>
            <w:r>
              <w:rPr>
                <w:rFonts w:ascii="Times New Roman" w:cs="Times New Roman" w:eastAsia="Times New Roman" w:hAnsi="Times New Roman"/>
                <w:sz w:val="19"/>
                <w:szCs w:val="19"/>
                <w:color w:val="auto"/>
              </w:rPr>
              <w:t>$</w:t>
            </w:r>
          </w:p>
        </w:tc>
        <w:tc>
          <w:tcPr>
            <w:tcW w:w="62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jc w:val="right"/>
              <w:ind w:right="766"/>
              <w:spacing w:after="0" w:line="183" w:lineRule="exact"/>
              <w:rPr>
                <w:sz w:val="20"/>
                <w:szCs w:val="20"/>
                <w:color w:val="auto"/>
              </w:rPr>
            </w:pPr>
            <w:r>
              <w:rPr>
                <w:rFonts w:ascii="Times New Roman" w:cs="Times New Roman" w:eastAsia="Times New Roman" w:hAnsi="Times New Roman"/>
                <w:sz w:val="19"/>
                <w:szCs w:val="19"/>
                <w:color w:val="auto"/>
              </w:rPr>
              <w:t>$</w:t>
            </w:r>
          </w:p>
        </w:tc>
        <w:tc>
          <w:tcPr>
            <w:tcW w:w="1160" w:type="dxa"/>
            <w:vAlign w:val="bottom"/>
            <w:tcBorders>
              <w:right w:val="single" w:sz="8" w:color="auto"/>
            </w:tcBorders>
          </w:tcPr>
          <w:p>
            <w:pPr>
              <w:jc w:val="right"/>
              <w:ind w:right="866"/>
              <w:spacing w:after="0" w:line="183" w:lineRule="exact"/>
              <w:rPr>
                <w:sz w:val="20"/>
                <w:szCs w:val="20"/>
                <w:color w:val="auto"/>
              </w:rPr>
            </w:pPr>
            <w:r>
              <w:rPr>
                <w:rFonts w:ascii="Times New Roman" w:cs="Times New Roman" w:eastAsia="Times New Roman" w:hAnsi="Times New Roman"/>
                <w:sz w:val="19"/>
                <w:szCs w:val="19"/>
                <w:color w:val="auto"/>
              </w:rPr>
              <w:t>$</w:t>
            </w:r>
          </w:p>
        </w:tc>
      </w:tr>
      <w:tr>
        <w:trPr>
          <w:trHeight w:val="242"/>
        </w:trPr>
        <w:tc>
          <w:tcPr>
            <w:tcW w:w="140" w:type="dxa"/>
            <w:vAlign w:val="bottom"/>
            <w:tcBorders>
              <w:right w:val="single" w:sz="8" w:color="auto"/>
            </w:tcBorders>
          </w:tcPr>
          <w:p>
            <w:pPr>
              <w:spacing w:after="0"/>
              <w:rPr>
                <w:sz w:val="21"/>
                <w:szCs w:val="21"/>
                <w:color w:val="auto"/>
              </w:rPr>
            </w:pPr>
          </w:p>
        </w:tc>
        <w:tc>
          <w:tcPr>
            <w:tcW w:w="5580" w:type="dxa"/>
            <w:vAlign w:val="bottom"/>
            <w:tcBorders>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9"/>
                <w:szCs w:val="19"/>
                <w:color w:val="auto"/>
              </w:rPr>
              <w:t>to Assignee</w:t>
            </w:r>
          </w:p>
        </w:tc>
        <w:tc>
          <w:tcPr>
            <w:tcW w:w="1060" w:type="dxa"/>
            <w:vAlign w:val="bottom"/>
            <w:tcBorders>
              <w:bottom w:val="single" w:sz="8" w:color="auto"/>
              <w:right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r>
      <w:tr>
        <w:trPr>
          <w:trHeight w:val="1620"/>
        </w:trPr>
        <w:tc>
          <w:tcPr>
            <w:tcW w:w="14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9"/>
          <w:szCs w:val="19"/>
          <w:color w:val="auto"/>
        </w:rPr>
        <w:t>Effective Date (if other than date of acceptance by Administrative Agent):</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9"/>
          <w:szCs w:val="19"/>
          <w:color w:val="auto"/>
        </w:rPr>
        <w:t>_________ __, ____</w:t>
      </w:r>
    </w:p>
    <w:p>
      <w:pPr>
        <w:ind w:left="5240"/>
        <w:spacing w:after="0"/>
        <w:rPr>
          <w:sz w:val="20"/>
          <w:szCs w:val="20"/>
          <w:color w:val="auto"/>
        </w:rPr>
      </w:pPr>
      <w:r>
        <w:rPr>
          <w:rFonts w:ascii="Times New Roman" w:cs="Times New Roman" w:eastAsia="Times New Roman" w:hAnsi="Times New Roman"/>
          <w:sz w:val="19"/>
          <w:szCs w:val="19"/>
          <w:b w:val="1"/>
          <w:bCs w:val="1"/>
          <w:u w:val="single" w:color="auto"/>
          <w:color w:val="auto"/>
        </w:rPr>
        <w:t>Assignors</w:t>
      </w:r>
    </w:p>
    <w:p>
      <w:pPr>
        <w:spacing w:after="0" w:line="200" w:lineRule="exact"/>
        <w:rPr>
          <w:sz w:val="20"/>
          <w:szCs w:val="20"/>
          <w:color w:val="auto"/>
        </w:rPr>
      </w:pP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_______________________________, as Assignor</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i w:val="1"/>
          <w:iCs w:val="1"/>
          <w:color w:val="auto"/>
        </w:rPr>
        <w:t>[Type or print legal name of Assignor]</w:t>
      </w:r>
    </w:p>
    <w:p>
      <w:pPr>
        <w:spacing w:after="0" w:line="1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-10160</wp:posOffset>
            </wp:positionV>
            <wp:extent cx="16865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9"/>
          <w:szCs w:val="19"/>
          <w:color w:val="auto"/>
        </w:rPr>
        <w:t>Title:</w:t>
      </w:r>
    </w:p>
    <w:p>
      <w:pPr>
        <w:spacing w:after="0" w:line="1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Dated: _________ __, ____</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_______________________________, as Assignor</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i w:val="1"/>
          <w:iCs w:val="1"/>
          <w:color w:val="auto"/>
        </w:rPr>
        <w:t>[Type or print legal name of Assignor]</w:t>
      </w:r>
    </w:p>
    <w:p>
      <w:pPr>
        <w:spacing w:after="0" w:line="1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-10160</wp:posOffset>
            </wp:positionV>
            <wp:extent cx="144653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44653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9"/>
          <w:szCs w:val="19"/>
          <w:color w:val="auto"/>
        </w:rPr>
        <w:t>Title:</w:t>
      </w:r>
    </w:p>
    <w:p>
      <w:pPr>
        <w:spacing w:after="0" w:line="1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Dated: _________ __, ____</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_______________________________, as Assignor</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i w:val="1"/>
          <w:iCs w:val="1"/>
          <w:color w:val="auto"/>
        </w:rPr>
        <w:t>[Type or print legal name of Assignor]</w:t>
      </w:r>
    </w:p>
    <w:p>
      <w:pPr>
        <w:spacing w:after="0" w:line="1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By:</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Title:</w:t>
      </w:r>
    </w:p>
    <w:p>
      <w:pPr>
        <w:spacing w:after="0" w:line="1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Dated: _________ __, ____</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_______________________________, as Assignor</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i w:val="1"/>
          <w:iCs w:val="1"/>
          <w:color w:val="auto"/>
        </w:rPr>
        <w:t>[Type or print legal name of Assignor]</w:t>
      </w:r>
    </w:p>
    <w:p>
      <w:pPr>
        <w:spacing w:after="0" w:line="1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By:</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Title:</w:t>
      </w:r>
    </w:p>
    <w:p>
      <w:pPr>
        <w:spacing w:after="0" w:line="1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Dated: _________ __,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414020</wp:posOffset>
            </wp:positionV>
            <wp:extent cx="1688465" cy="508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60" w:hanging="752"/>
        <w:spacing w:after="0" w:line="223" w:lineRule="auto"/>
        <w:tabs>
          <w:tab w:leader="none" w:pos="371" w:val="left"/>
        </w:tabs>
        <w:numPr>
          <w:ilvl w:val="0"/>
          <w:numId w:val="15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date should be no earlier than five Business Days after the delivery of this Assignment and Acceptance to the Administrative Agent and, if applicable,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880110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371" w:right="859" w:bottom="1440" w:gutter="0" w:footer="0" w:header="0"/>
        </w:sectPr>
      </w:pPr>
    </w:p>
    <w:bookmarkStart w:id="160" w:name="page161"/>
    <w:bookmarkEnd w:id="160"/>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Assignees</w:t>
      </w:r>
    </w:p>
    <w:p>
      <w:pPr>
        <w:spacing w:after="0" w:line="200" w:lineRule="exact"/>
        <w:rPr>
          <w:sz w:val="20"/>
          <w:szCs w:val="20"/>
          <w:color w:val="auto"/>
        </w:rPr>
      </w:pPr>
    </w:p>
    <w:p>
      <w:pPr>
        <w:spacing w:after="0" w:line="23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 as Assignee</w:t>
      </w:r>
    </w:p>
    <w:p>
      <w:pPr>
        <w:spacing w:after="0" w:line="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i w:val="1"/>
          <w:iCs w:val="1"/>
          <w:color w:val="auto"/>
        </w:rPr>
        <w:t>[Type or print legal name of Assignee]</w:t>
      </w:r>
    </w:p>
    <w:p>
      <w:pPr>
        <w:spacing w:after="0" w:line="19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2379980</wp:posOffset>
            </wp:positionH>
            <wp:positionV relativeFrom="paragraph">
              <wp:posOffset>-10160</wp:posOffset>
            </wp:positionV>
            <wp:extent cx="16865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ind w:left="3760"/>
        <w:spacing w:after="0"/>
        <w:rPr>
          <w:sz w:val="20"/>
          <w:szCs w:val="20"/>
          <w:color w:val="auto"/>
        </w:rPr>
      </w:pPr>
      <w:r>
        <w:rPr>
          <w:rFonts w:ascii="Times New Roman" w:cs="Times New Roman" w:eastAsia="Times New Roman" w:hAnsi="Times New Roman"/>
          <w:sz w:val="19"/>
          <w:szCs w:val="19"/>
          <w:color w:val="auto"/>
        </w:rPr>
        <w:t>Title:</w:t>
      </w:r>
    </w:p>
    <w:p>
      <w:pPr>
        <w:ind w:left="3760"/>
        <w:spacing w:after="0"/>
        <w:rPr>
          <w:sz w:val="20"/>
          <w:szCs w:val="20"/>
          <w:color w:val="auto"/>
        </w:rPr>
      </w:pPr>
      <w:r>
        <w:rPr>
          <w:rFonts w:ascii="Times New Roman" w:cs="Times New Roman" w:eastAsia="Times New Roman" w:hAnsi="Times New Roman"/>
          <w:sz w:val="19"/>
          <w:szCs w:val="19"/>
          <w:color w:val="auto"/>
        </w:rPr>
        <w:t>E-mail address for notices:</w:t>
      </w:r>
    </w:p>
    <w:p>
      <w:pPr>
        <w:spacing w:after="0" w:line="19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Dated: _________ __, ____</w:t>
      </w:r>
    </w:p>
    <w:p>
      <w:pPr>
        <w:spacing w:after="0" w:line="2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Domestic Lending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1724025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5" w:right="1440" w:bottom="1440" w:gutter="0" w:footer="0" w:header="0"/>
        </w:sectPr>
      </w:pPr>
    </w:p>
    <w:bookmarkStart w:id="161" w:name="page162"/>
    <w:bookmarkEnd w:id="161"/>
    <w:p>
      <w:pPr>
        <w:ind w:left="3380"/>
        <w:spacing w:after="0"/>
        <w:rPr>
          <w:sz w:val="20"/>
          <w:szCs w:val="20"/>
          <w:color w:val="auto"/>
        </w:rPr>
      </w:pPr>
      <w:r>
        <w:rPr>
          <w:rFonts w:ascii="Times New Roman" w:cs="Times New Roman" w:eastAsia="Times New Roman" w:hAnsi="Times New Roman"/>
          <w:sz w:val="18"/>
          <w:szCs w:val="18"/>
          <w:color w:val="auto"/>
        </w:rPr>
        <w:t>_______________________________, as Assignee</w:t>
      </w:r>
    </w:p>
    <w:p>
      <w:pPr>
        <w:spacing w:after="0" w:line="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i w:val="1"/>
          <w:iCs w:val="1"/>
          <w:color w:val="auto"/>
        </w:rPr>
        <w:t>[Type or print legal name of Assignee]</w:t>
      </w:r>
    </w:p>
    <w:p>
      <w:pPr>
        <w:spacing w:after="0" w:line="19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2379980</wp:posOffset>
            </wp:positionH>
            <wp:positionV relativeFrom="paragraph">
              <wp:posOffset>-10160</wp:posOffset>
            </wp:positionV>
            <wp:extent cx="2463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46380" cy="8890"/>
                    </a:xfrm>
                    <a:prstGeom prst="rect">
                      <a:avLst/>
                    </a:prstGeom>
                    <a:noFill/>
                  </pic:spPr>
                </pic:pic>
              </a:graphicData>
            </a:graphic>
          </wp:anchor>
        </w:drawing>
      </w:r>
    </w:p>
    <w:p>
      <w:pPr>
        <w:ind w:left="3760"/>
        <w:spacing w:after="0"/>
        <w:rPr>
          <w:sz w:val="20"/>
          <w:szCs w:val="20"/>
          <w:color w:val="auto"/>
        </w:rPr>
      </w:pPr>
      <w:r>
        <w:rPr>
          <w:rFonts w:ascii="Times New Roman" w:cs="Times New Roman" w:eastAsia="Times New Roman" w:hAnsi="Times New Roman"/>
          <w:sz w:val="19"/>
          <w:szCs w:val="19"/>
          <w:color w:val="auto"/>
        </w:rPr>
        <w:t>Title:</w:t>
      </w:r>
    </w:p>
    <w:p>
      <w:pPr>
        <w:ind w:left="3760"/>
        <w:spacing w:after="0"/>
        <w:rPr>
          <w:sz w:val="20"/>
          <w:szCs w:val="20"/>
          <w:color w:val="auto"/>
        </w:rPr>
      </w:pPr>
      <w:r>
        <w:rPr>
          <w:rFonts w:ascii="Times New Roman" w:cs="Times New Roman" w:eastAsia="Times New Roman" w:hAnsi="Times New Roman"/>
          <w:sz w:val="19"/>
          <w:szCs w:val="19"/>
          <w:color w:val="auto"/>
        </w:rPr>
        <w:t>E-mail address for notices:</w:t>
      </w:r>
    </w:p>
    <w:p>
      <w:pPr>
        <w:spacing w:after="0" w:line="19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Dated: _________ __, ____</w:t>
      </w:r>
    </w:p>
    <w:p>
      <w:pPr>
        <w:spacing w:after="0" w:line="2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Domestic Lending Office:</w:t>
      </w:r>
    </w:p>
    <w:p>
      <w:pPr>
        <w:spacing w:after="0" w:line="200" w:lineRule="exact"/>
        <w:rPr>
          <w:sz w:val="20"/>
          <w:szCs w:val="20"/>
          <w:color w:val="auto"/>
        </w:rPr>
      </w:pPr>
    </w:p>
    <w:p>
      <w:pPr>
        <w:spacing w:after="0" w:line="2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 as Assignee</w:t>
      </w:r>
    </w:p>
    <w:p>
      <w:pPr>
        <w:spacing w:after="0" w:line="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i w:val="1"/>
          <w:iCs w:val="1"/>
          <w:color w:val="auto"/>
        </w:rPr>
        <w:t>[Type or print legal name of Assignee]</w:t>
      </w:r>
    </w:p>
    <w:p>
      <w:pPr>
        <w:spacing w:after="0" w:line="19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2379980</wp:posOffset>
            </wp:positionH>
            <wp:positionV relativeFrom="paragraph">
              <wp:posOffset>-10160</wp:posOffset>
            </wp:positionV>
            <wp:extent cx="2463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46380" cy="8255"/>
                    </a:xfrm>
                    <a:prstGeom prst="rect">
                      <a:avLst/>
                    </a:prstGeom>
                    <a:noFill/>
                  </pic:spPr>
                </pic:pic>
              </a:graphicData>
            </a:graphic>
          </wp:anchor>
        </w:drawing>
      </w:r>
    </w:p>
    <w:p>
      <w:pPr>
        <w:ind w:left="3760"/>
        <w:spacing w:after="0"/>
        <w:rPr>
          <w:sz w:val="20"/>
          <w:szCs w:val="20"/>
          <w:color w:val="auto"/>
        </w:rPr>
      </w:pPr>
      <w:r>
        <w:rPr>
          <w:rFonts w:ascii="Times New Roman" w:cs="Times New Roman" w:eastAsia="Times New Roman" w:hAnsi="Times New Roman"/>
          <w:sz w:val="19"/>
          <w:szCs w:val="19"/>
          <w:color w:val="auto"/>
        </w:rPr>
        <w:t>Title:</w:t>
      </w:r>
    </w:p>
    <w:p>
      <w:pPr>
        <w:ind w:left="3760"/>
        <w:spacing w:after="0"/>
        <w:rPr>
          <w:sz w:val="20"/>
          <w:szCs w:val="20"/>
          <w:color w:val="auto"/>
        </w:rPr>
      </w:pPr>
      <w:r>
        <w:rPr>
          <w:rFonts w:ascii="Times New Roman" w:cs="Times New Roman" w:eastAsia="Times New Roman" w:hAnsi="Times New Roman"/>
          <w:sz w:val="19"/>
          <w:szCs w:val="19"/>
          <w:color w:val="auto"/>
        </w:rPr>
        <w:t>E-mail address for notices:</w:t>
      </w:r>
    </w:p>
    <w:p>
      <w:pPr>
        <w:spacing w:after="0" w:line="19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Dated: _________ __, ____</w:t>
      </w:r>
    </w:p>
    <w:p>
      <w:pPr>
        <w:spacing w:after="0" w:line="2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Domestic Lending Office:</w:t>
      </w:r>
    </w:p>
    <w:p>
      <w:pPr>
        <w:spacing w:after="0" w:line="200" w:lineRule="exact"/>
        <w:rPr>
          <w:sz w:val="20"/>
          <w:szCs w:val="20"/>
          <w:color w:val="auto"/>
        </w:rPr>
      </w:pPr>
    </w:p>
    <w:p>
      <w:pPr>
        <w:spacing w:after="0" w:line="24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 as Assignee</w:t>
      </w:r>
    </w:p>
    <w:p>
      <w:pPr>
        <w:spacing w:after="0" w:line="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i w:val="1"/>
          <w:iCs w:val="1"/>
          <w:color w:val="auto"/>
        </w:rPr>
        <w:t>[Type or print legal name of Assignee]</w:t>
      </w:r>
    </w:p>
    <w:p>
      <w:pPr>
        <w:spacing w:after="0" w:line="19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2379980</wp:posOffset>
            </wp:positionH>
            <wp:positionV relativeFrom="paragraph">
              <wp:posOffset>-10160</wp:posOffset>
            </wp:positionV>
            <wp:extent cx="2463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6380" cy="8255"/>
                    </a:xfrm>
                    <a:prstGeom prst="rect">
                      <a:avLst/>
                    </a:prstGeom>
                    <a:noFill/>
                  </pic:spPr>
                </pic:pic>
              </a:graphicData>
            </a:graphic>
          </wp:anchor>
        </w:drawing>
      </w:r>
    </w:p>
    <w:p>
      <w:pPr>
        <w:ind w:left="3760"/>
        <w:spacing w:after="0"/>
        <w:rPr>
          <w:sz w:val="20"/>
          <w:szCs w:val="20"/>
          <w:color w:val="auto"/>
        </w:rPr>
      </w:pPr>
      <w:r>
        <w:rPr>
          <w:rFonts w:ascii="Times New Roman" w:cs="Times New Roman" w:eastAsia="Times New Roman" w:hAnsi="Times New Roman"/>
          <w:sz w:val="19"/>
          <w:szCs w:val="19"/>
          <w:color w:val="auto"/>
        </w:rPr>
        <w:t>Title:</w:t>
      </w:r>
    </w:p>
    <w:p>
      <w:pPr>
        <w:ind w:left="3820"/>
        <w:spacing w:after="0"/>
        <w:rPr>
          <w:sz w:val="20"/>
          <w:szCs w:val="20"/>
          <w:color w:val="auto"/>
        </w:rPr>
      </w:pPr>
      <w:r>
        <w:rPr>
          <w:rFonts w:ascii="Times New Roman" w:cs="Times New Roman" w:eastAsia="Times New Roman" w:hAnsi="Times New Roman"/>
          <w:sz w:val="19"/>
          <w:szCs w:val="19"/>
          <w:color w:val="auto"/>
        </w:rPr>
        <w:t>E-mail address for notices: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Dated: _________ __, ____</w:t>
      </w:r>
    </w:p>
    <w:p>
      <w:pPr>
        <w:spacing w:after="0" w:line="2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Domestic Lending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1175385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color w:val="auto"/>
        </w:rPr>
        <w:t>Accepted [and Approved] this ____day of ___________, 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PNC Bank, National Association,</w:t>
      </w:r>
    </w:p>
    <w:p>
      <w:pPr>
        <w:spacing w:after="0"/>
        <w:rPr>
          <w:sz w:val="20"/>
          <w:szCs w:val="20"/>
          <w:color w:val="auto"/>
        </w:rPr>
      </w:pPr>
      <w:r>
        <w:rPr>
          <w:rFonts w:ascii="Times New Roman" w:cs="Times New Roman" w:eastAsia="Times New Roman" w:hAnsi="Times New Roman"/>
          <w:sz w:val="19"/>
          <w:szCs w:val="19"/>
          <w:color w:val="auto"/>
        </w:rPr>
        <w:t>as Administrative Agent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_______________________________</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Name:</w:t>
      </w:r>
    </w:p>
    <w:p>
      <w:pPr>
        <w:ind w:left="380"/>
        <w:spacing w:after="0"/>
        <w:rPr>
          <w:sz w:val="20"/>
          <w:szCs w:val="20"/>
          <w:color w:val="auto"/>
        </w:rPr>
      </w:pPr>
      <w:r>
        <w:rPr>
          <w:rFonts w:ascii="Times New Roman" w:cs="Times New Roman" w:eastAsia="Times New Roman" w:hAnsi="Times New Roman"/>
          <w:sz w:val="19"/>
          <w:szCs w:val="19"/>
          <w:color w:val="auto"/>
        </w:rPr>
        <w:t>Title: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Approved this ____ day of _____________, ____</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EASTERLY GOVERNMENT PROPERTIES LP</w:t>
      </w:r>
      <w:r>
        <w:rPr>
          <w:rFonts w:ascii="Times New Roman" w:cs="Times New Roman" w:eastAsia="Times New Roman" w:hAnsi="Times New Roman"/>
          <w:sz w:val="19"/>
          <w:szCs w:val="19"/>
          <w:color w:val="auto"/>
        </w:rPr>
        <w:t>,</w:t>
      </w:r>
    </w:p>
    <w:p>
      <w:pPr>
        <w:spacing w:after="0"/>
        <w:rPr>
          <w:sz w:val="20"/>
          <w:szCs w:val="20"/>
          <w:color w:val="auto"/>
        </w:rPr>
      </w:pPr>
      <w:r>
        <w:rPr>
          <w:rFonts w:ascii="Times New Roman" w:cs="Times New Roman" w:eastAsia="Times New Roman" w:hAnsi="Times New Roman"/>
          <w:sz w:val="19"/>
          <w:szCs w:val="19"/>
          <w:color w:val="auto"/>
        </w:rPr>
        <w:t>a Delaware limited partnership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b w:val="1"/>
          <w:bCs w:val="1"/>
          <w:color w:val="auto"/>
        </w:rPr>
        <w:t>EASTERLY GOVERNMENT PROPERTIES, INC.</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a Maryland corporation, its general partner</w:t>
      </w:r>
    </w:p>
    <w:p>
      <w:pPr>
        <w:spacing w:after="0" w:line="200" w:lineRule="exact"/>
        <w:rPr>
          <w:sz w:val="20"/>
          <w:szCs w:val="20"/>
          <w:color w:val="auto"/>
        </w:rPr>
      </w:pPr>
    </w:p>
    <w:p>
      <w:pPr>
        <w:spacing w:after="0" w:line="2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By:  ____________________________</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Name:</w:t>
      </w:r>
    </w:p>
    <w:p>
      <w:pPr>
        <w:ind w:left="38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1430020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9"/>
          <w:szCs w:val="19"/>
          <w:b w:val="1"/>
          <w:bCs w:val="1"/>
          <w:color w:val="auto"/>
        </w:rPr>
        <w:t>EXHIBIT G-1 to the</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TERM LOAN AGREEMENT</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FORM OF SECTION 2.12(g)</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TAX COMPLIANCE CERTIFICATION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2.12(g) U.S. TAX COMPLIANCE CERTIFICATE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 Foreign Lenders That Are Not Partnerships For U.S. Federal Income Tax Purposes)</w:t>
      </w:r>
    </w:p>
    <w:p>
      <w:pPr>
        <w:spacing w:after="0" w:line="200" w:lineRule="exact"/>
        <w:rPr>
          <w:sz w:val="20"/>
          <w:szCs w:val="20"/>
          <w:color w:val="auto"/>
        </w:rPr>
      </w:pPr>
    </w:p>
    <w:p>
      <w:pPr>
        <w:spacing w:after="0" w:line="21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auto"/>
        </w:rPr>
        <w:t>Reference is hereby made to the Term Loan Agreement, dated as of June 25, 2026 (as amended, supplemented or otherwise modified from time to time, the “</w:t>
      </w:r>
      <w:r>
        <w:rPr>
          <w:rFonts w:ascii="Times New Roman" w:cs="Times New Roman" w:eastAsia="Times New Roman" w:hAnsi="Times New Roman"/>
          <w:sz w:val="19"/>
          <w:szCs w:val="19"/>
          <w:b w:val="1"/>
          <w:bCs w:val="1"/>
          <w:i w:val="1"/>
          <w:iCs w:val="1"/>
          <w:color w:val="auto"/>
        </w:rPr>
        <w:t>Term Loan Agreement</w:t>
      </w:r>
      <w:r>
        <w:rPr>
          <w:rFonts w:ascii="Times New Roman" w:cs="Times New Roman" w:eastAsia="Times New Roman" w:hAnsi="Times New Roman"/>
          <w:sz w:val="19"/>
          <w:szCs w:val="19"/>
          <w:color w:val="auto"/>
        </w:rPr>
        <w:t>”), among Easterly Government Properties LP, as Borrower, Easterly Government Properties, Inc., as Parent, the Subsidiary Guarantors party thereto, the Lenders party thereto, PNC Bank, National Association, as Administrative Agent for the Lenders, and the Arrangers party thereto.</w:t>
      </w:r>
    </w:p>
    <w:p>
      <w:pPr>
        <w:spacing w:after="0" w:line="18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auto"/>
        </w:rPr>
        <w:t>Pursuant to the provisions of Section 2.12 of the Term Loan Agreement, the undersigned hereby certifies that (i) it is the sole record and beneficial owner of the participation in respect of which it is providing this certificate, (ii) it is not a bank within the meaning of Section 881(c)(3)(A) of the Internal Revenue Code, (iii) it is not a “10 percent shareholder” of any Loan Party within the meaning of Section 881(c)(3)(B) of the Internal Revenue Code, and (iv) it is not a “controlled foreign corporation” described in Section 881(c)(3)(C) of the Internal Revenue Code.</w:t>
      </w:r>
    </w:p>
    <w:p>
      <w:pPr>
        <w:spacing w:after="0" w:line="155" w:lineRule="exact"/>
        <w:rPr>
          <w:sz w:val="20"/>
          <w:szCs w:val="20"/>
          <w:color w:val="auto"/>
        </w:rPr>
      </w:pPr>
    </w:p>
    <w:p>
      <w:pPr>
        <w:jc w:val="both"/>
        <w:ind w:firstLine="1497"/>
        <w:spacing w:after="0" w:line="230" w:lineRule="exact"/>
        <w:rPr>
          <w:sz w:val="20"/>
          <w:szCs w:val="20"/>
          <w:color w:val="auto"/>
        </w:rPr>
      </w:pPr>
      <w:r>
        <w:rPr>
          <w:rFonts w:ascii="Times New Roman" w:cs="Times New Roman" w:eastAsia="Times New Roman" w:hAnsi="Times New Roman"/>
          <w:sz w:val="19"/>
          <w:szCs w:val="19"/>
          <w:color w:val="auto"/>
        </w:rPr>
        <w:t>The undersigned has furnished the Administrative Agent and the Borrower with a certificate of its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U.S. Person status on Internal Revenue Service Form W</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8BEN or W-8BEN-E, as applicable. By executing this certificate, the undersigned agrees that (1) if the information provided in this certificate changes, the undersigned shall promptly so inform the Borrower and the Administrative Agent in writing, and (2) the undersigned shall have at all times furnished the Borrower and the Administrative Agent with a properly completed and currently effective certificate of its non-U.S. Person status in either the calendar year in which each payment is to be made to the undersigned, or in either of the two calendar years preceding such payments.</w:t>
      </w:r>
    </w:p>
    <w:p>
      <w:pPr>
        <w:spacing w:after="0" w:line="192" w:lineRule="exact"/>
        <w:rPr>
          <w:sz w:val="20"/>
          <w:szCs w:val="20"/>
          <w:color w:val="auto"/>
        </w:rPr>
      </w:pPr>
    </w:p>
    <w:p>
      <w:pPr>
        <w:jc w:val="both"/>
        <w:ind w:right="20" w:firstLine="1497"/>
        <w:spacing w:after="0" w:line="265" w:lineRule="auto"/>
        <w:rPr>
          <w:sz w:val="20"/>
          <w:szCs w:val="20"/>
          <w:color w:val="auto"/>
        </w:rPr>
      </w:pPr>
      <w:r>
        <w:rPr>
          <w:rFonts w:ascii="Times New Roman" w:cs="Times New Roman" w:eastAsia="Times New Roman" w:hAnsi="Times New Roman"/>
          <w:sz w:val="19"/>
          <w:szCs w:val="19"/>
          <w:color w:val="auto"/>
        </w:rPr>
        <w:t>Unless otherwise defined herein, terms defined in the Term Loan Agreement and used herein shall have the meanings given to them in the Term Loan Agreement.</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OF LENDER]</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-10160</wp:posOffset>
            </wp:positionV>
            <wp:extent cx="120015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9"/>
          <w:szCs w:val="19"/>
          <w:color w:val="auto"/>
        </w:rPr>
        <w:t>Name:</w:t>
      </w:r>
    </w:p>
    <w:p>
      <w:pPr>
        <w:ind w:left="380"/>
        <w:spacing w:after="0"/>
        <w:rPr>
          <w:sz w:val="20"/>
          <w:szCs w:val="20"/>
          <w:color w:val="auto"/>
        </w:rPr>
      </w:pPr>
      <w:r>
        <w:rPr>
          <w:rFonts w:ascii="Times New Roman" w:cs="Times New Roman" w:eastAsia="Times New Roman" w:hAnsi="Times New Roman"/>
          <w:sz w:val="19"/>
          <w:szCs w:val="19"/>
          <w:color w:val="auto"/>
        </w:rPr>
        <w:t>Title:</w:t>
      </w:r>
    </w:p>
    <w:p>
      <w:pPr>
        <w:spacing w:after="0" w:line="194"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9"/>
          <w:szCs w:val="19"/>
          <w:color w:val="auto"/>
        </w:rPr>
        <w:t>Date:</w:t>
      </w:r>
      <w:r>
        <w:rPr>
          <w:sz w:val="20"/>
          <w:szCs w:val="20"/>
          <w:color w:val="auto"/>
        </w:rPr>
        <w:tab/>
      </w:r>
      <w:r>
        <w:rPr>
          <w:rFonts w:ascii="Times New Roman" w:cs="Times New Roman" w:eastAsia="Times New Roman" w:hAnsi="Times New Roman"/>
          <w:sz w:val="19"/>
          <w:szCs w:val="19"/>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-10160</wp:posOffset>
            </wp:positionV>
            <wp:extent cx="4800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9"/>
          <w:szCs w:val="19"/>
          <w:b w:val="1"/>
          <w:bCs w:val="1"/>
          <w:color w:val="auto"/>
        </w:rPr>
        <w:t>EXHIBIT G-2 to the</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TERM LOAN AGREEMENT</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FORM OF SECTION 2.12(g)</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TAX COMPLIANCE CERTIFICATION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2.12(g) U.S. TAX COMPLIANCE CERTIFICATE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 Foreign Participants That Are Not Partnerships For U.S. Federal Income Tax Purposes)</w:t>
      </w:r>
    </w:p>
    <w:p>
      <w:pPr>
        <w:spacing w:after="0" w:line="200" w:lineRule="exact"/>
        <w:rPr>
          <w:sz w:val="20"/>
          <w:szCs w:val="20"/>
          <w:color w:val="auto"/>
        </w:rPr>
      </w:pPr>
    </w:p>
    <w:p>
      <w:pPr>
        <w:spacing w:after="0" w:line="21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auto"/>
        </w:rPr>
        <w:t>Reference is hereby made to the Term Loan Agreement, dated as of June 25, 2026 (as amended, supplemented or otherwise modified from time to time, the “</w:t>
      </w:r>
      <w:r>
        <w:rPr>
          <w:rFonts w:ascii="Times New Roman" w:cs="Times New Roman" w:eastAsia="Times New Roman" w:hAnsi="Times New Roman"/>
          <w:sz w:val="19"/>
          <w:szCs w:val="19"/>
          <w:b w:val="1"/>
          <w:bCs w:val="1"/>
          <w:i w:val="1"/>
          <w:iCs w:val="1"/>
          <w:color w:val="auto"/>
        </w:rPr>
        <w:t>Term Loan Agreement</w:t>
      </w:r>
      <w:r>
        <w:rPr>
          <w:rFonts w:ascii="Times New Roman" w:cs="Times New Roman" w:eastAsia="Times New Roman" w:hAnsi="Times New Roman"/>
          <w:sz w:val="19"/>
          <w:szCs w:val="19"/>
          <w:color w:val="auto"/>
        </w:rPr>
        <w:t>”), among Easterly Government Properties LP, as Borrower, Easterly Government Properties, Inc., as Parent, the Subsidiary Guarantors party thereto, the Lenders party thereto, PNC Bank, National Association, as Administrative Agent for the Lenders, and the Arrangers party thereto.</w:t>
      </w:r>
    </w:p>
    <w:p>
      <w:pPr>
        <w:spacing w:after="0" w:line="184"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19"/>
          <w:szCs w:val="19"/>
          <w:color w:val="auto"/>
        </w:rPr>
        <w:t>Pursuant to the provisions of Section 2.12 of the Term Loan Agreement, the undersigned hereby certifies that (i) it is the sole record and beneficial owner of the participation in respect of which it is providing this certificate, (ii) it is not a bank within the meaning of Section 881(c)(3)(A) of the Internal Revenue Code, (iii) it is not a “10 percent shareholder” of any Loan Party within the meaning of Section 881(c)(3)(B) of the Internal Revenue Code, and (iv) it is not a “controlled foreign corporation” related to any Loan Party as described in Section 881(c)(3)(C) of the Internal Revenue Code.</w:t>
      </w:r>
    </w:p>
    <w:p>
      <w:pPr>
        <w:spacing w:after="0" w:line="156" w:lineRule="exact"/>
        <w:rPr>
          <w:sz w:val="20"/>
          <w:szCs w:val="20"/>
          <w:color w:val="auto"/>
        </w:rPr>
      </w:pPr>
    </w:p>
    <w:p>
      <w:pPr>
        <w:jc w:val="both"/>
        <w:ind w:firstLine="1497"/>
        <w:spacing w:after="0" w:line="233" w:lineRule="exact"/>
        <w:rPr>
          <w:sz w:val="20"/>
          <w:szCs w:val="20"/>
          <w:color w:val="auto"/>
        </w:rPr>
      </w:pPr>
      <w:r>
        <w:rPr>
          <w:rFonts w:ascii="Times New Roman" w:cs="Times New Roman" w:eastAsia="Times New Roman" w:hAnsi="Times New Roman"/>
          <w:sz w:val="19"/>
          <w:szCs w:val="19"/>
          <w:color w:val="auto"/>
        </w:rPr>
        <w:t>The undersigned has furnished its participating Lender with a certificate of its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U.S. Person status on Internal Revenue Service Form W</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8BEN or W-8BEN-E, as applicable. By executing this certificate, the undersigned agrees that (1) if the information provided in this certificate changes, the undersigned shall promptly so inform such Lender in writing, and (2) the undersigned shall have at all times furnished such Lender with a properly completed and currently effective certificate of its non-U.S. Person status in either the calendar year in which each payment is to be made to the undersigned, or in either of the two calendar years preceding such payments.</w:t>
      </w:r>
    </w:p>
    <w:p>
      <w:pPr>
        <w:spacing w:after="0" w:line="192" w:lineRule="exact"/>
        <w:rPr>
          <w:sz w:val="20"/>
          <w:szCs w:val="20"/>
          <w:color w:val="auto"/>
        </w:rPr>
      </w:pPr>
    </w:p>
    <w:p>
      <w:pPr>
        <w:jc w:val="both"/>
        <w:ind w:right="20" w:firstLine="1497"/>
        <w:spacing w:after="0" w:line="265" w:lineRule="auto"/>
        <w:rPr>
          <w:sz w:val="20"/>
          <w:szCs w:val="20"/>
          <w:color w:val="auto"/>
        </w:rPr>
      </w:pPr>
      <w:r>
        <w:rPr>
          <w:rFonts w:ascii="Times New Roman" w:cs="Times New Roman" w:eastAsia="Times New Roman" w:hAnsi="Times New Roman"/>
          <w:sz w:val="19"/>
          <w:szCs w:val="19"/>
          <w:color w:val="auto"/>
        </w:rPr>
        <w:t>Unless otherwise defined herein, terms defined in the Term Loan Agreement and used herein shall have the meanings given to them in the Term Loan Agreement.</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OF PARTICIPANT]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-10160</wp:posOffset>
            </wp:positionV>
            <wp:extent cx="120015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9"/>
          <w:szCs w:val="19"/>
          <w:color w:val="auto"/>
        </w:rPr>
        <w:t>Name:</w:t>
      </w:r>
    </w:p>
    <w:p>
      <w:pPr>
        <w:ind w:left="380"/>
        <w:spacing w:after="0"/>
        <w:rPr>
          <w:sz w:val="20"/>
          <w:szCs w:val="20"/>
          <w:color w:val="auto"/>
        </w:rPr>
      </w:pPr>
      <w:r>
        <w:rPr>
          <w:rFonts w:ascii="Times New Roman" w:cs="Times New Roman" w:eastAsia="Times New Roman" w:hAnsi="Times New Roman"/>
          <w:sz w:val="19"/>
          <w:szCs w:val="19"/>
          <w:color w:val="auto"/>
        </w:rPr>
        <w:t>Title:</w:t>
      </w:r>
    </w:p>
    <w:p>
      <w:pPr>
        <w:spacing w:after="0" w:line="194"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9"/>
          <w:szCs w:val="19"/>
          <w:color w:val="auto"/>
        </w:rPr>
        <w:t>Date:</w:t>
      </w:r>
      <w:r>
        <w:rPr>
          <w:sz w:val="20"/>
          <w:szCs w:val="20"/>
          <w:color w:val="auto"/>
        </w:rPr>
        <w:tab/>
      </w:r>
      <w:r>
        <w:rPr>
          <w:rFonts w:ascii="Times New Roman" w:cs="Times New Roman" w:eastAsia="Times New Roman" w:hAnsi="Times New Roman"/>
          <w:sz w:val="19"/>
          <w:szCs w:val="19"/>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-10160</wp:posOffset>
            </wp:positionV>
            <wp:extent cx="4800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9"/>
          <w:szCs w:val="19"/>
          <w:b w:val="1"/>
          <w:bCs w:val="1"/>
          <w:color w:val="auto"/>
        </w:rPr>
        <w:t>EXHIBIT G-3 to the</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TERM LOAN AGREEMENT</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FORM OF SECTION 2.12(g)</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TAX COMPLIANCE CERTIFICATION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2.12(g) U.S. TAX COMPLIANCE CERTIFICATE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 Foreign Participants That Are Partnerships For U.S. Federal Income Tax Purposes)</w:t>
      </w:r>
    </w:p>
    <w:p>
      <w:pPr>
        <w:spacing w:after="0" w:line="200" w:lineRule="exact"/>
        <w:rPr>
          <w:sz w:val="20"/>
          <w:szCs w:val="20"/>
          <w:color w:val="auto"/>
        </w:rPr>
      </w:pPr>
    </w:p>
    <w:p>
      <w:pPr>
        <w:spacing w:after="0" w:line="21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auto"/>
        </w:rPr>
        <w:t>Reference is hereby made to the Term Loan Agreement, dated as of June 25, 2026 (as amended, supplemented or otherwise modified from time to time, the “</w:t>
      </w:r>
      <w:r>
        <w:rPr>
          <w:rFonts w:ascii="Times New Roman" w:cs="Times New Roman" w:eastAsia="Times New Roman" w:hAnsi="Times New Roman"/>
          <w:sz w:val="19"/>
          <w:szCs w:val="19"/>
          <w:b w:val="1"/>
          <w:bCs w:val="1"/>
          <w:i w:val="1"/>
          <w:iCs w:val="1"/>
          <w:color w:val="auto"/>
        </w:rPr>
        <w:t>Term Loan Agreement</w:t>
      </w:r>
      <w:r>
        <w:rPr>
          <w:rFonts w:ascii="Times New Roman" w:cs="Times New Roman" w:eastAsia="Times New Roman" w:hAnsi="Times New Roman"/>
          <w:sz w:val="19"/>
          <w:szCs w:val="19"/>
          <w:color w:val="auto"/>
        </w:rPr>
        <w:t>”), among Easterly Government Properties LP, as Borrower, Easterly Government Properties, Inc., as Parent, the Subsidiary Guarantors party thereto, the Lenders party thereto, PNC Bank, National Association, as Administrative Agent for the Lenders, and the Arrangers party thereto.</w:t>
      </w:r>
    </w:p>
    <w:p>
      <w:pPr>
        <w:spacing w:after="0" w:line="184"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auto"/>
        </w:rPr>
        <w:t>Pursuant to the provisions of Section 2.12 of the Term Loan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w:t>
      </w:r>
    </w:p>
    <w:p>
      <w:pPr>
        <w:spacing w:after="0" w:line="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(3)(A) of the Internal Revenue Code, (iv) none of its direct or indirect partners/members is a “10 percent shareholder” of any Loan Party within the meaning of Section 881(c)(3)(B) of the Internal Revenue Code, and (v) none of its direct or indirect partners/members is a “controlled foreign corporation” related to any Loan Party as described in Section 881(c)(3)(C) of the Internal Revenue Code.</w:t>
      </w:r>
    </w:p>
    <w:p>
      <w:pPr>
        <w:spacing w:after="0" w:line="189"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19"/>
          <w:szCs w:val="19"/>
          <w:color w:val="auto"/>
        </w:rPr>
        <w:t>The undersigned has furnished its participating Lender with Internal Revenue Service Form W-8IMY accompanied by one of the following forms from each its partners/members that is claiming the portfolio interest exemption: (i) an Internal Revenue Service Form W-8BEN or W-8BEN-E, as applicable, or (ii) an Internal Revenue Service Form W-8IMY accompanied by an Internal Revenue Service Form W-8BEN or W-8BEN-E, as applicable, from each of such partner’s/member’s beneficial owners that is claiming the portfolio interest exemption. By executing this certificate, the undersigned agrees that (1) if the information provided in this certificate changes, the undersigned shall promptly so inform such Lender in writing, and (2) the undersigned shall have at all times furnished such Lender with a properly completed and currently effective set of certificates of non-U.S. Person status in either the calendar year in which each payment is to be made to the undersigned, or in either of the two calendar years preceding such payments.</w:t>
      </w:r>
    </w:p>
    <w:p>
      <w:pPr>
        <w:spacing w:after="0" w:line="189" w:lineRule="exact"/>
        <w:rPr>
          <w:sz w:val="20"/>
          <w:szCs w:val="20"/>
          <w:color w:val="auto"/>
        </w:rPr>
      </w:pPr>
    </w:p>
    <w:p>
      <w:pPr>
        <w:jc w:val="both"/>
        <w:ind w:right="20" w:firstLine="1497"/>
        <w:spacing w:after="0" w:line="265" w:lineRule="auto"/>
        <w:rPr>
          <w:sz w:val="20"/>
          <w:szCs w:val="20"/>
          <w:color w:val="auto"/>
        </w:rPr>
      </w:pPr>
      <w:r>
        <w:rPr>
          <w:rFonts w:ascii="Times New Roman" w:cs="Times New Roman" w:eastAsia="Times New Roman" w:hAnsi="Times New Roman"/>
          <w:sz w:val="19"/>
          <w:szCs w:val="19"/>
          <w:color w:val="auto"/>
        </w:rPr>
        <w:t>Unless otherwise defined herein, terms defined in the Term Loan Agreement and used herein shall have the meanings given to them in the Term Loan Agreement.</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OF PARTICIPANT]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-10160</wp:posOffset>
            </wp:positionV>
            <wp:extent cx="120015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9"/>
          <w:szCs w:val="19"/>
          <w:color w:val="auto"/>
        </w:rPr>
        <w:t>Name:</w:t>
      </w:r>
    </w:p>
    <w:p>
      <w:pPr>
        <w:ind w:left="380"/>
        <w:spacing w:after="0"/>
        <w:rPr>
          <w:sz w:val="20"/>
          <w:szCs w:val="20"/>
          <w:color w:val="auto"/>
        </w:rPr>
      </w:pPr>
      <w:r>
        <w:rPr>
          <w:rFonts w:ascii="Times New Roman" w:cs="Times New Roman" w:eastAsia="Times New Roman" w:hAnsi="Times New Roman"/>
          <w:sz w:val="19"/>
          <w:szCs w:val="19"/>
          <w:color w:val="auto"/>
        </w:rPr>
        <w:t>Title:</w:t>
      </w:r>
    </w:p>
    <w:p>
      <w:pPr>
        <w:spacing w:after="0" w:line="194"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9"/>
          <w:szCs w:val="19"/>
          <w:color w:val="auto"/>
        </w:rPr>
        <w:t>Date:</w:t>
      </w:r>
      <w:r>
        <w:rPr>
          <w:sz w:val="20"/>
          <w:szCs w:val="20"/>
          <w:color w:val="auto"/>
        </w:rPr>
        <w:tab/>
      </w:r>
      <w:r>
        <w:rPr>
          <w:rFonts w:ascii="Times New Roman" w:cs="Times New Roman" w:eastAsia="Times New Roman" w:hAnsi="Times New Roman"/>
          <w:sz w:val="19"/>
          <w:szCs w:val="19"/>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1031240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-10160</wp:posOffset>
            </wp:positionV>
            <wp:extent cx="4800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9"/>
          <w:szCs w:val="19"/>
          <w:b w:val="1"/>
          <w:bCs w:val="1"/>
          <w:color w:val="auto"/>
        </w:rPr>
        <w:t>EXHIBIT G-4 to the</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TERM LOAN AGREEMENT</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FORM OF SECTION 2.12(g)</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TAX COMPLIANCE CERTIFICATION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2.12(g) U.S. TAX COMPLIANCE CERTIFICATE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 Foreign Lenders That Are Partnerships For U.S. Federal Income Tax Purposes)</w:t>
      </w:r>
    </w:p>
    <w:p>
      <w:pPr>
        <w:spacing w:after="0" w:line="19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auto"/>
        </w:rPr>
        <w:t>Reference is hereby made to the Term Loan Agreement, dated as of June 25, 2026, (as amended, supplemented or otherwise modified from time to time, the “</w:t>
      </w:r>
      <w:r>
        <w:rPr>
          <w:rFonts w:ascii="Times New Roman" w:cs="Times New Roman" w:eastAsia="Times New Roman" w:hAnsi="Times New Roman"/>
          <w:sz w:val="19"/>
          <w:szCs w:val="19"/>
          <w:b w:val="1"/>
          <w:bCs w:val="1"/>
          <w:i w:val="1"/>
          <w:iCs w:val="1"/>
          <w:color w:val="auto"/>
        </w:rPr>
        <w:t>Term Loan Agreement</w:t>
      </w:r>
      <w:r>
        <w:rPr>
          <w:rFonts w:ascii="Times New Roman" w:cs="Times New Roman" w:eastAsia="Times New Roman" w:hAnsi="Times New Roman"/>
          <w:sz w:val="19"/>
          <w:szCs w:val="19"/>
          <w:color w:val="auto"/>
        </w:rPr>
        <w:t>”), among Easterly Government Properties LP, as Borrower, Easterly Government Properties, Inc., as Parent, the Subsidiary Guarantors party thereto, the Lenders party thereto, PNC Bank, National Association, as Administrative Agent for the Lenders, and the Arrangers party thereto.</w:t>
      </w:r>
    </w:p>
    <w:p>
      <w:pPr>
        <w:spacing w:after="0" w:line="184"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9"/>
          <w:szCs w:val="19"/>
          <w:color w:val="auto"/>
        </w:rPr>
        <w:t>Pursuant to the provisions of Section 2.12 of the Term Loan Agreement, the undersigned hereby certifies that (i) it is the sole record and beneficial owner of the Advance(s) (as well as any Note(s) evidencing such Advance(s)) in respect of which it is providing this certificate, (ii) its direct or indirect partners/members are the sole beneficial owners of such Advance(s) (as well as any Note(s) evidencing such Advance(s)); (iii) with respect to the extension of credit pursuant to this Term Loan Agreement or any other Loan Document, neither the undersigned nor any of its direct or indirect partners/members is a bank extending credit pursuant to a loan agreement entered into in the ordinary course of its trade or business within the meaning of Section 881(c)(3)(A) of the Internal Revenue Code, (iv) none of its direct or indirect partners/members is a “10 percent shareholder” of any Loan Party within the meaning of Section 881(c)(3)(B) of the Internal Revenue Code, and</w:t>
      </w:r>
    </w:p>
    <w:p>
      <w:pPr>
        <w:ind w:left="280" w:hanging="272"/>
        <w:spacing w:after="0"/>
        <w:tabs>
          <w:tab w:leader="none" w:pos="280"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its direct or indirect partners/members is a “controlled foreign corporation” related to any Loan Party as described in Section 881(c)(3)</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 of the Internal Revenue Code.</w:t>
      </w:r>
    </w:p>
    <w:p>
      <w:pPr>
        <w:spacing w:after="0" w:line="194"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19"/>
          <w:szCs w:val="19"/>
          <w:color w:val="auto"/>
        </w:rPr>
        <w:t>The undersigned has furnished the Administrative Agent and the Borrower with Internal Revenue Service Form W-8IMY accompanied by one of the following forms from each its partners/members that is claiming the portfolio interest exemption: (i) an Internal Revenue Service Form W-8BEN or W-8BEN-E, as applicable, or (ii) an Internal Revenue Service Form W-8IMY accompanied by an Internal Revenue Service Form W-8BEN or W-8BEN-E, as applicable, from each of such partner’s/member’s beneficial owners that is claiming the portfolio interest exemption. By executing this certificate, the undersigned agrees that (1) if the information provided in this certificate changes, the undersigned shall promptly so inform the Borrower and the Administrative Agent in writing, and (2) the undersigned shall have at all times furnished the Borrower and the Administrative Agent with a properly completed and currently effective set of certificates of non-U.S. Person status in either the calendar year in which each payment is to be made to the undersigned, or in either of the two calendar years preceding such payments.</w:t>
      </w:r>
    </w:p>
    <w:p>
      <w:pPr>
        <w:spacing w:after="0" w:line="189" w:lineRule="exact"/>
        <w:rPr>
          <w:sz w:val="20"/>
          <w:szCs w:val="20"/>
          <w:color w:val="auto"/>
        </w:rPr>
      </w:pPr>
    </w:p>
    <w:p>
      <w:pPr>
        <w:jc w:val="both"/>
        <w:ind w:right="20" w:firstLine="1497"/>
        <w:spacing w:after="0" w:line="265" w:lineRule="auto"/>
        <w:rPr>
          <w:sz w:val="20"/>
          <w:szCs w:val="20"/>
          <w:color w:val="auto"/>
        </w:rPr>
      </w:pPr>
      <w:r>
        <w:rPr>
          <w:rFonts w:ascii="Times New Roman" w:cs="Times New Roman" w:eastAsia="Times New Roman" w:hAnsi="Times New Roman"/>
          <w:sz w:val="19"/>
          <w:szCs w:val="19"/>
          <w:color w:val="auto"/>
        </w:rPr>
        <w:t>Unless otherwise defined herein, terms defined in the Term Loan Agreement and used herein shall have the meanings given to them in the Term Loan Agreement.</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OF LENDER]</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-10160</wp:posOffset>
            </wp:positionV>
            <wp:extent cx="120015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9"/>
          <w:szCs w:val="19"/>
          <w:color w:val="auto"/>
        </w:rPr>
        <w:t>Name:</w:t>
      </w:r>
    </w:p>
    <w:p>
      <w:pPr>
        <w:ind w:left="380"/>
        <w:spacing w:after="0"/>
        <w:rPr>
          <w:sz w:val="20"/>
          <w:szCs w:val="20"/>
          <w:color w:val="auto"/>
        </w:rPr>
      </w:pPr>
      <w:r>
        <w:rPr>
          <w:rFonts w:ascii="Times New Roman" w:cs="Times New Roman" w:eastAsia="Times New Roman" w:hAnsi="Times New Roman"/>
          <w:sz w:val="19"/>
          <w:szCs w:val="19"/>
          <w:color w:val="auto"/>
        </w:rPr>
        <w:t>Title:</w:t>
      </w:r>
    </w:p>
    <w:p>
      <w:pPr>
        <w:spacing w:after="0" w:line="194"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9"/>
          <w:szCs w:val="19"/>
          <w:color w:val="auto"/>
        </w:rPr>
        <w:t>Date:</w:t>
      </w:r>
      <w:r>
        <w:rPr>
          <w:sz w:val="20"/>
          <w:szCs w:val="20"/>
          <w:color w:val="auto"/>
        </w:rPr>
        <w:tab/>
      </w:r>
      <w:r>
        <w:rPr>
          <w:rFonts w:ascii="Times New Roman" w:cs="Times New Roman" w:eastAsia="Times New Roman" w:hAnsi="Times New Roman"/>
          <w:sz w:val="19"/>
          <w:szCs w:val="19"/>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1031240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-10160</wp:posOffset>
            </wp:positionV>
            <wp:extent cx="4800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9"/>
          <w:szCs w:val="19"/>
          <w:b w:val="1"/>
          <w:bCs w:val="1"/>
          <w:color w:val="auto"/>
        </w:rPr>
        <w:t>Exhibit 10.2</w:t>
      </w: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u w:val="single" w:color="auto"/>
          <w:color w:val="auto"/>
        </w:rPr>
        <w:t>ELEVENTH AMENDMENT TO TERM LOAN AGREEMENT</w:t>
      </w:r>
    </w:p>
    <w:p>
      <w:pPr>
        <w:spacing w:after="0" w:line="218"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9"/>
          <w:szCs w:val="19"/>
          <w:color w:val="auto"/>
        </w:rPr>
        <w:t>This ELEVENTH AMENDMENT TO TERM LOAN AGREEMENT (this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is entered into as of the 25th day of June, 2026, among EASTERLY GOVERNMENT PROPERTIES LP, a Delaware limited partnership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EASTERLY GOVERNMENT PROPERTIES, INC., a Maryland corporation (the “</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the entities listed on the signature pages hereto as the subsidiary guarantors from time to time (the “</w:t>
      </w:r>
      <w:r>
        <w:rPr>
          <w:rFonts w:ascii="Times New Roman" w:cs="Times New Roman" w:eastAsia="Times New Roman" w:hAnsi="Times New Roman"/>
          <w:sz w:val="19"/>
          <w:szCs w:val="19"/>
          <w:u w:val="single" w:color="auto"/>
          <w:color w:val="auto"/>
        </w:rPr>
        <w:t>Subsidiary Guarantors</w:t>
      </w:r>
      <w:r>
        <w:rPr>
          <w:rFonts w:ascii="Times New Roman" w:cs="Times New Roman" w:eastAsia="Times New Roman" w:hAnsi="Times New Roman"/>
          <w:sz w:val="19"/>
          <w:szCs w:val="19"/>
          <w:color w:val="auto"/>
        </w:rPr>
        <w:t>” and, together with the Parent, the “</w:t>
      </w:r>
      <w:r>
        <w:rPr>
          <w:rFonts w:ascii="Times New Roman" w:cs="Times New Roman" w:eastAsia="Times New Roman" w:hAnsi="Times New Roman"/>
          <w:sz w:val="19"/>
          <w:szCs w:val="19"/>
          <w:u w:val="single" w:color="auto"/>
          <w:color w:val="auto"/>
        </w:rPr>
        <w:t>Guarantors</w:t>
      </w:r>
      <w:r>
        <w:rPr>
          <w:rFonts w:ascii="Times New Roman" w:cs="Times New Roman" w:eastAsia="Times New Roman" w:hAnsi="Times New Roman"/>
          <w:sz w:val="19"/>
          <w:szCs w:val="19"/>
          <w:color w:val="auto"/>
        </w:rPr>
        <w:t>”), the banks, financial institutions and other institutional lenders listed on the signature pages hereof as the lenders (each a “</w:t>
      </w:r>
      <w:r>
        <w:rPr>
          <w:rFonts w:ascii="Times New Roman" w:cs="Times New Roman" w:eastAsia="Times New Roman" w:hAnsi="Times New Roman"/>
          <w:sz w:val="19"/>
          <w:szCs w:val="19"/>
          <w:u w:val="single" w:color="auto"/>
          <w:color w:val="auto"/>
        </w:rPr>
        <w:t>Lender</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and PNC BANK, NATIONAL ASSOCIATION, as administrative agent (the “</w:t>
      </w:r>
      <w:r>
        <w:rPr>
          <w:rFonts w:ascii="Times New Roman" w:cs="Times New Roman" w:eastAsia="Times New Roman" w:hAnsi="Times New Roman"/>
          <w:sz w:val="19"/>
          <w:szCs w:val="19"/>
          <w:u w:val="single" w:color="auto"/>
          <w:color w:val="auto"/>
        </w:rPr>
        <w:t>Administrative Agent</w:t>
      </w:r>
      <w:r>
        <w:rPr>
          <w:rFonts w:ascii="Times New Roman" w:cs="Times New Roman" w:eastAsia="Times New Roman" w:hAnsi="Times New Roman"/>
          <w:sz w:val="19"/>
          <w:szCs w:val="19"/>
          <w:color w:val="auto"/>
        </w:rPr>
        <w:t>”) for the Lenders.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Recitals</w:t>
      </w:r>
    </w:p>
    <w:p>
      <w:pPr>
        <w:spacing w:after="0" w:line="21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Borrower, the Administrative Agent and the Lenders have entered into a certain Term Loan Agreement dated as of September 29, 2016 (as amended by that certain First Letter Amendment dated as of October 28, 2016, that certain Second Amendment to Term Loan Agreement dated as of June 18, 2018, that certain Third Letter Amendment dated as of October 3, 2018, that certain Fourth Amendment to Term Loan Agreement dated as of July 23, 2021, that certain Fifth Amendment to Term Loan Agreement dated as of November 29, 2022, that certain Sixth Amendment to Term Loan Agreement dated as of May 30, 2023, that certain Seventh Amendment to Term Loan Agreement dated as of January 23, 2024, that certain Eighth Amendment to Term Loan Agreement dated as of July 15, 2024, that certain Ninth Amendment to Term Loan Agreement dated as of January 8, 2025 and that certain Tenth Amendment to Term Loan Agreement dated as of as of September 30, 2025, the “</w:t>
      </w:r>
      <w:r>
        <w:rPr>
          <w:rFonts w:ascii="Times New Roman" w:cs="Times New Roman" w:eastAsia="Times New Roman" w:hAnsi="Times New Roman"/>
          <w:sz w:val="18"/>
          <w:szCs w:val="18"/>
          <w:u w:val="single" w:color="auto"/>
          <w:color w:val="auto"/>
        </w:rPr>
        <w:t>Existing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Existing Loan Agreement as amended by this Amendment,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Capitalized terms used herein and not otherwise defined herein shall have the meanings ascribed thereto in the Loan Agreement. The Borrower has requested that the Administrative Agent and the Lenders make amendments to certain provisions of the Existing Loan Agreement and the Administrative Agent and the Lenders are willing to make such amendments to the Existing Loan Agreement in accordance with and subject to the terms and conditions set forth herein.</w:t>
      </w:r>
    </w:p>
    <w:p>
      <w:pPr>
        <w:spacing w:after="0" w:line="182"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9"/>
          <w:szCs w:val="19"/>
          <w:color w:val="auto"/>
        </w:rPr>
        <w:t>NOW, THEREFORE, in consideration of the agreements hereinafter set forth, and for other good and valuable consideration, the receipt and adequacy of which are hereby acknowledged, the parties hereto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AMENDMENTS</w:t>
      </w:r>
    </w:p>
    <w:p>
      <w:pPr>
        <w:spacing w:after="0" w:line="190"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1.1 </w:t>
      </w:r>
      <w:r>
        <w:rPr>
          <w:rFonts w:ascii="Times New Roman" w:cs="Times New Roman" w:eastAsia="Times New Roman" w:hAnsi="Times New Roman"/>
          <w:sz w:val="19"/>
          <w:szCs w:val="19"/>
          <w:b w:val="1"/>
          <w:bCs w:val="1"/>
          <w:u w:val="single" w:color="auto"/>
          <w:color w:val="auto"/>
        </w:rPr>
        <w:t>Amendments to Loan Agreement</w:t>
      </w:r>
      <w:r>
        <w:rPr>
          <w:rFonts w:ascii="Times New Roman" w:cs="Times New Roman" w:eastAsia="Times New Roman" w:hAnsi="Times New Roman"/>
          <w:sz w:val="19"/>
          <w:szCs w:val="19"/>
          <w:color w:val="auto"/>
        </w:rPr>
        <w:t>. The Existing Loan Agreement (other than the schedules and exhibits attached thereto) is hereby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amended to delete the stricken text (indicated textually in the same manner as the following example: </w:t>
      </w:r>
      <w:r>
        <w:rPr>
          <w:rFonts w:ascii="Times New Roman" w:cs="Times New Roman" w:eastAsia="Times New Roman" w:hAnsi="Times New Roman"/>
          <w:sz w:val="19"/>
          <w:szCs w:val="19"/>
          <w:b w:val="1"/>
          <w:bCs w:val="1"/>
          <w:color w:val="FF0000"/>
          <w:strike w:val="1"/>
        </w:rPr>
        <w:t>stricken text</w:t>
      </w:r>
      <w:r>
        <w:rPr>
          <w:rFonts w:ascii="Times New Roman" w:cs="Times New Roman" w:eastAsia="Times New Roman" w:hAnsi="Times New Roman"/>
          <w:sz w:val="19"/>
          <w:szCs w:val="19"/>
          <w:color w:val="auto"/>
        </w:rPr>
        <w:t xml:space="preserve">) and to add the underlined text (indicated textually in the same manner as the following example: </w:t>
      </w:r>
      <w:r>
        <w:rPr>
          <w:rFonts w:ascii="Times New Roman" w:cs="Times New Roman" w:eastAsia="Times New Roman" w:hAnsi="Times New Roman"/>
          <w:sz w:val="19"/>
          <w:szCs w:val="19"/>
          <w:b w:val="1"/>
          <w:bCs w:val="1"/>
          <w:u w:val="single" w:color="auto"/>
          <w:color w:val="0000FF"/>
        </w:rPr>
        <w:t>underlined text</w:t>
      </w:r>
      <w:r>
        <w:rPr>
          <w:rFonts w:ascii="Times New Roman" w:cs="Times New Roman" w:eastAsia="Times New Roman" w:hAnsi="Times New Roman"/>
          <w:sz w:val="19"/>
          <w:szCs w:val="19"/>
          <w:color w:val="auto"/>
        </w:rPr>
        <w:t xml:space="preserve">) as set forth on </w:t>
      </w:r>
      <w:r>
        <w:rPr>
          <w:rFonts w:ascii="Times New Roman" w:cs="Times New Roman" w:eastAsia="Times New Roman" w:hAnsi="Times New Roman"/>
          <w:sz w:val="19"/>
          <w:szCs w:val="19"/>
          <w:u w:val="single" w:color="auto"/>
          <w:color w:val="auto"/>
        </w:rPr>
        <w:t>Annex A</w:t>
      </w:r>
      <w:r>
        <w:rPr>
          <w:rFonts w:ascii="Times New Roman" w:cs="Times New Roman" w:eastAsia="Times New Roman" w:hAnsi="Times New Roman"/>
          <w:sz w:val="19"/>
          <w:szCs w:val="19"/>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CONDITIONS TO EFFECTIVENESS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b w:val="1"/>
          <w:bCs w:val="1"/>
          <w:color w:val="auto"/>
        </w:rPr>
        <w:t>2.1.</w:t>
      </w:r>
      <w:r>
        <w:rPr>
          <w:rFonts w:ascii="Times New Roman" w:cs="Times New Roman" w:eastAsia="Times New Roman" w:hAnsi="Times New Roman"/>
          <w:sz w:val="19"/>
          <w:szCs w:val="19"/>
          <w:b w:val="1"/>
          <w:bCs w:val="1"/>
          <w:u w:val="single" w:color="auto"/>
          <w:color w:val="auto"/>
        </w:rPr>
        <w:t>Closing Conditions</w:t>
      </w:r>
      <w:r>
        <w:rPr>
          <w:rFonts w:ascii="Times New Roman" w:cs="Times New Roman" w:eastAsia="Times New Roman" w:hAnsi="Times New Roman"/>
          <w:sz w:val="19"/>
          <w:szCs w:val="19"/>
          <w:color w:val="auto"/>
        </w:rPr>
        <w:t>.</w:t>
      </w:r>
    </w:p>
    <w:p>
      <w:pPr>
        <w:spacing w:after="0" w:line="218" w:lineRule="exact"/>
        <w:rPr>
          <w:sz w:val="20"/>
          <w:szCs w:val="20"/>
          <w:color w:val="auto"/>
        </w:rPr>
      </w:pPr>
    </w:p>
    <w:p>
      <w:pPr>
        <w:ind w:firstLine="1505"/>
        <w:spacing w:after="0" w:line="265" w:lineRule="auto"/>
        <w:tabs>
          <w:tab w:leader="none" w:pos="2036"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Amendment shall become effective on the first date on which, and only if, each of the following conditions precedent shall have been satisfied (such date, the “</w:t>
      </w:r>
      <w:r>
        <w:rPr>
          <w:rFonts w:ascii="Times New Roman" w:cs="Times New Roman" w:eastAsia="Times New Roman" w:hAnsi="Times New Roman"/>
          <w:sz w:val="19"/>
          <w:szCs w:val="19"/>
          <w:u w:val="single" w:color="auto"/>
          <w:color w:val="auto"/>
        </w:rPr>
        <w:t>Amendment Effective Date</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ACTIVE/208239080.1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68" w:name="page169"/>
    <w:bookmarkEnd w:id="168"/>
    <w:p>
      <w:pPr>
        <w:spacing w:after="0" w:line="186" w:lineRule="exact"/>
        <w:rPr>
          <w:sz w:val="20"/>
          <w:szCs w:val="20"/>
          <w:color w:val="auto"/>
        </w:rPr>
      </w:pPr>
    </w:p>
    <w:p>
      <w:pPr>
        <w:ind w:left="2560" w:hanging="306"/>
        <w:spacing w:after="0"/>
        <w:tabs>
          <w:tab w:leader="none" w:pos="256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counterparts of this Amendment executed by the Borrower and the</w:t>
      </w:r>
    </w:p>
    <w:p>
      <w:pPr>
        <w:spacing w:after="0" w:line="17" w:lineRule="exact"/>
        <w:rPr>
          <w:rFonts w:ascii="Times New Roman" w:cs="Times New Roman" w:eastAsia="Times New Roman" w:hAnsi="Times New Roman"/>
          <w:sz w:val="19"/>
          <w:szCs w:val="19"/>
          <w:color w:val="auto"/>
        </w:rPr>
      </w:pPr>
    </w:p>
    <w:p>
      <w:pPr>
        <w:ind w:left="15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Guarantors;</w:t>
      </w:r>
    </w:p>
    <w:p>
      <w:pPr>
        <w:spacing w:after="0" w:line="193" w:lineRule="exact"/>
        <w:rPr>
          <w:rFonts w:ascii="Times New Roman" w:cs="Times New Roman" w:eastAsia="Times New Roman" w:hAnsi="Times New Roman"/>
          <w:sz w:val="19"/>
          <w:szCs w:val="19"/>
          <w:color w:val="auto"/>
        </w:rPr>
      </w:pPr>
    </w:p>
    <w:p>
      <w:pPr>
        <w:ind w:left="2560" w:hanging="306"/>
        <w:spacing w:after="0"/>
        <w:tabs>
          <w:tab w:leader="none" w:pos="25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counterparts of this Amendment executed by all of the Lenders; and</w:t>
      </w:r>
    </w:p>
    <w:p>
      <w:pPr>
        <w:spacing w:after="0" w:line="225" w:lineRule="exact"/>
        <w:rPr>
          <w:sz w:val="20"/>
          <w:szCs w:val="20"/>
          <w:color w:val="auto"/>
        </w:rPr>
      </w:pPr>
    </w:p>
    <w:p>
      <w:pPr>
        <w:ind w:left="1500" w:right="20" w:firstLine="749"/>
        <w:spacing w:after="0" w:line="265" w:lineRule="auto"/>
        <w:rPr>
          <w:sz w:val="20"/>
          <w:szCs w:val="20"/>
          <w:color w:val="auto"/>
        </w:rPr>
      </w:pPr>
      <w:r>
        <w:rPr>
          <w:rFonts w:ascii="Times New Roman" w:cs="Times New Roman" w:eastAsia="Times New Roman" w:hAnsi="Times New Roman"/>
          <w:sz w:val="19"/>
          <w:szCs w:val="19"/>
          <w:color w:val="auto"/>
        </w:rPr>
        <w:t>(iii)All of the fees and expenses of the Administrative Agent (including the reasonable fees and expenses of counsel for the Administrative Agent) due and payable on the Amendment Effective Date shall have been paid in full.</w:t>
      </w:r>
    </w:p>
    <w:p>
      <w:pPr>
        <w:spacing w:after="0" w:line="166" w:lineRule="exact"/>
        <w:rPr>
          <w:sz w:val="20"/>
          <w:szCs w:val="20"/>
          <w:color w:val="auto"/>
        </w:rPr>
      </w:pPr>
    </w:p>
    <w:p>
      <w:pPr>
        <w:ind w:left="2040" w:hanging="535"/>
        <w:spacing w:after="0"/>
        <w:tabs>
          <w:tab w:leader="none" w:pos="204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effectiveness of this Amendment is further conditioned upon the accuracy of the factual matters described herein.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MISCELLANEOUS</w:t>
      </w:r>
    </w:p>
    <w:p>
      <w:pPr>
        <w:spacing w:after="0" w:line="190"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19"/>
          <w:szCs w:val="19"/>
          <w:b w:val="1"/>
          <w:bCs w:val="1"/>
          <w:color w:val="auto"/>
        </w:rPr>
        <w:t>3.1.</w:t>
      </w:r>
      <w:r>
        <w:rPr>
          <w:rFonts w:ascii="Times New Roman" w:cs="Times New Roman" w:eastAsia="Times New Roman" w:hAnsi="Times New Roman"/>
          <w:sz w:val="19"/>
          <w:szCs w:val="19"/>
          <w:b w:val="1"/>
          <w:bCs w:val="1"/>
          <w:u w:val="single" w:color="auto"/>
          <w:color w:val="auto"/>
        </w:rPr>
        <w:t>Amended Terms</w:t>
      </w:r>
      <w:r>
        <w:rPr>
          <w:rFonts w:ascii="Times New Roman" w:cs="Times New Roman" w:eastAsia="Times New Roman" w:hAnsi="Times New Roman"/>
          <w:sz w:val="19"/>
          <w:szCs w:val="19"/>
          <w:color w:val="auto"/>
        </w:rPr>
        <w:t>. On and after the Amendment Effective Date, all references to the Loan Agreement in each of the Loan Documents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hereafter mean the Loan Agreement as amended and modified by this Amendment. Except as specifically amended and modified hereby, the Loan Agreement and each of the other Loan Documents are hereby ratified and confirmed by the Loan Parties and shall remain in full force and effect according to their respective terms.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b w:val="1"/>
          <w:bCs w:val="1"/>
          <w:color w:val="auto"/>
        </w:rPr>
        <w:t>3.2.</w:t>
      </w:r>
      <w:r>
        <w:rPr>
          <w:rFonts w:ascii="Times New Roman" w:cs="Times New Roman" w:eastAsia="Times New Roman" w:hAnsi="Times New Roman"/>
          <w:sz w:val="19"/>
          <w:szCs w:val="19"/>
          <w:b w:val="1"/>
          <w:bCs w:val="1"/>
          <w:u w:val="single" w:color="auto"/>
          <w:color w:val="auto"/>
        </w:rPr>
        <w:t>Representations and Warranties of Loan Parties</w:t>
      </w:r>
      <w:r>
        <w:rPr>
          <w:rFonts w:ascii="Times New Roman" w:cs="Times New Roman" w:eastAsia="Times New Roman" w:hAnsi="Times New Roman"/>
          <w:sz w:val="19"/>
          <w:szCs w:val="19"/>
          <w:color w:val="auto"/>
        </w:rPr>
        <w:t>. Each of the Loan Parties represents and warrants as follows:</w:t>
      </w:r>
    </w:p>
    <w:p>
      <w:pPr>
        <w:spacing w:after="0" w:line="218" w:lineRule="exact"/>
        <w:rPr>
          <w:sz w:val="20"/>
          <w:szCs w:val="20"/>
          <w:color w:val="auto"/>
        </w:rPr>
      </w:pPr>
    </w:p>
    <w:p>
      <w:pPr>
        <w:ind w:left="2040" w:hanging="535"/>
        <w:spacing w:after="0"/>
        <w:tabs>
          <w:tab w:leader="none" w:pos="204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has taken all necessary action to authorize the execution, delivery and performance of this Amendment.</w:t>
      </w:r>
    </w:p>
    <w:p>
      <w:pPr>
        <w:spacing w:after="0" w:line="213" w:lineRule="exact"/>
        <w:rPr>
          <w:rFonts w:ascii="Times New Roman" w:cs="Times New Roman" w:eastAsia="Times New Roman" w:hAnsi="Times New Roman"/>
          <w:sz w:val="19"/>
          <w:szCs w:val="19"/>
          <w:color w:val="auto"/>
        </w:rPr>
      </w:pPr>
    </w:p>
    <w:p>
      <w:pPr>
        <w:jc w:val="both"/>
        <w:ind w:firstLine="1505"/>
        <w:spacing w:after="0" w:line="246" w:lineRule="auto"/>
        <w:tabs>
          <w:tab w:leader="none" w:pos="2036"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Amendment has been duly executed and delivered by such Person and constitutes such Person’s legal, valid and binding obligation, enforceable in accordance with its terms, except as such enforceability may be subject to (i) bankruptcy, insolvency, reorganization, fraudulent conveyance or transfer, moratorium or similar laws affecting creditors’ rights generally and (ii) general principles of equity (regardless of whether such enforceability is considered in a proceeding at law or in equity).</w:t>
      </w:r>
    </w:p>
    <w:p>
      <w:pPr>
        <w:spacing w:after="0" w:line="184" w:lineRule="exact"/>
        <w:rPr>
          <w:rFonts w:ascii="Times New Roman" w:cs="Times New Roman" w:eastAsia="Times New Roman" w:hAnsi="Times New Roman"/>
          <w:sz w:val="19"/>
          <w:szCs w:val="19"/>
          <w:color w:val="auto"/>
        </w:rPr>
      </w:pPr>
    </w:p>
    <w:p>
      <w:pPr>
        <w:ind w:firstLine="1505"/>
        <w:spacing w:after="0" w:line="265" w:lineRule="auto"/>
        <w:tabs>
          <w:tab w:leader="none" w:pos="2036"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consent, approval, authorization or order of, or filing, registration or qualification with, any court or governmental authority or third party is required in connection with the execution, delivery or performance by such Person of this Amendment.</w:t>
      </w:r>
    </w:p>
    <w:p>
      <w:pPr>
        <w:spacing w:after="0" w:line="165" w:lineRule="exact"/>
        <w:rPr>
          <w:rFonts w:ascii="Times New Roman" w:cs="Times New Roman" w:eastAsia="Times New Roman" w:hAnsi="Times New Roman"/>
          <w:sz w:val="19"/>
          <w:szCs w:val="19"/>
          <w:color w:val="auto"/>
        </w:rPr>
      </w:pPr>
    </w:p>
    <w:p>
      <w:pPr>
        <w:jc w:val="both"/>
        <w:ind w:firstLine="1505"/>
        <w:spacing w:after="0" w:line="242" w:lineRule="auto"/>
        <w:tabs>
          <w:tab w:leader="none" w:pos="2036"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giving effect to this Amendment, the representations and warranties set forth in Article IV of the Loan Agreement are true and correct in all material respects (unless qualified as to materiality or Material Adverse Effect, in which case such representations and warranties shall be true and correct in all respects and except to the extent any such representation or warranty is stated to relate solely to an earlier date, in which case such representation or warranty shall have been true and correct on and as of such earlier date, and except further to the extent any such representations and warranties that are no longer true and correct as a result of factual changes since the Closing Date that are permitted under the Loan Agreement) as of the date hereof (except for those which expressly relate to an earlier date, in which case such representations and warranties shall be true and correct as of such earlier date).</w:t>
      </w:r>
    </w:p>
    <w:p>
      <w:pPr>
        <w:spacing w:after="0" w:line="185" w:lineRule="exact"/>
        <w:rPr>
          <w:rFonts w:ascii="Times New Roman" w:cs="Times New Roman" w:eastAsia="Times New Roman" w:hAnsi="Times New Roman"/>
          <w:sz w:val="19"/>
          <w:szCs w:val="19"/>
          <w:color w:val="auto"/>
        </w:rPr>
      </w:pPr>
    </w:p>
    <w:p>
      <w:pPr>
        <w:ind w:left="2040" w:hanging="535"/>
        <w:spacing w:after="0"/>
        <w:tabs>
          <w:tab w:leader="none" w:pos="204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date hereof, to the knowledge of the Borrower, there exists no Default or Event of Default under any of the</w:t>
      </w:r>
    </w:p>
    <w:p>
      <w:pPr>
        <w:spacing w:after="0" w:line="1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Loan Documents.</w:t>
      </w:r>
    </w:p>
    <w:p>
      <w:pPr>
        <w:spacing w:after="0" w:line="193" w:lineRule="exact"/>
        <w:rPr>
          <w:rFonts w:ascii="Times New Roman" w:cs="Times New Roman" w:eastAsia="Times New Roman" w:hAnsi="Times New Roman"/>
          <w:sz w:val="19"/>
          <w:szCs w:val="19"/>
          <w:color w:val="auto"/>
        </w:rPr>
      </w:pPr>
    </w:p>
    <w:p>
      <w:pPr>
        <w:ind w:left="2040" w:hanging="535"/>
        <w:spacing w:after="0"/>
        <w:tabs>
          <w:tab w:leader="none" w:pos="204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Obligations are not subject to any offsets, defenses or counterclaims.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ACTIVE/208239080.1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8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9"/>
          <w:szCs w:val="19"/>
          <w:b w:val="1"/>
          <w:bCs w:val="1"/>
          <w:color w:val="auto"/>
        </w:rPr>
        <w:t>3.3.</w:t>
      </w:r>
      <w:r>
        <w:rPr>
          <w:rFonts w:ascii="Times New Roman" w:cs="Times New Roman" w:eastAsia="Times New Roman" w:hAnsi="Times New Roman"/>
          <w:sz w:val="19"/>
          <w:szCs w:val="19"/>
          <w:b w:val="1"/>
          <w:bCs w:val="1"/>
          <w:u w:val="single" w:color="auto"/>
          <w:color w:val="auto"/>
        </w:rPr>
        <w:t>Reaffirmation of Obligations</w:t>
      </w:r>
      <w:r>
        <w:rPr>
          <w:rFonts w:ascii="Times New Roman" w:cs="Times New Roman" w:eastAsia="Times New Roman" w:hAnsi="Times New Roman"/>
          <w:sz w:val="19"/>
          <w:szCs w:val="19"/>
          <w:color w:val="auto"/>
        </w:rPr>
        <w:t>. Except as specifically amended or modified hereby, each Loan Party hereby ratifies the Loan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and the other Loan Documents and acknowledges and reaffirms (a) that it is bound by all terms of the Loan Agreement and the other Loan Documents applicable to it and (b) that it is responsible for the observance and full performance of the Obligations.</w:t>
      </w:r>
    </w:p>
    <w:p>
      <w:pPr>
        <w:spacing w:after="0" w:line="17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9"/>
          <w:szCs w:val="19"/>
          <w:b w:val="1"/>
          <w:bCs w:val="1"/>
          <w:color w:val="auto"/>
        </w:rPr>
        <w:t>3.4.</w:t>
      </w:r>
      <w:r>
        <w:rPr>
          <w:rFonts w:ascii="Times New Roman" w:cs="Times New Roman" w:eastAsia="Times New Roman" w:hAnsi="Times New Roman"/>
          <w:sz w:val="19"/>
          <w:szCs w:val="19"/>
          <w:b w:val="1"/>
          <w:bCs w:val="1"/>
          <w:u w:val="single" w:color="auto"/>
          <w:color w:val="auto"/>
        </w:rPr>
        <w:t>Loan Document</w:t>
      </w:r>
      <w:r>
        <w:rPr>
          <w:rFonts w:ascii="Times New Roman" w:cs="Times New Roman" w:eastAsia="Times New Roman" w:hAnsi="Times New Roman"/>
          <w:sz w:val="19"/>
          <w:szCs w:val="19"/>
          <w:color w:val="auto"/>
        </w:rPr>
        <w:t>. This Amendment shall constitute a Loan Document under the terms of the Loan Agreement. On and after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effectiveness of this Amendment, each reference in the Loan Agreement to “this Agreement”, “hereunder”, “hereof” or words of like import referring to the Loan Agreement, and each reference in the other Loan Documents to “the Loan Agreement”, “thereunder”, “thereof” or words of like import referring to the Loan Agreement, shall mean and be a reference to the Loan Agreement, as amended and modified by this Amendment. No amendment, modification, or waiver of any of the provisions of this Amendment by any party hereto shall be deemed to be made unless the same shall be in writing signed on behalf of each party hereto.</w:t>
      </w:r>
    </w:p>
    <w:p>
      <w:pPr>
        <w:spacing w:after="0" w:line="185"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19"/>
          <w:szCs w:val="19"/>
          <w:b w:val="1"/>
          <w:bCs w:val="1"/>
          <w:color w:val="auto"/>
        </w:rPr>
        <w:t>3.5.</w:t>
      </w:r>
      <w:r>
        <w:rPr>
          <w:rFonts w:ascii="Times New Roman" w:cs="Times New Roman" w:eastAsia="Times New Roman" w:hAnsi="Times New Roman"/>
          <w:sz w:val="19"/>
          <w:szCs w:val="19"/>
          <w:b w:val="1"/>
          <w:bCs w:val="1"/>
          <w:u w:val="single" w:color="auto"/>
          <w:color w:val="auto"/>
        </w:rPr>
        <w:t>Expenses</w:t>
      </w:r>
      <w:r>
        <w:rPr>
          <w:rFonts w:ascii="Times New Roman" w:cs="Times New Roman" w:eastAsia="Times New Roman" w:hAnsi="Times New Roman"/>
          <w:sz w:val="19"/>
          <w:szCs w:val="19"/>
          <w:color w:val="auto"/>
        </w:rPr>
        <w:t>. Each Loan Party agrees jointly and severally to pay, in accordance with Section 9.04 of the Loan Agreement, 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reasonable and documented out-of-pocket costs and expenses of the Administrative Agent in connection with the preparation, execution and delivery of this Amendment, including without limitation, the reasonable and documented fees and expenses of O’Melveny &amp; Myers LLP, counsel for the Administrative Agent.</w:t>
      </w:r>
    </w:p>
    <w:p>
      <w:pPr>
        <w:spacing w:after="0" w:line="177" w:lineRule="exact"/>
        <w:rPr>
          <w:sz w:val="20"/>
          <w:szCs w:val="20"/>
          <w:color w:val="auto"/>
        </w:rPr>
      </w:pPr>
    </w:p>
    <w:p>
      <w:pPr>
        <w:jc w:val="both"/>
        <w:ind w:firstLine="749"/>
        <w:spacing w:after="0" w:line="270" w:lineRule="auto"/>
        <w:rPr>
          <w:sz w:val="20"/>
          <w:szCs w:val="20"/>
          <w:color w:val="auto"/>
        </w:rPr>
      </w:pPr>
      <w:r>
        <w:rPr>
          <w:rFonts w:ascii="Times New Roman" w:cs="Times New Roman" w:eastAsia="Times New Roman" w:hAnsi="Times New Roman"/>
          <w:sz w:val="19"/>
          <w:szCs w:val="19"/>
          <w:b w:val="1"/>
          <w:bCs w:val="1"/>
          <w:color w:val="auto"/>
        </w:rPr>
        <w:t>3.6.</w:t>
      </w:r>
      <w:r>
        <w:rPr>
          <w:rFonts w:ascii="Times New Roman" w:cs="Times New Roman" w:eastAsia="Times New Roman" w:hAnsi="Times New Roman"/>
          <w:sz w:val="19"/>
          <w:szCs w:val="19"/>
          <w:b w:val="1"/>
          <w:bCs w:val="1"/>
          <w:u w:val="single" w:color="auto"/>
          <w:color w:val="auto"/>
        </w:rPr>
        <w:t>Further Assurances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The Loan Parties agree to promptly take such action, upon the request of the Administrative Agent, as 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necessary to carry out the intent of this Amendment.</w:t>
      </w:r>
    </w:p>
    <w:p>
      <w:pPr>
        <w:spacing w:after="0" w:line="156" w:lineRule="exact"/>
        <w:rPr>
          <w:sz w:val="20"/>
          <w:szCs w:val="20"/>
          <w:color w:val="auto"/>
        </w:rPr>
      </w:pPr>
    </w:p>
    <w:p>
      <w:pPr>
        <w:jc w:val="both"/>
        <w:ind w:right="20" w:firstLine="749"/>
        <w:spacing w:after="0" w:line="270" w:lineRule="auto"/>
        <w:rPr>
          <w:sz w:val="20"/>
          <w:szCs w:val="20"/>
          <w:color w:val="auto"/>
        </w:rPr>
      </w:pPr>
      <w:r>
        <w:rPr>
          <w:rFonts w:ascii="Times New Roman" w:cs="Times New Roman" w:eastAsia="Times New Roman" w:hAnsi="Times New Roman"/>
          <w:sz w:val="19"/>
          <w:szCs w:val="19"/>
          <w:b w:val="1"/>
          <w:bCs w:val="1"/>
          <w:color w:val="auto"/>
        </w:rPr>
        <w:t>3.7.</w:t>
      </w:r>
      <w:r>
        <w:rPr>
          <w:rFonts w:ascii="Times New Roman" w:cs="Times New Roman" w:eastAsia="Times New Roman" w:hAnsi="Times New Roman"/>
          <w:sz w:val="19"/>
          <w:szCs w:val="19"/>
          <w:b w:val="1"/>
          <w:bCs w:val="1"/>
          <w:u w:val="single" w:color="auto"/>
          <w:color w:val="auto"/>
        </w:rPr>
        <w:t>Entirety</w:t>
      </w:r>
      <w:r>
        <w:rPr>
          <w:rFonts w:ascii="Times New Roman" w:cs="Times New Roman" w:eastAsia="Times New Roman" w:hAnsi="Times New Roman"/>
          <w:sz w:val="19"/>
          <w:szCs w:val="19"/>
          <w:color w:val="auto"/>
        </w:rPr>
        <w:t>. This Amendment and the other Loan Documents embody the entire agreement among the parties hereto and supersede 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prior agreements and understandings, oral or written, if any, relating to the subject matter hereof.</w:t>
      </w:r>
    </w:p>
    <w:p>
      <w:pPr>
        <w:spacing w:after="0" w:line="15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19"/>
          <w:szCs w:val="19"/>
          <w:b w:val="1"/>
          <w:bCs w:val="1"/>
          <w:color w:val="auto"/>
        </w:rPr>
        <w:t>3.8.</w:t>
      </w:r>
      <w:r>
        <w:rPr>
          <w:rFonts w:ascii="Times New Roman" w:cs="Times New Roman" w:eastAsia="Times New Roman" w:hAnsi="Times New Roman"/>
          <w:sz w:val="19"/>
          <w:szCs w:val="19"/>
          <w:b w:val="1"/>
          <w:bCs w:val="1"/>
          <w:u w:val="single" w:color="auto"/>
          <w:color w:val="auto"/>
        </w:rPr>
        <w:t>Counterparts; Telecopy</w:t>
      </w:r>
      <w:r>
        <w:rPr>
          <w:rFonts w:ascii="Times New Roman" w:cs="Times New Roman" w:eastAsia="Times New Roman" w:hAnsi="Times New Roman"/>
          <w:sz w:val="19"/>
          <w:szCs w:val="19"/>
          <w:color w:val="auto"/>
        </w:rPr>
        <w:t>. This Amendment may be executed in any number of counterparts, each of which when so executed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delivered shall be an original, but all of which shall constitute one and the same instrument. Delivery of an executed counterpart to this Amendment by telecopy or other electronic means (e.g., PDF by e-mail) shall be effective as an original and shall constitute a representation that an original will be delivered. Copies of originals, including copies delivered by facsimile, .pdf, or other electronic means, shall have the same import and effect as original counterparts and shall be valid, enforceable and binding for the purposes of this Amendment and each other Loan Document. The words “execution,” “signed,” “signature,” and words of like import in this Amendment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Notwithstanding anything contained herein to the contrary, the Administrative Agent is under no obligation to accept an electronic signature in any form or in any format unless expressly agreed to by the Administrative Agent pursuant to procedures approved by it. Without limitation of the foregoing, (a) to the extent the Administrative Agent has agreed to accept such electronic signature, the Administrative Agent and each of the Lenders shall be entitled to rely on any such electronic signature purportedly given by or on behalf of any Loan Party or any other party hereto without further verification and regardless of the appearance or form of such electronic signature and (b) upon the request of the Administrative Agent or any Lender, any electronic signature shall be promptly followed by a manually executed counterpart. Each Loan Party hereby waives (i) any argument, defense or right to contest the legal effect, validity or enforceability of this Amendment and/or any other Loan Document based solely on the lack of paper original copies of this Amendment and/or such other Loan Document and (ii) any claim against the Administrative Agent or any Lender for any liabilities arising solely from such Person’s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ACTIVE/208239080.1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82"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19"/>
          <w:szCs w:val="19"/>
          <w:b w:val="1"/>
          <w:bCs w:val="1"/>
          <w:color w:val="auto"/>
        </w:rPr>
        <w:t>3.9.</w:t>
      </w:r>
      <w:r>
        <w:rPr>
          <w:rFonts w:ascii="Times New Roman" w:cs="Times New Roman" w:eastAsia="Times New Roman" w:hAnsi="Times New Roman"/>
          <w:sz w:val="19"/>
          <w:szCs w:val="19"/>
          <w:b w:val="1"/>
          <w:bCs w:val="1"/>
          <w:u w:val="single" w:color="auto"/>
          <w:color w:val="auto"/>
        </w:rPr>
        <w:t>No Actions, Claims, Etc.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of the date hereof, each of the Loan Parties hereby acknowledges and confirms that it has no knowledge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any actions, causes of action, claims, demands, damages and liabilities of whatever kind or nature, in law or in equity, against the Administrative Agent, the Lender Parties, or the Administrative Agent’s or the Lender Parties’ respective officers, employees, representatives, agents, counsel or directors arising from any action by such Persons, or failure of such Persons to act under the Loan Agreement on or prior to the date hereof.</w:t>
      </w:r>
    </w:p>
    <w:p>
      <w:pPr>
        <w:spacing w:after="0" w:line="177" w:lineRule="exact"/>
        <w:rPr>
          <w:sz w:val="20"/>
          <w:szCs w:val="20"/>
          <w:color w:val="auto"/>
        </w:rPr>
      </w:pPr>
    </w:p>
    <w:p>
      <w:pPr>
        <w:jc w:val="both"/>
        <w:ind w:firstLine="749"/>
        <w:spacing w:after="0" w:line="270" w:lineRule="auto"/>
        <w:rPr>
          <w:sz w:val="20"/>
          <w:szCs w:val="20"/>
          <w:color w:val="auto"/>
        </w:rPr>
      </w:pPr>
      <w:r>
        <w:rPr>
          <w:rFonts w:ascii="Times New Roman" w:cs="Times New Roman" w:eastAsia="Times New Roman" w:hAnsi="Times New Roman"/>
          <w:sz w:val="19"/>
          <w:szCs w:val="19"/>
          <w:b w:val="1"/>
          <w:bCs w:val="1"/>
          <w:color w:val="auto"/>
        </w:rPr>
        <w:t>3.10.</w:t>
      </w:r>
      <w:r>
        <w:rPr>
          <w:rFonts w:ascii="Times New Roman" w:cs="Times New Roman" w:eastAsia="Times New Roman" w:hAnsi="Times New Roman"/>
          <w:sz w:val="19"/>
          <w:szCs w:val="19"/>
          <w:b w:val="1"/>
          <w:bCs w:val="1"/>
          <w:u w:val="single" w:color="auto"/>
          <w:color w:val="auto"/>
        </w:rPr>
        <w:t>GOVERNING LAW</w:t>
      </w:r>
      <w:r>
        <w:rPr>
          <w:rFonts w:ascii="Times New Roman" w:cs="Times New Roman" w:eastAsia="Times New Roman" w:hAnsi="Times New Roman"/>
          <w:sz w:val="19"/>
          <w:szCs w:val="19"/>
          <w:color w:val="auto"/>
        </w:rPr>
        <w:t>. THIS AMENDMENT SHALL BE GOVERNED BY, AND SHALL BE CONSTRUED AND ENFORCED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ACCORDANCE WITH THE LAWS OF THE STATE OF NEW YORK.</w:t>
      </w:r>
    </w:p>
    <w:p>
      <w:pPr>
        <w:spacing w:after="0" w:line="156" w:lineRule="exact"/>
        <w:rPr>
          <w:sz w:val="20"/>
          <w:szCs w:val="20"/>
          <w:color w:val="auto"/>
        </w:rPr>
      </w:pPr>
    </w:p>
    <w:p>
      <w:pPr>
        <w:jc w:val="both"/>
        <w:ind w:firstLine="749"/>
        <w:spacing w:after="0" w:line="270" w:lineRule="auto"/>
        <w:rPr>
          <w:sz w:val="20"/>
          <w:szCs w:val="20"/>
          <w:color w:val="auto"/>
        </w:rPr>
      </w:pPr>
      <w:r>
        <w:rPr>
          <w:rFonts w:ascii="Times New Roman" w:cs="Times New Roman" w:eastAsia="Times New Roman" w:hAnsi="Times New Roman"/>
          <w:sz w:val="19"/>
          <w:szCs w:val="19"/>
          <w:b w:val="1"/>
          <w:bCs w:val="1"/>
          <w:color w:val="auto"/>
        </w:rPr>
        <w:t>3.11.</w:t>
      </w:r>
      <w:r>
        <w:rPr>
          <w:rFonts w:ascii="Times New Roman" w:cs="Times New Roman" w:eastAsia="Times New Roman" w:hAnsi="Times New Roman"/>
          <w:sz w:val="19"/>
          <w:szCs w:val="19"/>
          <w:b w:val="1"/>
          <w:bCs w:val="1"/>
          <w:u w:val="single" w:color="auto"/>
          <w:color w:val="auto"/>
        </w:rPr>
        <w:t>Successors and Assigns</w:t>
      </w:r>
      <w:r>
        <w:rPr>
          <w:rFonts w:ascii="Times New Roman" w:cs="Times New Roman" w:eastAsia="Times New Roman" w:hAnsi="Times New Roman"/>
          <w:sz w:val="19"/>
          <w:szCs w:val="19"/>
          <w:color w:val="auto"/>
        </w:rPr>
        <w:t>. This Amendment shall be binding upon and inure to the benefit of the parties hereto and their respective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successors and assigns.</w:t>
      </w:r>
    </w:p>
    <w:p>
      <w:pPr>
        <w:spacing w:after="0" w:line="156" w:lineRule="exact"/>
        <w:rPr>
          <w:sz w:val="20"/>
          <w:szCs w:val="20"/>
          <w:color w:val="auto"/>
        </w:rPr>
      </w:pPr>
    </w:p>
    <w:p>
      <w:pPr>
        <w:jc w:val="both"/>
        <w:ind w:firstLine="749"/>
        <w:spacing w:after="0" w:line="270" w:lineRule="auto"/>
        <w:rPr>
          <w:sz w:val="20"/>
          <w:szCs w:val="20"/>
          <w:color w:val="auto"/>
        </w:rPr>
      </w:pPr>
      <w:r>
        <w:rPr>
          <w:rFonts w:ascii="Times New Roman" w:cs="Times New Roman" w:eastAsia="Times New Roman" w:hAnsi="Times New Roman"/>
          <w:sz w:val="19"/>
          <w:szCs w:val="19"/>
          <w:b w:val="1"/>
          <w:bCs w:val="1"/>
          <w:color w:val="auto"/>
        </w:rPr>
        <w:t>3.12.</w:t>
      </w:r>
      <w:r>
        <w:rPr>
          <w:rFonts w:ascii="Times New Roman" w:cs="Times New Roman" w:eastAsia="Times New Roman" w:hAnsi="Times New Roman"/>
          <w:sz w:val="19"/>
          <w:szCs w:val="19"/>
          <w:b w:val="1"/>
          <w:bCs w:val="1"/>
          <w:u w:val="single" w:color="auto"/>
          <w:color w:val="auto"/>
        </w:rPr>
        <w:t>Consent to Jurisdiction; Service of Process; Waiver of Jury Trial</w:t>
      </w:r>
      <w:r>
        <w:rPr>
          <w:rFonts w:ascii="Times New Roman" w:cs="Times New Roman" w:eastAsia="Times New Roman" w:hAnsi="Times New Roman"/>
          <w:sz w:val="19"/>
          <w:szCs w:val="19"/>
          <w:color w:val="auto"/>
        </w:rPr>
        <w:t>. The jurisdiction, service of process and waiver of jury trial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provisions set forth in Sections 9.16 and 9.18 of the Loan Agreement are hereby incorporated by reference,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Remainder of page intentionally left blank</w:t>
      </w:r>
      <w:r>
        <w:rPr>
          <w:rFonts w:ascii="Times New Roman" w:cs="Times New Roman" w:eastAsia="Times New Roman" w:hAnsi="Times New Roman"/>
          <w:sz w:val="19"/>
          <w:szCs w:val="19"/>
          <w:color w:val="auto"/>
        </w:rPr>
        <w:t>]</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ACTIVE/208239080.1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ind w:firstLine="749"/>
        <w:spacing w:after="0" w:line="265" w:lineRule="auto"/>
        <w:rPr>
          <w:sz w:val="20"/>
          <w:szCs w:val="20"/>
          <w:color w:val="auto"/>
        </w:rPr>
      </w:pPr>
      <w:r>
        <w:rPr>
          <w:rFonts w:ascii="Times New Roman" w:cs="Times New Roman" w:eastAsia="Times New Roman" w:hAnsi="Times New Roman"/>
          <w:sz w:val="19"/>
          <w:szCs w:val="19"/>
          <w:color w:val="auto"/>
        </w:rPr>
        <w:t>IN WITNESS WHEREOF, the parties hereto have caused this Amendment to be duly executed and take effect as an instrument under seal as of the date first set forth above.</w:t>
      </w:r>
    </w:p>
    <w:p>
      <w:pPr>
        <w:spacing w:after="0" w:line="200" w:lineRule="exact"/>
        <w:rPr>
          <w:sz w:val="20"/>
          <w:szCs w:val="20"/>
          <w:color w:val="auto"/>
        </w:rPr>
      </w:pPr>
    </w:p>
    <w:p>
      <w:pPr>
        <w:spacing w:after="0" w:line="23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b w:val="1"/>
          <w:bCs w:val="1"/>
          <w:color w:val="auto"/>
        </w:rPr>
        <w:t>BORROWER:</w:t>
      </w:r>
    </w:p>
    <w:p>
      <w:pPr>
        <w:spacing w:after="0" w:line="2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EASTERLY GOVERNMENT PROPERTIES LP,</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partnership</w:t>
      </w:r>
    </w:p>
    <w:p>
      <w:pPr>
        <w:spacing w:after="0" w:line="191"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35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EASTERLY GOVERNMENT PROPERTIES,</w:t>
            </w:r>
          </w:p>
        </w:tc>
      </w:tr>
      <w:tr>
        <w:trPr>
          <w:trHeight w:val="216"/>
        </w:trPr>
        <w:tc>
          <w:tcPr>
            <w:tcW w:w="660" w:type="dxa"/>
            <w:vAlign w:val="bottom"/>
          </w:tcPr>
          <w:p>
            <w:pPr>
              <w:spacing w:after="0"/>
              <w:rPr>
                <w:sz w:val="18"/>
                <w:szCs w:val="18"/>
                <w:color w:val="auto"/>
              </w:rPr>
            </w:pPr>
          </w:p>
        </w:tc>
        <w:tc>
          <w:tcPr>
            <w:tcW w:w="3560" w:type="dxa"/>
            <w:vAlign w:val="bottom"/>
            <w:gridSpan w:val="2"/>
          </w:tcPr>
          <w:p>
            <w:pPr>
              <w:spacing w:after="0" w:line="216" w:lineRule="exact"/>
              <w:rPr>
                <w:sz w:val="20"/>
                <w:szCs w:val="20"/>
                <w:color w:val="auto"/>
              </w:rPr>
            </w:pPr>
            <w:r>
              <w:rPr>
                <w:rFonts w:ascii="Times New Roman" w:cs="Times New Roman" w:eastAsia="Times New Roman" w:hAnsi="Times New Roman"/>
                <w:sz w:val="19"/>
                <w:szCs w:val="19"/>
                <w:color w:val="auto"/>
              </w:rPr>
              <w:t>INC.,</w:t>
            </w:r>
          </w:p>
        </w:tc>
      </w:tr>
      <w:tr>
        <w:trPr>
          <w:trHeight w:val="216"/>
        </w:trPr>
        <w:tc>
          <w:tcPr>
            <w:tcW w:w="660" w:type="dxa"/>
            <w:vAlign w:val="bottom"/>
          </w:tcPr>
          <w:p>
            <w:pPr>
              <w:spacing w:after="0"/>
              <w:rPr>
                <w:sz w:val="18"/>
                <w:szCs w:val="18"/>
                <w:color w:val="auto"/>
              </w:rPr>
            </w:pPr>
          </w:p>
        </w:tc>
        <w:tc>
          <w:tcPr>
            <w:tcW w:w="3560" w:type="dxa"/>
            <w:vAlign w:val="bottom"/>
            <w:gridSpan w:val="2"/>
          </w:tcPr>
          <w:p>
            <w:pPr>
              <w:spacing w:after="0" w:line="216" w:lineRule="exact"/>
              <w:rPr>
                <w:sz w:val="20"/>
                <w:szCs w:val="20"/>
                <w:color w:val="auto"/>
              </w:rPr>
            </w:pPr>
            <w:r>
              <w:rPr>
                <w:rFonts w:ascii="Times New Roman" w:cs="Times New Roman" w:eastAsia="Times New Roman" w:hAnsi="Times New Roman"/>
                <w:sz w:val="19"/>
                <w:szCs w:val="19"/>
                <w:color w:val="auto"/>
              </w:rPr>
              <w:t>a Maryland corporation,</w:t>
            </w:r>
          </w:p>
        </w:tc>
      </w:tr>
      <w:tr>
        <w:trPr>
          <w:trHeight w:val="244"/>
        </w:trPr>
        <w:tc>
          <w:tcPr>
            <w:tcW w:w="660" w:type="dxa"/>
            <w:vAlign w:val="bottom"/>
          </w:tcPr>
          <w:p>
            <w:pPr>
              <w:spacing w:after="0"/>
              <w:rPr>
                <w:sz w:val="21"/>
                <w:szCs w:val="21"/>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its sole General Partner</w:t>
            </w:r>
          </w:p>
        </w:tc>
      </w:tr>
      <w:tr>
        <w:trPr>
          <w:trHeight w:val="390"/>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2160" w:type="dxa"/>
            <w:vAlign w:val="bottom"/>
          </w:tcPr>
          <w:p>
            <w:pPr>
              <w:spacing w:after="0"/>
              <w:rPr>
                <w:sz w:val="24"/>
                <w:szCs w:val="24"/>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356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16"/>
        </w:trPr>
        <w:tc>
          <w:tcPr>
            <w:tcW w:w="6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Title:</w:t>
            </w:r>
          </w:p>
        </w:tc>
        <w:tc>
          <w:tcPr>
            <w:tcW w:w="3560" w:type="dxa"/>
            <w:vAlign w:val="bottom"/>
            <w:gridSpan w:val="2"/>
          </w:tcPr>
          <w:p>
            <w:pPr>
              <w:spacing w:after="0" w:line="216" w:lineRule="exact"/>
              <w:rPr>
                <w:sz w:val="20"/>
                <w:szCs w:val="20"/>
                <w:color w:val="auto"/>
              </w:rPr>
            </w:pPr>
            <w:r>
              <w:rPr>
                <w:rFonts w:ascii="Times New Roman" w:cs="Times New Roman" w:eastAsia="Times New Roman" w:hAnsi="Times New Roman"/>
                <w:sz w:val="19"/>
                <w:szCs w:val="19"/>
                <w:color w:val="auto"/>
              </w:rPr>
              <w:t>Executive Vice President and Chief Financial</w:t>
            </w:r>
          </w:p>
        </w:tc>
      </w:tr>
      <w:tr>
        <w:trPr>
          <w:trHeight w:val="244"/>
        </w:trPr>
        <w:tc>
          <w:tcPr>
            <w:tcW w:w="660" w:type="dxa"/>
            <w:vAlign w:val="bottom"/>
          </w:tcPr>
          <w:p>
            <w:pPr>
              <w:spacing w:after="0"/>
              <w:rPr>
                <w:sz w:val="21"/>
                <w:szCs w:val="21"/>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Officer</w:t>
            </w:r>
          </w:p>
        </w:tc>
      </w:tr>
    </w:tbl>
    <w:p>
      <w:pPr>
        <w:spacing w:after="0" w:line="21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b w:val="1"/>
          <w:bCs w:val="1"/>
          <w:color w:val="auto"/>
        </w:rPr>
        <w:t>PARENT</w:t>
      </w:r>
      <w:r>
        <w:rPr>
          <w:rFonts w:ascii="Times New Roman" w:cs="Times New Roman" w:eastAsia="Times New Roman" w:hAnsi="Times New Roman"/>
          <w:sz w:val="19"/>
          <w:szCs w:val="19"/>
          <w:color w:val="auto"/>
        </w:rPr>
        <w:t>:</w:t>
      </w:r>
    </w:p>
    <w:p>
      <w:pPr>
        <w:spacing w:after="0" w:line="2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EASTERLY GOVERNMENT PROPERTIES, INC.,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Maryland corporation</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206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346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16"/>
        </w:trPr>
        <w:tc>
          <w:tcPr>
            <w:tcW w:w="66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Title:</w:t>
            </w:r>
          </w:p>
        </w:tc>
        <w:tc>
          <w:tcPr>
            <w:tcW w:w="3460" w:type="dxa"/>
            <w:vAlign w:val="bottom"/>
            <w:gridSpan w:val="2"/>
          </w:tcPr>
          <w:p>
            <w:pPr>
              <w:spacing w:after="0" w:line="216" w:lineRule="exact"/>
              <w:rPr>
                <w:sz w:val="20"/>
                <w:szCs w:val="20"/>
                <w:color w:val="auto"/>
              </w:rPr>
            </w:pPr>
            <w:r>
              <w:rPr>
                <w:rFonts w:ascii="Times New Roman" w:cs="Times New Roman" w:eastAsia="Times New Roman" w:hAnsi="Times New Roman"/>
                <w:sz w:val="19"/>
                <w:szCs w:val="19"/>
                <w:color w:val="auto"/>
                <w:w w:val="99"/>
              </w:rPr>
              <w:t>Executive Vice President and Chief Financial</w:t>
            </w:r>
          </w:p>
        </w:tc>
      </w:tr>
      <w:tr>
        <w:trPr>
          <w:trHeight w:val="244"/>
        </w:trPr>
        <w:tc>
          <w:tcPr>
            <w:tcW w:w="66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3091180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172" w:name="page173"/>
    <w:bookmarkEnd w:id="172"/>
    <w:p>
      <w:pPr>
        <w:ind w:left="2640"/>
        <w:spacing w:after="0"/>
        <w:rPr>
          <w:sz w:val="20"/>
          <w:szCs w:val="20"/>
          <w:color w:val="auto"/>
        </w:rPr>
      </w:pPr>
      <w:r>
        <w:rPr>
          <w:rFonts w:ascii="Times New Roman" w:cs="Times New Roman" w:eastAsia="Times New Roman" w:hAnsi="Times New Roman"/>
          <w:sz w:val="19"/>
          <w:szCs w:val="19"/>
          <w:b w:val="1"/>
          <w:bCs w:val="1"/>
          <w:color w:val="auto"/>
        </w:rPr>
        <w:t>SUBSIDIARY GUARANTORS:</w:t>
      </w:r>
    </w:p>
    <w:p>
      <w:pPr>
        <w:spacing w:after="0" w:line="22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USGP ALBANY DEA, LLC,</w:t>
      </w:r>
    </w:p>
    <w:p>
      <w:pPr>
        <w:spacing w:after="0" w:line="2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2"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8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Chief Financial Officer</w:t>
            </w:r>
          </w:p>
        </w:tc>
      </w:tr>
    </w:tbl>
    <w:p>
      <w:pPr>
        <w:spacing w:after="0" w:line="22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USGP DALLAS DEA LP,</w:t>
      </w:r>
    </w:p>
    <w:p>
      <w:pPr>
        <w:spacing w:after="0" w:line="2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19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7"/>
          <w:szCs w:val="17"/>
          <w:color w:val="auto"/>
        </w:rPr>
        <w:t>USGP DALLAS 1 G.P., LLC, its general partner</w:t>
      </w:r>
    </w:p>
    <w:p>
      <w:pPr>
        <w:spacing w:after="0" w:line="197" w:lineRule="exact"/>
        <w:rPr>
          <w:sz w:val="20"/>
          <w:szCs w:val="20"/>
          <w:color w:val="auto"/>
        </w:rPr>
      </w:pPr>
    </w:p>
    <w:tbl>
      <w:tblPr>
        <w:tblLayout w:type="fixed"/>
        <w:tblInd w:w="3020" w:type="dxa"/>
        <w:tblCellMar>
          <w:top w:w="0" w:type="dxa"/>
          <w:left w:w="0" w:type="dxa"/>
          <w:bottom w:w="0" w:type="dxa"/>
          <w:right w:w="0" w:type="dxa"/>
        </w:tblCellMar>
      </w:tblPr>
      <w:tr>
        <w:trPr>
          <w:trHeight w:val="218"/>
        </w:trPr>
        <w:tc>
          <w:tcPr>
            <w:tcW w:w="6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68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6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USGP DEL RIO CH LP,</w:t>
      </w:r>
    </w:p>
    <w:p>
      <w:pPr>
        <w:spacing w:after="0" w:line="2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19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By: USGP DEL RIO 1 G.P., LLC, its general partner</w:t>
      </w:r>
    </w:p>
    <w:p>
      <w:pPr>
        <w:spacing w:after="0" w:line="197" w:lineRule="exact"/>
        <w:rPr>
          <w:sz w:val="20"/>
          <w:szCs w:val="20"/>
          <w:color w:val="auto"/>
        </w:rPr>
      </w:pPr>
    </w:p>
    <w:tbl>
      <w:tblPr>
        <w:tblLayout w:type="fixed"/>
        <w:tblInd w:w="302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7"/>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6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USGP FRESNO IRS,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9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By: USGP FRESNO IRS MEMBER LLC, its sole</w:t>
      </w:r>
    </w:p>
    <w:p>
      <w:pPr>
        <w:spacing w:after="0" w:line="1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9"/>
          <w:szCs w:val="19"/>
          <w:color w:val="auto"/>
        </w:rPr>
        <w:t>member</w:t>
      </w:r>
    </w:p>
    <w:p>
      <w:pPr>
        <w:spacing w:after="0" w:line="177" w:lineRule="exact"/>
        <w:rPr>
          <w:sz w:val="20"/>
          <w:szCs w:val="20"/>
          <w:color w:val="auto"/>
        </w:rPr>
      </w:pPr>
    </w:p>
    <w:tbl>
      <w:tblPr>
        <w:tblLayout w:type="fixed"/>
        <w:tblInd w:w="302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36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6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USGP SAN ANTONIO, LP,</w:t>
      </w:r>
    </w:p>
    <w:p>
      <w:pPr>
        <w:spacing w:after="0" w:line="2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19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By: USGP SAN ANTONIO GP, LLC, its general partner</w:t>
      </w:r>
    </w:p>
    <w:p>
      <w:pPr>
        <w:spacing w:after="0" w:line="197" w:lineRule="exact"/>
        <w:rPr>
          <w:sz w:val="20"/>
          <w:szCs w:val="20"/>
          <w:color w:val="auto"/>
        </w:rPr>
      </w:pPr>
    </w:p>
    <w:tbl>
      <w:tblPr>
        <w:tblLayout w:type="fixed"/>
        <w:tblInd w:w="3020" w:type="dxa"/>
        <w:tblCellMar>
          <w:top w:w="0" w:type="dxa"/>
          <w:left w:w="0" w:type="dxa"/>
          <w:bottom w:w="0" w:type="dxa"/>
          <w:right w:w="0" w:type="dxa"/>
        </w:tblCellMar>
      </w:tblPr>
      <w:tr>
        <w:trPr>
          <w:trHeight w:val="218"/>
        </w:trPr>
        <w:tc>
          <w:tcPr>
            <w:tcW w:w="6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68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6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1239520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49" w:right="1440" w:bottom="1440" w:gutter="0" w:footer="0" w:header="0"/>
        </w:sectPr>
      </w:pPr>
    </w:p>
    <w:bookmarkStart w:id="173" w:name="page174"/>
    <w:bookmarkEnd w:id="173"/>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USGP ALBUQUERQUE USFS I,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9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USGP ALBUQUERQUE USFS I MEMBER, LLC,</w:t>
      </w:r>
    </w:p>
    <w:p>
      <w:pPr>
        <w:spacing w:after="0" w:line="1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its sole member</w:t>
      </w:r>
    </w:p>
    <w:p>
      <w:pPr>
        <w:spacing w:after="0" w:line="177" w:lineRule="exact"/>
        <w:rPr>
          <w:sz w:val="20"/>
          <w:szCs w:val="20"/>
          <w:color w:val="auto"/>
        </w:rPr>
      </w:pPr>
    </w:p>
    <w:tbl>
      <w:tblPr>
        <w:tblLayout w:type="fixed"/>
        <w:tblInd w:w="414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7"/>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6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USGP II ARLINGTON PTO LP,</w:t>
      </w:r>
    </w:p>
    <w:p>
      <w:pPr>
        <w:spacing w:after="0" w:line="2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19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USGP II ARLINGTON PTO GENERAL PARTNER</w:t>
      </w:r>
    </w:p>
    <w:p>
      <w:pPr>
        <w:spacing w:after="0" w:line="1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LLC, its general partner</w:t>
      </w:r>
    </w:p>
    <w:tbl>
      <w:tblPr>
        <w:tblLayout w:type="fixed"/>
        <w:tblInd w:w="4140" w:type="dxa"/>
        <w:tblCellMar>
          <w:top w:w="0" w:type="dxa"/>
          <w:left w:w="0" w:type="dxa"/>
          <w:bottom w:w="0" w:type="dxa"/>
          <w:right w:w="0" w:type="dxa"/>
        </w:tblCellMar>
      </w:tblPr>
      <w:tr>
        <w:trPr>
          <w:trHeight w:val="182"/>
        </w:trPr>
        <w:tc>
          <w:tcPr>
            <w:tcW w:w="660" w:type="dxa"/>
            <w:vAlign w:val="bottom"/>
          </w:tcPr>
          <w:p>
            <w:pPr>
              <w:spacing w:after="0" w:line="182" w:lineRule="exact"/>
              <w:rPr>
                <w:sz w:val="20"/>
                <w:szCs w:val="20"/>
                <w:color w:val="auto"/>
              </w:rPr>
            </w:pPr>
            <w:r>
              <w:rPr>
                <w:rFonts w:ascii="Times New Roman" w:cs="Times New Roman" w:eastAsia="Times New Roman" w:hAnsi="Times New Roman"/>
                <w:sz w:val="19"/>
                <w:szCs w:val="19"/>
                <w:color w:val="auto"/>
              </w:rPr>
              <w:t>By:</w:t>
            </w:r>
          </w:p>
        </w:tc>
        <w:tc>
          <w:tcPr>
            <w:tcW w:w="138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9"/>
                <w:szCs w:val="19"/>
                <w:color w:val="auto"/>
                <w:w w:val="97"/>
              </w:rPr>
              <w:t>/s/ Allison Marino</w:t>
            </w:r>
          </w:p>
        </w:tc>
        <w:tc>
          <w:tcPr>
            <w:tcW w:w="380" w:type="dxa"/>
            <w:vAlign w:val="bottom"/>
          </w:tcPr>
          <w:p>
            <w:pPr>
              <w:spacing w:after="0"/>
              <w:rPr>
                <w:sz w:val="15"/>
                <w:szCs w:val="15"/>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6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USGP II LAKEWOOD DOT LP,</w:t>
      </w:r>
    </w:p>
    <w:p>
      <w:pPr>
        <w:spacing w:after="0" w:line="2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a Delaware limited partnership</w:t>
      </w:r>
    </w:p>
    <w:p>
      <w:pPr>
        <w:ind w:left="3760"/>
        <w:spacing w:after="0" w:line="238" w:lineRule="auto"/>
        <w:rPr>
          <w:sz w:val="20"/>
          <w:szCs w:val="20"/>
          <w:color w:val="auto"/>
        </w:rPr>
      </w:pPr>
      <w:r>
        <w:rPr>
          <w:rFonts w:ascii="Times New Roman" w:cs="Times New Roman" w:eastAsia="Times New Roman" w:hAnsi="Times New Roman"/>
          <w:sz w:val="19"/>
          <w:szCs w:val="19"/>
          <w:color w:val="auto"/>
        </w:rPr>
        <w:t>By: USGP II LAKEWOOD DOT GENERAL PARTNER</w:t>
      </w:r>
    </w:p>
    <w:p>
      <w:pPr>
        <w:ind w:left="4140"/>
        <w:spacing w:after="0"/>
        <w:rPr>
          <w:sz w:val="20"/>
          <w:szCs w:val="20"/>
          <w:color w:val="auto"/>
        </w:rPr>
      </w:pPr>
      <w:r>
        <w:rPr>
          <w:rFonts w:ascii="Times New Roman" w:cs="Times New Roman" w:eastAsia="Times New Roman" w:hAnsi="Times New Roman"/>
          <w:sz w:val="19"/>
          <w:szCs w:val="19"/>
          <w:color w:val="auto"/>
        </w:rPr>
        <w:t>LLC, its general partner</w:t>
      </w:r>
    </w:p>
    <w:p>
      <w:pPr>
        <w:spacing w:after="0" w:line="177" w:lineRule="exact"/>
        <w:rPr>
          <w:sz w:val="20"/>
          <w:szCs w:val="20"/>
          <w:color w:val="auto"/>
        </w:rPr>
      </w:pPr>
    </w:p>
    <w:tbl>
      <w:tblPr>
        <w:tblLayout w:type="fixed"/>
        <w:tblInd w:w="414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7"/>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6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USGP II LITTLE ROCK FBI LP,</w:t>
      </w:r>
    </w:p>
    <w:p>
      <w:pPr>
        <w:spacing w:after="0" w:line="2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19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USGP II LITTLE ROCK FBI GENERAL PARTNER</w:t>
      </w:r>
    </w:p>
    <w:p>
      <w:pPr>
        <w:spacing w:after="0" w:line="1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LLC, its general partner</w:t>
      </w:r>
    </w:p>
    <w:tbl>
      <w:tblPr>
        <w:tblLayout w:type="fixed"/>
        <w:tblInd w:w="4140" w:type="dxa"/>
        <w:tblCellMar>
          <w:top w:w="0" w:type="dxa"/>
          <w:left w:w="0" w:type="dxa"/>
          <w:bottom w:w="0" w:type="dxa"/>
          <w:right w:w="0" w:type="dxa"/>
        </w:tblCellMar>
      </w:tblPr>
      <w:tr>
        <w:trPr>
          <w:trHeight w:val="182"/>
        </w:trPr>
        <w:tc>
          <w:tcPr>
            <w:tcW w:w="660" w:type="dxa"/>
            <w:vAlign w:val="bottom"/>
          </w:tcPr>
          <w:p>
            <w:pPr>
              <w:spacing w:after="0" w:line="182" w:lineRule="exact"/>
              <w:rPr>
                <w:sz w:val="20"/>
                <w:szCs w:val="20"/>
                <w:color w:val="auto"/>
              </w:rPr>
            </w:pPr>
            <w:r>
              <w:rPr>
                <w:rFonts w:ascii="Times New Roman" w:cs="Times New Roman" w:eastAsia="Times New Roman" w:hAnsi="Times New Roman"/>
                <w:sz w:val="19"/>
                <w:szCs w:val="19"/>
                <w:color w:val="auto"/>
              </w:rPr>
              <w:t>By:</w:t>
            </w:r>
          </w:p>
        </w:tc>
        <w:tc>
          <w:tcPr>
            <w:tcW w:w="138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9"/>
                <w:szCs w:val="19"/>
                <w:color w:val="auto"/>
                <w:w w:val="97"/>
              </w:rPr>
              <w:t>/s/ Allison Marino</w:t>
            </w:r>
          </w:p>
        </w:tc>
        <w:tc>
          <w:tcPr>
            <w:tcW w:w="380" w:type="dxa"/>
            <w:vAlign w:val="bottom"/>
          </w:tcPr>
          <w:p>
            <w:pPr>
              <w:spacing w:after="0"/>
              <w:rPr>
                <w:sz w:val="15"/>
                <w:szCs w:val="15"/>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6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USGP II MARTINSBURG USCG LP,</w:t>
      </w:r>
    </w:p>
    <w:p>
      <w:pPr>
        <w:spacing w:after="0" w:line="2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a Delaware limited partnership</w:t>
      </w:r>
    </w:p>
    <w:p>
      <w:pPr>
        <w:ind w:left="3760"/>
        <w:spacing w:after="0" w:line="238" w:lineRule="auto"/>
        <w:rPr>
          <w:sz w:val="20"/>
          <w:szCs w:val="20"/>
          <w:color w:val="auto"/>
        </w:rPr>
      </w:pPr>
      <w:r>
        <w:rPr>
          <w:rFonts w:ascii="Times New Roman" w:cs="Times New Roman" w:eastAsia="Times New Roman" w:hAnsi="Times New Roman"/>
          <w:sz w:val="19"/>
          <w:szCs w:val="19"/>
          <w:color w:val="auto"/>
        </w:rPr>
        <w:t>By: USGP II MARTINSBURG USCG GENERAL</w:t>
      </w:r>
    </w:p>
    <w:p>
      <w:pPr>
        <w:ind w:left="4140"/>
        <w:spacing w:after="0"/>
        <w:rPr>
          <w:sz w:val="20"/>
          <w:szCs w:val="20"/>
          <w:color w:val="auto"/>
        </w:rPr>
      </w:pPr>
      <w:r>
        <w:rPr>
          <w:rFonts w:ascii="Times New Roman" w:cs="Times New Roman" w:eastAsia="Times New Roman" w:hAnsi="Times New Roman"/>
          <w:sz w:val="19"/>
          <w:szCs w:val="19"/>
          <w:color w:val="auto"/>
        </w:rPr>
        <w:t>PARTNER LLC, its general partner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00" w:type="dxa"/>
            <w:vAlign w:val="bottom"/>
          </w:tcPr>
          <w:p>
            <w:pPr>
              <w:ind w:left="4140"/>
              <w:spacing w:after="0"/>
              <w:rPr>
                <w:sz w:val="20"/>
                <w:szCs w:val="20"/>
                <w:color w:val="auto"/>
              </w:rPr>
            </w:pPr>
            <w:r>
              <w:rPr>
                <w:rFonts w:ascii="Times New Roman" w:cs="Times New Roman" w:eastAsia="Times New Roman" w:hAnsi="Times New Roman"/>
                <w:sz w:val="19"/>
                <w:szCs w:val="19"/>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7"/>
              </w:rPr>
              <w:t>/s/ Allison Marino</w:t>
            </w:r>
          </w:p>
        </w:tc>
        <w:tc>
          <w:tcPr>
            <w:tcW w:w="5060" w:type="dxa"/>
            <w:vAlign w:val="bottom"/>
          </w:tcPr>
          <w:p>
            <w:pPr>
              <w:spacing w:after="0"/>
              <w:rPr>
                <w:sz w:val="18"/>
                <w:szCs w:val="18"/>
                <w:color w:val="auto"/>
              </w:rPr>
            </w:pPr>
          </w:p>
        </w:tc>
      </w:tr>
      <w:tr>
        <w:trPr>
          <w:trHeight w:val="210"/>
        </w:trPr>
        <w:tc>
          <w:tcPr>
            <w:tcW w:w="4800" w:type="dxa"/>
            <w:vAlign w:val="bottom"/>
          </w:tcPr>
          <w:p>
            <w:pPr>
              <w:ind w:left="4140"/>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644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4800" w:type="dxa"/>
            <w:vAlign w:val="bottom"/>
          </w:tcPr>
          <w:p>
            <w:pPr>
              <w:ind w:left="4140"/>
              <w:spacing w:after="0"/>
              <w:rPr>
                <w:sz w:val="20"/>
                <w:szCs w:val="20"/>
                <w:color w:val="auto"/>
              </w:rPr>
            </w:pPr>
            <w:r>
              <w:rPr>
                <w:rFonts w:ascii="Times New Roman" w:cs="Times New Roman" w:eastAsia="Times New Roman" w:hAnsi="Times New Roman"/>
                <w:sz w:val="19"/>
                <w:szCs w:val="19"/>
                <w:color w:val="auto"/>
              </w:rPr>
              <w:t>Title:</w:t>
            </w:r>
          </w:p>
        </w:tc>
        <w:tc>
          <w:tcPr>
            <w:tcW w:w="64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1490"/>
        </w:trPr>
        <w:tc>
          <w:tcPr>
            <w:tcW w:w="48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ind w:left="36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p>
      <w:pPr>
        <w:spacing w:after="0" w:line="1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4411 OMAHA LP,</w:t>
      </w:r>
    </w:p>
    <w:p>
      <w:pPr>
        <w:ind w:left="2640"/>
        <w:spacing w:after="0"/>
        <w:rPr>
          <w:sz w:val="20"/>
          <w:szCs w:val="20"/>
          <w:color w:val="auto"/>
        </w:rPr>
      </w:pPr>
      <w:r>
        <w:rPr>
          <w:rFonts w:ascii="Times New Roman" w:cs="Times New Roman" w:eastAsia="Times New Roman" w:hAnsi="Times New Roman"/>
          <w:sz w:val="19"/>
          <w:szCs w:val="19"/>
          <w:color w:val="auto"/>
        </w:rPr>
        <w:t>a Delaware limited partnership</w:t>
      </w:r>
    </w:p>
    <w:p>
      <w:pPr>
        <w:spacing w:after="0" w:line="19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By: USGP II Omaha FBI General Partner LLC, its</w:t>
      </w:r>
    </w:p>
    <w:p>
      <w:pPr>
        <w:spacing w:after="0" w:line="1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9"/>
          <w:szCs w:val="19"/>
          <w:color w:val="auto"/>
        </w:rPr>
        <w:t>general partner</w:t>
      </w:r>
    </w:p>
    <w:p>
      <w:pPr>
        <w:spacing w:after="0" w:line="177" w:lineRule="exact"/>
        <w:rPr>
          <w:sz w:val="20"/>
          <w:szCs w:val="20"/>
          <w:color w:val="auto"/>
        </w:rPr>
      </w:pPr>
    </w:p>
    <w:tbl>
      <w:tblPr>
        <w:tblLayout w:type="fixed"/>
        <w:tblInd w:w="302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7"/>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6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CH EL CENTRO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8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DEA NORTH HIGHLANDS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8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DEA RIVERSIDE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8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DEA SANTA ANA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8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DEA VISTA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62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202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20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648"/>
        </w:trPr>
        <w:tc>
          <w:tcPr>
            <w:tcW w:w="660" w:type="dxa"/>
            <w:vAlign w:val="bottom"/>
          </w:tcPr>
          <w:p>
            <w:pPr>
              <w:spacing w:after="0"/>
              <w:rPr>
                <w:sz w:val="24"/>
                <w:szCs w:val="24"/>
                <w:color w:val="auto"/>
              </w:rPr>
            </w:pPr>
          </w:p>
        </w:tc>
        <w:tc>
          <w:tcPr>
            <w:tcW w:w="2020" w:type="dxa"/>
            <w:vAlign w:val="bottom"/>
            <w:gridSpan w:val="2"/>
          </w:tcPr>
          <w:p>
            <w:pPr>
              <w:ind w:left="380"/>
              <w:spacing w:after="0"/>
              <w:rPr>
                <w:sz w:val="20"/>
                <w:szCs w:val="20"/>
                <w:color w:val="auto"/>
              </w:rPr>
            </w:pPr>
            <w:r>
              <w:rPr>
                <w:rFonts w:ascii="Times New Roman" w:cs="Times New Roman" w:eastAsia="Times New Roman" w:hAnsi="Times New Roman"/>
                <w:sz w:val="19"/>
                <w:szCs w:val="19"/>
                <w:color w:val="auto"/>
                <w:w w:val="98"/>
              </w:rPr>
              <w:t>[</w:t>
            </w:r>
            <w:r>
              <w:rPr>
                <w:rFonts w:ascii="Times New Roman" w:cs="Times New Roman" w:eastAsia="Times New Roman" w:hAnsi="Times New Roman"/>
                <w:sz w:val="19"/>
                <w:szCs w:val="19"/>
                <w:i w:val="1"/>
                <w:iCs w:val="1"/>
                <w:color w:val="auto"/>
                <w:w w:val="98"/>
              </w:rPr>
              <w:t>Signatures continue</w:t>
            </w:r>
            <w:r>
              <w:rPr>
                <w:rFonts w:ascii="Times New Roman" w:cs="Times New Roman" w:eastAsia="Times New Roman" w:hAnsi="Times New Roman"/>
                <w:sz w:val="19"/>
                <w:szCs w:val="19"/>
                <w:color w:val="auto"/>
                <w:w w:val="9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1751965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49" w:right="1440" w:bottom="1440" w:gutter="0" w:footer="0" w:header="0"/>
        </w:sectPr>
      </w:pPr>
    </w:p>
    <w:bookmarkStart w:id="175" w:name="page176"/>
    <w:bookmarkEnd w:id="175"/>
    <w:p>
      <w:pPr>
        <w:ind w:left="2640"/>
        <w:spacing w:after="0"/>
        <w:rPr>
          <w:sz w:val="20"/>
          <w:szCs w:val="20"/>
          <w:color w:val="auto"/>
        </w:rPr>
      </w:pPr>
      <w:r>
        <w:rPr>
          <w:rFonts w:ascii="Times New Roman" w:cs="Times New Roman" w:eastAsia="Times New Roman" w:hAnsi="Times New Roman"/>
          <w:sz w:val="19"/>
          <w:szCs w:val="19"/>
          <w:color w:val="auto"/>
        </w:rPr>
        <w:t>EGP DEA WH SAN DIEGO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8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SSA SAN DIEGO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8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HUNTER LUBBOCK LP,</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partnership</w:t>
      </w:r>
    </w:p>
    <w:p>
      <w:pPr>
        <w:spacing w:after="0" w:line="19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EGP LUBBOCK GP LLC, its general partner</w:t>
      </w:r>
    </w:p>
    <w:p>
      <w:pPr>
        <w:spacing w:after="0" w:line="20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8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CH ABERDEEN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8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USCIS LINCOLN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8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1239520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69" w:right="1440" w:bottom="1440" w:gutter="0" w:footer="0" w:header="0"/>
        </w:sectPr>
      </w:pPr>
    </w:p>
    <w:bookmarkStart w:id="176" w:name="page177"/>
    <w:bookmarkEnd w:id="176"/>
    <w:p>
      <w:pPr>
        <w:spacing w:after="0" w:line="19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DEA LAB DALLAS LP,</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partnership</w:t>
      </w:r>
    </w:p>
    <w:p>
      <w:pPr>
        <w:spacing w:after="0" w:line="19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By: EGP DEA LAB DALLAS GENERAL PARTNER</w:t>
      </w:r>
    </w:p>
    <w:p>
      <w:pPr>
        <w:spacing w:after="0" w:line="1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9"/>
          <w:szCs w:val="19"/>
          <w:color w:val="auto"/>
        </w:rPr>
        <w:t>LLC, its general partner</w:t>
      </w:r>
    </w:p>
    <w:p>
      <w:pPr>
        <w:spacing w:after="0" w:line="177" w:lineRule="exact"/>
        <w:rPr>
          <w:sz w:val="20"/>
          <w:szCs w:val="20"/>
          <w:color w:val="auto"/>
        </w:rPr>
      </w:pPr>
    </w:p>
    <w:tbl>
      <w:tblPr>
        <w:tblLayout w:type="fixed"/>
        <w:tblInd w:w="302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7"/>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6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1970 RICHMOND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393"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5441 ALBUQUERQUE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601 OMAHA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920 BIRMINGHAM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300 KANSAS CITY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1085215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7" w:name="page178"/>
    <w:bookmarkEnd w:id="177"/>
    <w:p>
      <w:pPr>
        <w:spacing w:after="0" w:line="17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1000 BIRMINGHAM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200 ALBANY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401 SOUTH BEND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5425 SALT LAKE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1540 SOUTH BEND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1201 ALAMEDA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By:</w:t>
            </w:r>
          </w:p>
        </w:tc>
        <w:tc>
          <w:tcPr>
            <w:tcW w:w="6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4500" w:type="dxa"/>
            <w:vAlign w:val="bottom"/>
          </w:tcPr>
          <w:p>
            <w:pPr>
              <w:ind w:left="3760"/>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5360" w:type="dxa"/>
            <w:vAlign w:val="bottom"/>
          </w:tcPr>
          <w:p>
            <w:pPr>
              <w:spacing w:after="0"/>
              <w:rPr>
                <w:sz w:val="18"/>
                <w:szCs w:val="18"/>
                <w:color w:val="auto"/>
              </w:rPr>
            </w:pPr>
          </w:p>
        </w:tc>
      </w:tr>
      <w:tr>
        <w:trPr>
          <w:trHeight w:val="244"/>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Title:</w:t>
            </w:r>
          </w:p>
        </w:tc>
        <w:tc>
          <w:tcPr>
            <w:tcW w:w="6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891"/>
        </w:trPr>
        <w:tc>
          <w:tcPr>
            <w:tcW w:w="4500" w:type="dxa"/>
            <w:vAlign w:val="bottom"/>
          </w:tcPr>
          <w:p>
            <w:pPr>
              <w:spacing w:after="0"/>
              <w:rPr>
                <w:sz w:val="24"/>
                <w:szCs w:val="24"/>
                <w:color w:val="auto"/>
              </w:rPr>
            </w:pPr>
          </w:p>
        </w:tc>
        <w:tc>
          <w:tcPr>
            <w:tcW w:w="67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tc>
      </w:tr>
      <w:tr>
        <w:trPr>
          <w:trHeight w:val="1274"/>
        </w:trPr>
        <w:tc>
          <w:tcPr>
            <w:tcW w:w="45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ind w:left="3760"/>
        <w:spacing w:after="0"/>
        <w:rPr>
          <w:sz w:val="20"/>
          <w:szCs w:val="20"/>
          <w:color w:val="auto"/>
        </w:rPr>
      </w:pPr>
      <w:r>
        <w:rPr>
          <w:rFonts w:ascii="Times New Roman" w:cs="Times New Roman" w:eastAsia="Times New Roman" w:hAnsi="Times New Roman"/>
          <w:sz w:val="19"/>
          <w:szCs w:val="19"/>
          <w:color w:val="auto"/>
        </w:rPr>
        <w:t>EGP 10749 LENEXA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1547 TRACY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5855 SAN JOSE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10824 DALLAS LP,</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partnership</w:t>
      </w:r>
    </w:p>
    <w:p>
      <w:pPr>
        <w:spacing w:after="0" w:line="19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 EGP 10824 DALLAS GENERAL PARTNER LLC,</w:t>
      </w:r>
    </w:p>
    <w:p>
      <w:pPr>
        <w:spacing w:after="0" w:line="1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its general partner</w:t>
      </w:r>
    </w:p>
    <w:p>
      <w:pPr>
        <w:spacing w:after="0" w:line="177" w:lineRule="exact"/>
        <w:rPr>
          <w:sz w:val="20"/>
          <w:szCs w:val="20"/>
          <w:color w:val="auto"/>
        </w:rPr>
      </w:pPr>
    </w:p>
    <w:tbl>
      <w:tblPr>
        <w:tblLayout w:type="fixed"/>
        <w:tblInd w:w="414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7"/>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6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130 BUFFALO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376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EGP 320 CLARKSBURG LLC,</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By:</w:t>
            </w:r>
          </w:p>
        </w:tc>
        <w:tc>
          <w:tcPr>
            <w:tcW w:w="6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4500" w:type="dxa"/>
            <w:vAlign w:val="bottom"/>
          </w:tcPr>
          <w:p>
            <w:pPr>
              <w:ind w:left="3760"/>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5360" w:type="dxa"/>
            <w:vAlign w:val="bottom"/>
          </w:tcPr>
          <w:p>
            <w:pPr>
              <w:spacing w:after="0"/>
              <w:rPr>
                <w:sz w:val="18"/>
                <w:szCs w:val="18"/>
                <w:color w:val="auto"/>
              </w:rPr>
            </w:pPr>
          </w:p>
        </w:tc>
      </w:tr>
      <w:tr>
        <w:trPr>
          <w:trHeight w:val="244"/>
        </w:trPr>
        <w:tc>
          <w:tcPr>
            <w:tcW w:w="4500" w:type="dxa"/>
            <w:vAlign w:val="bottom"/>
          </w:tcPr>
          <w:p>
            <w:pPr>
              <w:ind w:left="3760"/>
              <w:spacing w:after="0"/>
              <w:rPr>
                <w:sz w:val="20"/>
                <w:szCs w:val="20"/>
                <w:color w:val="auto"/>
              </w:rPr>
            </w:pPr>
            <w:r>
              <w:rPr>
                <w:rFonts w:ascii="Times New Roman" w:cs="Times New Roman" w:eastAsia="Times New Roman" w:hAnsi="Times New Roman"/>
                <w:sz w:val="19"/>
                <w:szCs w:val="19"/>
                <w:color w:val="auto"/>
              </w:rPr>
              <w:t>Title:</w:t>
            </w:r>
          </w:p>
        </w:tc>
        <w:tc>
          <w:tcPr>
            <w:tcW w:w="6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864"/>
        </w:trPr>
        <w:tc>
          <w:tcPr>
            <w:tcW w:w="4500" w:type="dxa"/>
            <w:vAlign w:val="bottom"/>
          </w:tcPr>
          <w:p>
            <w:pPr>
              <w:spacing w:after="0"/>
              <w:rPr>
                <w:sz w:val="24"/>
                <w:szCs w:val="24"/>
                <w:color w:val="auto"/>
              </w:rPr>
            </w:pPr>
          </w:p>
        </w:tc>
        <w:tc>
          <w:tcPr>
            <w:tcW w:w="67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tc>
      </w:tr>
      <w:tr>
        <w:trPr>
          <w:trHeight w:val="2219"/>
        </w:trPr>
        <w:tc>
          <w:tcPr>
            <w:tcW w:w="45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9" w:right="339" w:bottom="1440" w:gutter="0" w:footer="0" w:header="0"/>
        </w:sectPr>
      </w:pPr>
    </w:p>
    <w:bookmarkStart w:id="179" w:name="page180"/>
    <w:bookmarkEnd w:id="179"/>
    <w:p>
      <w:pPr>
        <w:ind w:left="2640"/>
        <w:spacing w:after="0"/>
        <w:rPr>
          <w:sz w:val="20"/>
          <w:szCs w:val="20"/>
          <w:color w:val="auto"/>
        </w:rPr>
      </w:pPr>
      <w:r>
        <w:rPr>
          <w:rFonts w:ascii="Times New Roman" w:cs="Times New Roman" w:eastAsia="Times New Roman" w:hAnsi="Times New Roman"/>
          <w:sz w:val="19"/>
          <w:szCs w:val="19"/>
          <w:color w:val="auto"/>
        </w:rPr>
        <w:t>EGP 320 PARKERSBURG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500 CHARLESTON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2300 DES PLAINES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3311 PITTSBURGH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85 CHARLESTON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7400 BAKERSFIELD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1771015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96" w:right="1440" w:bottom="1440" w:gutter="0" w:footer="0" w:header="0"/>
        </w:sectPr>
      </w:pPr>
    </w:p>
    <w:bookmarkStart w:id="180" w:name="page181"/>
    <w:bookmarkEnd w:id="180"/>
    <w:p>
      <w:pPr>
        <w:ind w:left="2640"/>
        <w:spacing w:after="0"/>
        <w:rPr>
          <w:sz w:val="20"/>
          <w:szCs w:val="20"/>
          <w:color w:val="auto"/>
        </w:rPr>
      </w:pPr>
      <w:r>
        <w:rPr>
          <w:rFonts w:ascii="Times New Roman" w:cs="Times New Roman" w:eastAsia="Times New Roman" w:hAnsi="Times New Roman"/>
          <w:sz w:val="18"/>
          <w:szCs w:val="18"/>
          <w:color w:val="auto"/>
        </w:rPr>
        <w:t>EGP 1440 UPPER MARLBORO LLC,</w:t>
      </w:r>
    </w:p>
    <w:p>
      <w:pPr>
        <w:spacing w:after="0" w:line="2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836 BIRMINGHAM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22624 STERLING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1201 PORTLAND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8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116 SUFFOLK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2901 NEW ORLEANS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1771015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53" w:right="1440" w:bottom="1440" w:gutter="0" w:footer="0" w:header="0"/>
        </w:sectPr>
      </w:pPr>
    </w:p>
    <w:bookmarkStart w:id="181" w:name="page182"/>
    <w:bookmarkEnd w:id="181"/>
    <w:p>
      <w:pPr>
        <w:ind w:left="2640"/>
        <w:spacing w:after="0"/>
        <w:rPr>
          <w:sz w:val="20"/>
          <w:szCs w:val="20"/>
          <w:color w:val="auto"/>
        </w:rPr>
      </w:pPr>
      <w:r>
        <w:rPr>
          <w:rFonts w:ascii="Times New Roman" w:cs="Times New Roman" w:eastAsia="Times New Roman" w:hAnsi="Times New Roman"/>
          <w:sz w:val="19"/>
          <w:szCs w:val="19"/>
          <w:color w:val="auto"/>
        </w:rPr>
        <w:t>EGP 11201 LENEXA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14101 TUSTIN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ORANGE VA LLC,</w:t>
      </w:r>
    </w:p>
    <w:p>
      <w:pPr>
        <w:spacing w:after="0" w:line="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ind w:left="2640"/>
        <w:spacing w:after="0" w:line="237" w:lineRule="auto"/>
        <w:rPr>
          <w:sz w:val="20"/>
          <w:szCs w:val="20"/>
          <w:color w:val="auto"/>
        </w:rPr>
      </w:pPr>
      <w:r>
        <w:rPr>
          <w:rFonts w:ascii="Times New Roman" w:cs="Times New Roman" w:eastAsia="Times New Roman" w:hAnsi="Times New Roman"/>
          <w:sz w:val="19"/>
          <w:szCs w:val="19"/>
          <w:color w:val="auto"/>
        </w:rPr>
        <w:t>By: EGP WEST HAVEN LLC, its sole member</w:t>
      </w:r>
    </w:p>
    <w:tbl>
      <w:tblPr>
        <w:tblLayout w:type="fixed"/>
        <w:tblInd w:w="3020" w:type="dxa"/>
        <w:tblCellMar>
          <w:top w:w="0" w:type="dxa"/>
          <w:left w:w="0" w:type="dxa"/>
          <w:bottom w:w="0" w:type="dxa"/>
          <w:right w:w="0" w:type="dxa"/>
        </w:tblCellMar>
      </w:tblPr>
      <w:tr>
        <w:trPr>
          <w:trHeight w:val="182"/>
        </w:trPr>
        <w:tc>
          <w:tcPr>
            <w:tcW w:w="660" w:type="dxa"/>
            <w:vAlign w:val="bottom"/>
          </w:tcPr>
          <w:p>
            <w:pPr>
              <w:spacing w:after="0" w:line="183" w:lineRule="exact"/>
              <w:rPr>
                <w:sz w:val="20"/>
                <w:szCs w:val="20"/>
                <w:color w:val="auto"/>
              </w:rPr>
            </w:pPr>
            <w:r>
              <w:rPr>
                <w:rFonts w:ascii="Times New Roman" w:cs="Times New Roman" w:eastAsia="Times New Roman" w:hAnsi="Times New Roman"/>
                <w:sz w:val="19"/>
                <w:szCs w:val="19"/>
                <w:color w:val="auto"/>
              </w:rPr>
              <w:t>By:</w:t>
            </w:r>
          </w:p>
        </w:tc>
        <w:tc>
          <w:tcPr>
            <w:tcW w:w="1380" w:type="dxa"/>
            <w:vAlign w:val="bottom"/>
            <w:tcBorders>
              <w:bottom w:val="single" w:sz="8" w:color="auto"/>
            </w:tcBorders>
          </w:tcPr>
          <w:p>
            <w:pPr>
              <w:spacing w:after="0" w:line="183" w:lineRule="exact"/>
              <w:rPr>
                <w:sz w:val="20"/>
                <w:szCs w:val="20"/>
                <w:color w:val="auto"/>
              </w:rPr>
            </w:pPr>
            <w:r>
              <w:rPr>
                <w:rFonts w:ascii="Times New Roman" w:cs="Times New Roman" w:eastAsia="Times New Roman" w:hAnsi="Times New Roman"/>
                <w:sz w:val="19"/>
                <w:szCs w:val="19"/>
                <w:color w:val="auto"/>
                <w:w w:val="97"/>
              </w:rPr>
              <w:t>/s/ Allison Marino</w:t>
            </w:r>
          </w:p>
        </w:tc>
        <w:tc>
          <w:tcPr>
            <w:tcW w:w="380" w:type="dxa"/>
            <w:vAlign w:val="bottom"/>
          </w:tcPr>
          <w:p>
            <w:pPr>
              <w:spacing w:after="0"/>
              <w:rPr>
                <w:sz w:val="15"/>
                <w:szCs w:val="15"/>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6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660 EL PASO LP,</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partnership</w:t>
      </w:r>
    </w:p>
    <w:p>
      <w:pPr>
        <w:spacing w:after="0" w:line="19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EGP 660 EL PASO GENERAL PARTNER LLC, its</w:t>
      </w:r>
    </w:p>
    <w:p>
      <w:pPr>
        <w:spacing w:after="0" w:line="2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general member</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4444 MOBILE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CHICO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9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56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9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648"/>
        </w:trPr>
        <w:tc>
          <w:tcPr>
            <w:tcW w:w="740" w:type="dxa"/>
            <w:vAlign w:val="bottom"/>
          </w:tcPr>
          <w:p>
            <w:pPr>
              <w:spacing w:after="0"/>
              <w:rPr>
                <w:sz w:val="24"/>
                <w:szCs w:val="24"/>
                <w:color w:val="auto"/>
              </w:rPr>
            </w:pPr>
          </w:p>
        </w:tc>
        <w:tc>
          <w:tcPr>
            <w:tcW w:w="1940" w:type="dxa"/>
            <w:vAlign w:val="bottom"/>
            <w:gridSpan w:val="2"/>
          </w:tcPr>
          <w:p>
            <w:pPr>
              <w:ind w:left="300"/>
              <w:spacing w:after="0"/>
              <w:rPr>
                <w:sz w:val="20"/>
                <w:szCs w:val="20"/>
                <w:color w:val="auto"/>
              </w:rPr>
            </w:pPr>
            <w:r>
              <w:rPr>
                <w:rFonts w:ascii="Times New Roman" w:cs="Times New Roman" w:eastAsia="Times New Roman" w:hAnsi="Times New Roman"/>
                <w:sz w:val="19"/>
                <w:szCs w:val="19"/>
                <w:color w:val="auto"/>
                <w:w w:val="98"/>
              </w:rPr>
              <w:t>[</w:t>
            </w:r>
            <w:r>
              <w:rPr>
                <w:rFonts w:ascii="Times New Roman" w:cs="Times New Roman" w:eastAsia="Times New Roman" w:hAnsi="Times New Roman"/>
                <w:sz w:val="19"/>
                <w:szCs w:val="19"/>
                <w:i w:val="1"/>
                <w:iCs w:val="1"/>
                <w:color w:val="auto"/>
                <w:w w:val="98"/>
              </w:rPr>
              <w:t>Signatures continue</w:t>
            </w:r>
            <w:r>
              <w:rPr>
                <w:rFonts w:ascii="Times New Roman" w:cs="Times New Roman" w:eastAsia="Times New Roman" w:hAnsi="Times New Roman"/>
                <w:sz w:val="19"/>
                <w:szCs w:val="19"/>
                <w:color w:val="auto"/>
                <w:w w:val="9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1751965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53" w:right="1440" w:bottom="1440" w:gutter="0" w:footer="0" w:header="0"/>
        </w:sectPr>
      </w:pPr>
    </w:p>
    <w:bookmarkStart w:id="182" w:name="page183"/>
    <w:bookmarkEnd w:id="182"/>
    <w:p>
      <w:pPr>
        <w:ind w:left="2640"/>
        <w:spacing w:after="0"/>
        <w:rPr>
          <w:sz w:val="20"/>
          <w:szCs w:val="20"/>
          <w:color w:val="auto"/>
        </w:rPr>
      </w:pPr>
      <w:r>
        <w:rPr>
          <w:rFonts w:ascii="Times New Roman" w:cs="Times New Roman" w:eastAsia="Times New Roman" w:hAnsi="Times New Roman"/>
          <w:sz w:val="19"/>
          <w:szCs w:val="19"/>
          <w:color w:val="auto"/>
        </w:rPr>
        <w:t>EGP 200 MOBILE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8"/>
              </w:rPr>
              <w:t>/s/ Allison Marino</w:t>
            </w:r>
          </w:p>
        </w:tc>
        <w:tc>
          <w:tcPr>
            <w:tcW w:w="380" w:type="dxa"/>
            <w:vAlign w:val="bottom"/>
          </w:tcPr>
          <w:p>
            <w:pPr>
              <w:spacing w:after="0"/>
              <w:rPr>
                <w:sz w:val="18"/>
                <w:szCs w:val="18"/>
                <w:color w:val="auto"/>
              </w:rPr>
            </w:pPr>
          </w:p>
        </w:tc>
      </w:tr>
      <w:tr>
        <w:trPr>
          <w:trHeight w:val="210"/>
        </w:trPr>
        <w:tc>
          <w:tcPr>
            <w:tcW w:w="66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78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r>
      <w:tr>
        <w:trPr>
          <w:trHeight w:val="244"/>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9"/>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EGP 4136 NORTH CHARLESTON LLC,</w:t>
      </w:r>
    </w:p>
    <w:p>
      <w:pPr>
        <w:spacing w:after="0" w:line="2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111 JACKSON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654 LOUISVILLE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717 LOUISVILLE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1501 KNOXVILLE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810895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96" w:right="1440" w:bottom="1440" w:gutter="0" w:footer="0" w:header="0"/>
        </w:sectPr>
      </w:pPr>
    </w:p>
    <w:bookmarkStart w:id="183" w:name="page184"/>
    <w:bookmarkEnd w:id="183"/>
    <w:p>
      <w:pPr>
        <w:ind w:left="2640"/>
        <w:spacing w:after="0"/>
        <w:rPr>
          <w:sz w:val="20"/>
          <w:szCs w:val="20"/>
          <w:color w:val="auto"/>
        </w:rPr>
      </w:pPr>
      <w:r>
        <w:rPr>
          <w:rFonts w:ascii="Times New Roman" w:cs="Times New Roman" w:eastAsia="Times New Roman" w:hAnsi="Times New Roman"/>
          <w:sz w:val="19"/>
          <w:szCs w:val="19"/>
          <w:color w:val="auto"/>
        </w:rPr>
        <w:t>EGP 318 SPRINGFIELD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7220 KANSAS CITY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DEA PLEASANTON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925 BROOKLYN HEIGHTS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WEST INDY VA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By: EGP 557 Brownsburg LLC, its sole member</w:t>
      </w:r>
    </w:p>
    <w:p>
      <w:pPr>
        <w:spacing w:after="0" w:line="20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17101 BROOMFIELD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1222375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69" w:right="1440" w:bottom="1440" w:gutter="0" w:footer="0" w:header="0"/>
        </w:sectPr>
      </w:pPr>
    </w:p>
    <w:bookmarkStart w:id="184" w:name="page185"/>
    <w:bookmarkEnd w:id="184"/>
    <w:p>
      <w:pPr>
        <w:ind w:left="2640"/>
        <w:spacing w:after="0"/>
        <w:rPr>
          <w:sz w:val="20"/>
          <w:szCs w:val="20"/>
          <w:color w:val="auto"/>
        </w:rPr>
      </w:pPr>
      <w:r>
        <w:rPr>
          <w:rFonts w:ascii="Times New Roman" w:cs="Times New Roman" w:eastAsia="Times New Roman" w:hAnsi="Times New Roman"/>
          <w:sz w:val="19"/>
          <w:szCs w:val="19"/>
          <w:color w:val="auto"/>
        </w:rPr>
        <w:t>EGP 5525 TAMPA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EGP 2146 COUNCIL BLUFFS LLC,</w:t>
      </w:r>
    </w:p>
    <w:p>
      <w:pPr>
        <w:spacing w:after="0" w:line="2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1065 ANAHEIM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2400 NEWPORT NEWS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1500 ATLANTA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555 GOLDEN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1359535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96" w:right="1440" w:bottom="1440" w:gutter="0" w:footer="0" w:header="0"/>
        </w:sectPr>
      </w:pPr>
    </w:p>
    <w:bookmarkStart w:id="185" w:name="page186"/>
    <w:bookmarkEnd w:id="185"/>
    <w:p>
      <w:pPr>
        <w:ind w:left="2640"/>
        <w:spacing w:after="0"/>
        <w:rPr>
          <w:sz w:val="20"/>
          <w:szCs w:val="20"/>
          <w:color w:val="auto"/>
        </w:rPr>
      </w:pPr>
      <w:r>
        <w:rPr>
          <w:rFonts w:ascii="Times New Roman" w:cs="Times New Roman" w:eastAsia="Times New Roman" w:hAnsi="Times New Roman"/>
          <w:sz w:val="19"/>
          <w:szCs w:val="19"/>
          <w:color w:val="auto"/>
        </w:rPr>
        <w:t>EGP 8222 IRVING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9495 ORLANDO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6643 ORLANDO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1973 OGDEN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188 WILLISTON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1200 WASHINGTON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1222375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96" w:right="1440" w:bottom="1440" w:gutter="0" w:footer="0" w:header="0"/>
        </w:sectPr>
      </w:pPr>
    </w:p>
    <w:bookmarkStart w:id="186" w:name="page187"/>
    <w:bookmarkEnd w:id="186"/>
    <w:p>
      <w:pPr>
        <w:ind w:left="2640"/>
        <w:spacing w:after="0"/>
        <w:rPr>
          <w:sz w:val="20"/>
          <w:szCs w:val="20"/>
          <w:color w:val="auto"/>
        </w:rPr>
      </w:pPr>
      <w:r>
        <w:rPr>
          <w:rFonts w:ascii="Times New Roman" w:cs="Times New Roman" w:eastAsia="Times New Roman" w:hAnsi="Times New Roman"/>
          <w:sz w:val="19"/>
          <w:szCs w:val="19"/>
          <w:color w:val="auto"/>
        </w:rPr>
        <w:t>EGP 850 LEES SUMMIT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CARY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17455 AURORA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4065 BEAVERCREEK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EGP 6060 GREENWOOD VILLAGE LLC,</w:t>
      </w:r>
    </w:p>
    <w:p>
      <w:pPr>
        <w:spacing w:after="0" w:line="2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1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EGP GLEN ALLEN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 Delaware limited liability company</w:t>
      </w:r>
    </w:p>
    <w:p>
      <w:pPr>
        <w:spacing w:after="0" w:line="177"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1102360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53" w:right="1440" w:bottom="1440" w:gutter="0" w:footer="0" w:header="0"/>
        </w:sectPr>
      </w:pPr>
    </w:p>
    <w:bookmarkStart w:id="187" w:name="page188"/>
    <w:bookmarkEnd w:id="187"/>
    <w:p>
      <w:pPr>
        <w:ind w:left="2640"/>
        <w:spacing w:after="0"/>
        <w:rPr>
          <w:sz w:val="20"/>
          <w:szCs w:val="20"/>
          <w:color w:val="auto"/>
        </w:rPr>
      </w:pPr>
      <w:r>
        <w:rPr>
          <w:rFonts w:ascii="Times New Roman" w:cs="Times New Roman" w:eastAsia="Times New Roman" w:hAnsi="Times New Roman"/>
          <w:sz w:val="19"/>
          <w:szCs w:val="19"/>
          <w:color w:val="auto"/>
        </w:rPr>
        <w:t>EGP 1777 ATLANTA LLC,</w:t>
      </w:r>
    </w:p>
    <w:p>
      <w:pPr>
        <w:spacing w:after="0" w:line="1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8" w:lineRule="exact"/>
        <w:rPr>
          <w:sz w:val="20"/>
          <w:szCs w:val="20"/>
          <w:color w:val="auto"/>
        </w:rPr>
      </w:pPr>
    </w:p>
    <w:tbl>
      <w:tblPr>
        <w:tblLayout w:type="fixed"/>
        <w:tblInd w:w="264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Allison Marino</w:t>
            </w:r>
          </w:p>
        </w:tc>
      </w:tr>
      <w:tr>
        <w:trPr>
          <w:trHeight w:val="210"/>
        </w:trPr>
        <w:tc>
          <w:tcPr>
            <w:tcW w:w="74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380" w:type="dxa"/>
            <w:vAlign w:val="bottom"/>
            <w:tcBorders>
              <w:top w:val="single" w:sz="8" w:color="auto"/>
            </w:tcBorders>
          </w:tcPr>
          <w:p>
            <w:pPr>
              <w:spacing w:after="0" w:line="210" w:lineRule="exact"/>
              <w:rPr>
                <w:sz w:val="20"/>
                <w:szCs w:val="20"/>
                <w:color w:val="auto"/>
              </w:rPr>
            </w:pPr>
            <w:r>
              <w:rPr>
                <w:rFonts w:ascii="Times New Roman" w:cs="Times New Roman" w:eastAsia="Times New Roman" w:hAnsi="Times New Roman"/>
                <w:sz w:val="19"/>
                <w:szCs w:val="19"/>
                <w:color w:val="auto"/>
              </w:rPr>
              <w:t>Allison Marino</w:t>
            </w:r>
          </w:p>
        </w:tc>
        <w:tc>
          <w:tcPr>
            <w:tcW w:w="380" w:type="dxa"/>
            <w:vAlign w:val="bottom"/>
          </w:tcPr>
          <w:p>
            <w:pPr>
              <w:spacing w:after="0"/>
              <w:rPr>
                <w:sz w:val="18"/>
                <w:szCs w:val="18"/>
                <w:color w:val="auto"/>
              </w:rPr>
            </w:pPr>
          </w:p>
        </w:tc>
      </w:t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810895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53" w:right="1440"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9"/>
          <w:szCs w:val="19"/>
          <w:color w:val="auto"/>
        </w:rPr>
        <w:t>The foregoing Amendment is hereby consented 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acknowledged and agreed as of the date hereof.</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PNC BANK, NATIONAL ASSOCIATION</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the Administrative Agent and a Lender</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/s/ Shari Reams-Henofer</w:t>
            </w:r>
          </w:p>
        </w:tc>
      </w:tr>
      <w:tr>
        <w:trPr>
          <w:trHeight w:val="210"/>
        </w:trPr>
        <w:tc>
          <w:tcPr>
            <w:tcW w:w="256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Name:  Shari Reams-Henofer</w:t>
            </w:r>
          </w:p>
        </w:tc>
      </w:tr>
      <w:tr>
        <w:trPr>
          <w:trHeight w:val="244"/>
        </w:trPr>
        <w:tc>
          <w:tcPr>
            <w:tcW w:w="6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8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right="369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810895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69" w:right="1440"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9"/>
          <w:szCs w:val="19"/>
          <w:b w:val="1"/>
          <w:bCs w:val="1"/>
          <w:color w:val="auto"/>
        </w:rPr>
        <w:t>U.S. BANK NATIONAL ASSOCIATION</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7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 Germaine Korhone</w:t>
            </w:r>
          </w:p>
        </w:tc>
      </w:tr>
      <w:tr>
        <w:trPr>
          <w:trHeight w:val="210"/>
        </w:trPr>
        <w:tc>
          <w:tcPr>
            <w:tcW w:w="68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680" w:type="dxa"/>
            <w:vAlign w:val="bottom"/>
            <w:tcBorders>
              <w:top w:val="single" w:sz="8" w:color="auto"/>
            </w:tcBorders>
          </w:tcPr>
          <w:p>
            <w:pPr>
              <w:ind w:left="100"/>
              <w:spacing w:after="0" w:line="210" w:lineRule="exact"/>
              <w:rPr>
                <w:sz w:val="20"/>
                <w:szCs w:val="20"/>
                <w:color w:val="auto"/>
              </w:rPr>
            </w:pPr>
            <w:r>
              <w:rPr>
                <w:rFonts w:ascii="Times New Roman" w:cs="Times New Roman" w:eastAsia="Times New Roman" w:hAnsi="Times New Roman"/>
                <w:sz w:val="19"/>
                <w:szCs w:val="19"/>
                <w:color w:val="auto"/>
              </w:rPr>
              <w:t>Germaine Korhone</w:t>
            </w:r>
          </w:p>
        </w:tc>
        <w:tc>
          <w:tcPr>
            <w:tcW w:w="60" w:type="dxa"/>
            <w:vAlign w:val="bottom"/>
          </w:tcPr>
          <w:p>
            <w:pPr>
              <w:spacing w:after="0"/>
              <w:rPr>
                <w:sz w:val="18"/>
                <w:szCs w:val="18"/>
                <w:color w:val="auto"/>
              </w:rPr>
            </w:pPr>
          </w:p>
        </w:tc>
      </w:tr>
      <w:tr>
        <w:trPr>
          <w:trHeight w:val="244"/>
        </w:trPr>
        <w:tc>
          <w:tcPr>
            <w:tcW w:w="6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w w:val="97"/>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ind w:right="369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continue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810895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65" w:right="1440"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9"/>
          <w:szCs w:val="19"/>
          <w:b w:val="1"/>
          <w:bCs w:val="1"/>
          <w:color w:val="auto"/>
        </w:rPr>
        <w:t>TRUIST BANK</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w w:val="99"/>
              </w:rPr>
              <w:t>/s/ C. Vincent Hughes, Jr.</w:t>
            </w:r>
          </w:p>
        </w:tc>
      </w:tr>
      <w:tr>
        <w:trPr>
          <w:trHeight w:val="210"/>
        </w:trPr>
        <w:tc>
          <w:tcPr>
            <w:tcW w:w="68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Name:</w:t>
            </w:r>
          </w:p>
        </w:tc>
        <w:tc>
          <w:tcPr>
            <w:tcW w:w="1960" w:type="dxa"/>
            <w:vAlign w:val="bottom"/>
          </w:tcPr>
          <w:p>
            <w:pPr>
              <w:ind w:left="100"/>
              <w:spacing w:after="0" w:line="210" w:lineRule="exact"/>
              <w:rPr>
                <w:sz w:val="20"/>
                <w:szCs w:val="20"/>
                <w:color w:val="auto"/>
              </w:rPr>
            </w:pPr>
            <w:r>
              <w:rPr>
                <w:rFonts w:ascii="Times New Roman" w:cs="Times New Roman" w:eastAsia="Times New Roman" w:hAnsi="Times New Roman"/>
                <w:sz w:val="19"/>
                <w:szCs w:val="19"/>
                <w:color w:val="auto"/>
              </w:rPr>
              <w:t>C. Vincent Hughes, Jr.</w:t>
            </w:r>
          </w:p>
        </w:tc>
      </w:tr>
      <w:tr>
        <w:trPr>
          <w:trHeight w:val="244"/>
        </w:trPr>
        <w:tc>
          <w:tcPr>
            <w:tcW w:w="680" w:type="dxa"/>
            <w:vAlign w:val="bottom"/>
          </w:tcPr>
          <w:p>
            <w:pPr>
              <w:spacing w:after="0"/>
              <w:rPr>
                <w:sz w:val="20"/>
                <w:szCs w:val="20"/>
                <w:color w:val="auto"/>
              </w:rPr>
            </w:pPr>
            <w:r>
              <w:rPr>
                <w:rFonts w:ascii="Times New Roman" w:cs="Times New Roman" w:eastAsia="Times New Roman" w:hAnsi="Times New Roman"/>
                <w:sz w:val="19"/>
                <w:szCs w:val="19"/>
                <w:color w:val="auto"/>
              </w:rPr>
              <w:t>Title:</w:t>
            </w:r>
          </w:p>
        </w:tc>
        <w:tc>
          <w:tcPr>
            <w:tcW w:w="19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Senior Vice President</w:t>
            </w:r>
          </w:p>
        </w:tc>
      </w:tr>
    </w:tbl>
    <w:p>
      <w:pPr>
        <w:spacing w:after="0" w:line="211" w:lineRule="exact"/>
        <w:rPr>
          <w:sz w:val="20"/>
          <w:szCs w:val="20"/>
          <w:color w:val="auto"/>
        </w:rPr>
      </w:pPr>
    </w:p>
    <w:p>
      <w:pPr>
        <w:jc w:val="right"/>
        <w:ind w:right="387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Signatures end</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810895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65" w:right="1440" w:bottom="1440" w:gutter="0" w:footer="0" w:header="0"/>
        </w:sectPr>
      </w:pPr>
    </w:p>
    <w:bookmarkStart w:id="191" w:name="page192"/>
    <w:bookmarkEnd w:id="191"/>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Annex A</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Amendments to Existing Loan Agreement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[see attached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948055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53" w:right="1440" w:bottom="1440" w:gutter="0" w:footer="0" w:header="0"/>
        </w:sectPr>
      </w:pPr>
    </w:p>
    <w:bookmarkStart w:id="192" w:name="page193"/>
    <w:bookmarkEnd w:id="192"/>
    <w:p>
      <w:pPr>
        <w:jc w:val="center"/>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CONFORMED COPY REFLECTING FIRST LETTER AMENDMENT DATED AS OF OCTOBER 28, 2016, SECOND AMENDMENT DATED AS OF JUNE 18, 2018, THIRD LETTER AMENDMENT DATED AS OF OCTOBER 3, 2018, FOURTH AMENDMENT DATED AS OF JULY 23, 2021, FIFTH AMENDMENT DATED AS OF NOVEMBER 29, 2022, SIXTH AMENDMENT DATED AS OF MAY 30, 2023, SEVENTH AMENDMENT DATED AS OF JANUARY 23, 2024, EIGHTH AMENDMENT DATED AS OF JULY 15, 2024, NINTH AMENDMENT DATED AS OF JANUARY 8, 2025 </w:t>
      </w:r>
      <w:r>
        <w:rPr>
          <w:rFonts w:ascii="Times New Roman" w:cs="Times New Roman" w:eastAsia="Times New Roman" w:hAnsi="Times New Roman"/>
          <w:sz w:val="19"/>
          <w:szCs w:val="19"/>
          <w:b w:val="1"/>
          <w:bCs w:val="1"/>
          <w:color w:val="FF0000"/>
          <w:strike w:val="1"/>
        </w:rPr>
        <w:t>AND</w:t>
      </w:r>
      <w:r>
        <w:rPr>
          <w:rFonts w:ascii="Times New Roman" w:cs="Times New Roman" w:eastAsia="Times New Roman" w:hAnsi="Times New Roman"/>
          <w:sz w:val="19"/>
          <w:szCs w:val="19"/>
          <w:b w:val="1"/>
          <w:bCs w:val="1"/>
          <w:u w:val="single" w:color="auto"/>
          <w:color w:val="0000FF"/>
        </w:rPr>
        <w:t>,</w:t>
      </w:r>
      <w:r>
        <w:rPr>
          <w:rFonts w:ascii="Times New Roman" w:cs="Times New Roman" w:eastAsia="Times New Roman" w:hAnsi="Times New Roman"/>
          <w:sz w:val="19"/>
          <w:szCs w:val="19"/>
          <w:b w:val="1"/>
          <w:bCs w:val="1"/>
          <w:color w:val="auto"/>
        </w:rPr>
        <w:t xml:space="preserve"> TENTH AMENDMENT DATED AS OF SEPTEMBER 30, 2025 </w:t>
      </w:r>
      <w:r>
        <w:rPr>
          <w:rFonts w:ascii="Times New Roman" w:cs="Times New Roman" w:eastAsia="Times New Roman" w:hAnsi="Times New Roman"/>
          <w:sz w:val="19"/>
          <w:szCs w:val="19"/>
          <w:b w:val="1"/>
          <w:bCs w:val="1"/>
          <w:u w:val="single" w:color="auto"/>
          <w:color w:val="0000FF"/>
        </w:rPr>
        <w:t>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0000FF"/>
        </w:rPr>
        <w:t>ELEVENTH AMENDMENT DATED AS OF JUNE 25, 2026</w:t>
      </w:r>
      <w:r>
        <w:rPr>
          <w:rFonts w:ascii="Times New Roman" w:cs="Times New Roman" w:eastAsia="Times New Roman" w:hAnsi="Times New Roman"/>
          <w:sz w:val="19"/>
          <w:szCs w:val="19"/>
          <w:b w:val="1"/>
          <w:bCs w:val="1"/>
          <w:color w:val="000000"/>
        </w:rPr>
        <w: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$100,000,000</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TERM LOAN AGREEMENT</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Dated as of September 29, 2016</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among</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EASTERLY GOVERNMENT PROPERTIES LP,</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as Borrower</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EASTERLY GOVERNMENT PROPERTIES, INC.,</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as Parent</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THE GUARANTORS NAMED HEREIN,</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as Guarantors</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THE INITIAL LENDERS NAMED HEREIN,</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as Initial Lenders</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PNC BANK, NATIONAL ASSOCIATION,</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as Administrative Agent</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U.S. BANK NATIONAL ASSOCIATION</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and</w:t>
      </w:r>
    </w:p>
    <w:p>
      <w:pPr>
        <w:jc w:val="center"/>
        <w:ind w:right="-19"/>
        <w:spacing w:after="0"/>
        <w:rPr>
          <w:sz w:val="20"/>
          <w:szCs w:val="20"/>
          <w:color w:val="auto"/>
        </w:rPr>
      </w:pPr>
      <w:r>
        <w:rPr>
          <w:rFonts w:ascii="Times New Roman" w:cs="Times New Roman" w:eastAsia="Times New Roman" w:hAnsi="Times New Roman"/>
          <w:sz w:val="19"/>
          <w:szCs w:val="19"/>
          <w:color w:val="auto"/>
        </w:rPr>
        <w:t>TRUIST BANK,</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as Syndication Agents</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and</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PNC CAPITAL MARKETS LLC,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U.S. BANK NATIONAL ASSOCIATION,</w:t>
      </w:r>
    </w:p>
    <w:p>
      <w:pPr>
        <w:jc w:val="center"/>
        <w:ind w:right="-19"/>
        <w:spacing w:after="0" w:line="237" w:lineRule="auto"/>
        <w:rPr>
          <w:sz w:val="20"/>
          <w:szCs w:val="20"/>
          <w:color w:val="auto"/>
        </w:rPr>
      </w:pPr>
      <w:r>
        <w:rPr>
          <w:rFonts w:ascii="Times New Roman" w:cs="Times New Roman" w:eastAsia="Times New Roman" w:hAnsi="Times New Roman"/>
          <w:sz w:val="19"/>
          <w:szCs w:val="19"/>
          <w:color w:val="auto"/>
        </w:rPr>
        <w:t>and</w:t>
      </w:r>
    </w:p>
    <w:p>
      <w:pPr>
        <w:jc w:val="center"/>
        <w:ind w:right="-19"/>
        <w:spacing w:after="0"/>
        <w:rPr>
          <w:sz w:val="20"/>
          <w:szCs w:val="20"/>
          <w:color w:val="auto"/>
        </w:rPr>
      </w:pPr>
      <w:r>
        <w:rPr>
          <w:rFonts w:ascii="Times New Roman" w:cs="Times New Roman" w:eastAsia="Times New Roman" w:hAnsi="Times New Roman"/>
          <w:sz w:val="19"/>
          <w:szCs w:val="19"/>
          <w:color w:val="auto"/>
        </w:rPr>
        <w:t>TRUIST SECURITIES, INC.,</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1031240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5" w:right="359" w:bottom="1440" w:gutter="0" w:footer="0" w:header="0"/>
        </w:sectPr>
      </w:pPr>
    </w:p>
    <w:bookmarkStart w:id="193" w:name="page194"/>
    <w:bookmarkEnd w:id="193"/>
    <w:p>
      <w:pPr>
        <w:ind w:left="4600"/>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21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9"/>
          <w:szCs w:val="19"/>
          <w:color w:val="auto"/>
        </w:rPr>
        <w:t>ARTICLE I</w:t>
      </w:r>
    </w:p>
    <w:p>
      <w:pPr>
        <w:spacing w:after="0" w:line="21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auto"/>
        </w:rPr>
        <w:t>DEFINITIONS AND ACCOUNTING TERMS</w:t>
      </w:r>
    </w:p>
    <w:p>
      <w:pPr>
        <w:spacing w:after="0" w:line="241" w:lineRule="exact"/>
        <w:rPr>
          <w:sz w:val="20"/>
          <w:szCs w:val="20"/>
          <w:color w:val="auto"/>
        </w:rPr>
      </w:pPr>
    </w:p>
    <w:p>
      <w:pPr>
        <w:spacing w:after="0"/>
        <w:tabs>
          <w:tab w:leader="none" w:pos="1420" w:val="left"/>
          <w:tab w:leader="dot" w:pos="8140" w:val="left"/>
        </w:tabs>
        <w:rPr>
          <w:sz w:val="20"/>
          <w:szCs w:val="20"/>
          <w:color w:val="auto"/>
        </w:rPr>
      </w:pPr>
      <w:r>
        <w:rPr>
          <w:rFonts w:ascii="Times New Roman" w:cs="Times New Roman" w:eastAsia="Times New Roman" w:hAnsi="Times New Roman"/>
          <w:sz w:val="19"/>
          <w:szCs w:val="19"/>
          <w:color w:val="auto"/>
        </w:rPr>
        <w:t>Section 1.01</w:t>
      </w:r>
      <w:r>
        <w:rPr>
          <w:sz w:val="20"/>
          <w:szCs w:val="20"/>
          <w:color w:val="auto"/>
        </w:rPr>
        <w:tab/>
      </w:r>
      <w:r>
        <w:rPr>
          <w:rFonts w:ascii="Times New Roman" w:cs="Times New Roman" w:eastAsia="Times New Roman" w:hAnsi="Times New Roman"/>
          <w:sz w:val="19"/>
          <w:szCs w:val="19"/>
          <w:color w:val="auto"/>
        </w:rPr>
        <w:t>Certain Defined Terms</w:t>
      </w:r>
      <w:r>
        <w:rPr>
          <w:sz w:val="20"/>
          <w:szCs w:val="20"/>
          <w:color w:val="auto"/>
        </w:rPr>
        <w:tab/>
      </w:r>
      <w:r>
        <w:rPr>
          <w:rFonts w:ascii="Times New Roman" w:cs="Times New Roman" w:eastAsia="Times New Roman" w:hAnsi="Times New Roman"/>
          <w:sz w:val="16"/>
          <w:szCs w:val="16"/>
          <w:color w:val="auto"/>
        </w:rPr>
        <w:t>1</w:t>
      </w:r>
    </w:p>
    <w:p>
      <w:pPr>
        <w:spacing w:after="0" w:line="26" w:lineRule="exact"/>
        <w:rPr>
          <w:sz w:val="20"/>
          <w:szCs w:val="20"/>
          <w:color w:val="auto"/>
        </w:rPr>
      </w:pPr>
    </w:p>
    <w:p>
      <w:pPr>
        <w:spacing w:after="0"/>
        <w:tabs>
          <w:tab w:leader="none" w:pos="1420" w:val="left"/>
          <w:tab w:leader="dot" w:pos="8000" w:val="left"/>
        </w:tabs>
        <w:rPr>
          <w:sz w:val="20"/>
          <w:szCs w:val="20"/>
          <w:color w:val="auto"/>
        </w:rPr>
      </w:pPr>
      <w:r>
        <w:rPr>
          <w:rFonts w:ascii="Times New Roman" w:cs="Times New Roman" w:eastAsia="Times New Roman" w:hAnsi="Times New Roman"/>
          <w:sz w:val="19"/>
          <w:szCs w:val="19"/>
          <w:color w:val="auto"/>
        </w:rPr>
        <w:t>Section 1.02</w:t>
      </w:r>
      <w:r>
        <w:rPr>
          <w:sz w:val="20"/>
          <w:szCs w:val="20"/>
          <w:color w:val="auto"/>
        </w:rPr>
        <w:tab/>
      </w:r>
      <w:r>
        <w:rPr>
          <w:rFonts w:ascii="Times New Roman" w:cs="Times New Roman" w:eastAsia="Times New Roman" w:hAnsi="Times New Roman"/>
          <w:sz w:val="19"/>
          <w:szCs w:val="19"/>
          <w:color w:val="auto"/>
        </w:rPr>
        <w:t>Computation of Time Periods; Other Definitional Provisions</w:t>
      </w:r>
      <w:r>
        <w:rPr>
          <w:sz w:val="20"/>
          <w:szCs w:val="20"/>
          <w:color w:val="auto"/>
        </w:rPr>
        <w:tab/>
      </w:r>
      <w:r>
        <w:rPr>
          <w:rFonts w:ascii="Times New Roman" w:cs="Times New Roman" w:eastAsia="Times New Roman" w:hAnsi="Times New Roman"/>
          <w:sz w:val="19"/>
          <w:szCs w:val="19"/>
          <w:color w:val="auto"/>
        </w:rPr>
        <w:t>34</w:t>
      </w:r>
    </w:p>
    <w:p>
      <w:pPr>
        <w:spacing w:after="0" w:line="25" w:lineRule="exact"/>
        <w:rPr>
          <w:sz w:val="20"/>
          <w:szCs w:val="20"/>
          <w:color w:val="auto"/>
        </w:rPr>
      </w:pPr>
    </w:p>
    <w:p>
      <w:pPr>
        <w:spacing w:after="0"/>
        <w:tabs>
          <w:tab w:leader="none" w:pos="1420" w:val="left"/>
          <w:tab w:leader="dot" w:pos="8000" w:val="left"/>
        </w:tabs>
        <w:rPr>
          <w:sz w:val="20"/>
          <w:szCs w:val="20"/>
          <w:color w:val="auto"/>
        </w:rPr>
      </w:pPr>
      <w:r>
        <w:rPr>
          <w:rFonts w:ascii="Times New Roman" w:cs="Times New Roman" w:eastAsia="Times New Roman" w:hAnsi="Times New Roman"/>
          <w:sz w:val="19"/>
          <w:szCs w:val="19"/>
          <w:color w:val="auto"/>
        </w:rPr>
        <w:t>Section 1.03</w:t>
      </w:r>
      <w:r>
        <w:rPr>
          <w:sz w:val="20"/>
          <w:szCs w:val="20"/>
          <w:color w:val="auto"/>
        </w:rPr>
        <w:tab/>
      </w:r>
      <w:r>
        <w:rPr>
          <w:rFonts w:ascii="Times New Roman" w:cs="Times New Roman" w:eastAsia="Times New Roman" w:hAnsi="Times New Roman"/>
          <w:sz w:val="19"/>
          <w:szCs w:val="19"/>
          <w:color w:val="auto"/>
        </w:rPr>
        <w:t>Accounting Terms</w:t>
      </w:r>
      <w:r>
        <w:rPr>
          <w:sz w:val="20"/>
          <w:szCs w:val="20"/>
          <w:color w:val="auto"/>
        </w:rPr>
        <w:tab/>
      </w:r>
      <w:r>
        <w:rPr>
          <w:rFonts w:ascii="Times New Roman" w:cs="Times New Roman" w:eastAsia="Times New Roman" w:hAnsi="Times New Roman"/>
          <w:sz w:val="18"/>
          <w:szCs w:val="18"/>
          <w:color w:val="auto"/>
        </w:rPr>
        <w:t>34</w:t>
      </w:r>
    </w:p>
    <w:p>
      <w:pPr>
        <w:spacing w:after="0" w:line="25" w:lineRule="exact"/>
        <w:rPr>
          <w:sz w:val="20"/>
          <w:szCs w:val="20"/>
          <w:color w:val="auto"/>
        </w:rPr>
      </w:pPr>
    </w:p>
    <w:p>
      <w:pPr>
        <w:spacing w:after="0"/>
        <w:tabs>
          <w:tab w:leader="none" w:pos="1420" w:val="left"/>
          <w:tab w:leader="dot" w:pos="8020" w:val="left"/>
        </w:tabs>
        <w:rPr>
          <w:sz w:val="20"/>
          <w:szCs w:val="20"/>
          <w:color w:val="auto"/>
        </w:rPr>
      </w:pPr>
      <w:r>
        <w:rPr>
          <w:rFonts w:ascii="Times New Roman" w:cs="Times New Roman" w:eastAsia="Times New Roman" w:hAnsi="Times New Roman"/>
          <w:sz w:val="19"/>
          <w:szCs w:val="19"/>
          <w:color w:val="auto"/>
        </w:rPr>
        <w:t>Section 1.04</w:t>
      </w:r>
      <w:r>
        <w:rPr>
          <w:sz w:val="20"/>
          <w:szCs w:val="20"/>
          <w:color w:val="auto"/>
        </w:rPr>
        <w:tab/>
      </w:r>
      <w:r>
        <w:rPr>
          <w:rFonts w:ascii="Times New Roman" w:cs="Times New Roman" w:eastAsia="Times New Roman" w:hAnsi="Times New Roman"/>
          <w:sz w:val="19"/>
          <w:szCs w:val="19"/>
          <w:color w:val="auto"/>
        </w:rPr>
        <w:t>Divisions</w:t>
      </w:r>
      <w:r>
        <w:rPr>
          <w:sz w:val="20"/>
          <w:szCs w:val="20"/>
          <w:color w:val="auto"/>
        </w:rPr>
        <w:tab/>
      </w:r>
      <w:r>
        <w:rPr>
          <w:rFonts w:ascii="Times New Roman" w:cs="Times New Roman" w:eastAsia="Times New Roman" w:hAnsi="Times New Roman"/>
          <w:sz w:val="18"/>
          <w:szCs w:val="18"/>
          <w:color w:val="auto"/>
        </w:rPr>
        <w:t>34</w:t>
      </w:r>
    </w:p>
    <w:p>
      <w:pPr>
        <w:spacing w:after="0" w:line="1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9"/>
          <w:szCs w:val="19"/>
          <w:color w:val="auto"/>
        </w:rPr>
        <w:t>ARTICLE II</w:t>
      </w:r>
    </w:p>
    <w:p>
      <w:pPr>
        <w:spacing w:after="0" w:line="19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9"/>
          <w:szCs w:val="19"/>
          <w:color w:val="auto"/>
        </w:rPr>
        <w:t>AMOUNTS AND TERMS OF THE ADVANCES</w:t>
      </w:r>
    </w:p>
    <w:p>
      <w:pPr>
        <w:spacing w:after="0" w:line="237" w:lineRule="exact"/>
        <w:rPr>
          <w:sz w:val="20"/>
          <w:szCs w:val="20"/>
          <w:color w:val="auto"/>
        </w:rPr>
      </w:pPr>
    </w:p>
    <w:p>
      <w:pPr>
        <w:spacing w:after="0"/>
        <w:tabs>
          <w:tab w:leader="none" w:pos="1420" w:val="left"/>
          <w:tab w:leader="dot" w:pos="7800" w:val="left"/>
        </w:tabs>
        <w:rPr>
          <w:sz w:val="20"/>
          <w:szCs w:val="20"/>
          <w:color w:val="auto"/>
        </w:rPr>
      </w:pPr>
      <w:r>
        <w:rPr>
          <w:rFonts w:ascii="Times New Roman" w:cs="Times New Roman" w:eastAsia="Times New Roman" w:hAnsi="Times New Roman"/>
          <w:sz w:val="19"/>
          <w:szCs w:val="19"/>
          <w:color w:val="auto"/>
        </w:rPr>
        <w:t>Section 2.01</w:t>
      </w:r>
      <w:r>
        <w:rPr>
          <w:sz w:val="20"/>
          <w:szCs w:val="20"/>
          <w:color w:val="auto"/>
        </w:rPr>
        <w:tab/>
      </w:r>
      <w:r>
        <w:rPr>
          <w:rFonts w:ascii="Times New Roman" w:cs="Times New Roman" w:eastAsia="Times New Roman" w:hAnsi="Times New Roman"/>
          <w:sz w:val="19"/>
          <w:szCs w:val="19"/>
          <w:color w:val="auto"/>
        </w:rPr>
        <w:t>The Advances</w:t>
      </w:r>
      <w:r>
        <w:rPr>
          <w:sz w:val="20"/>
          <w:szCs w:val="20"/>
          <w:color w:val="auto"/>
        </w:rPr>
        <w:tab/>
      </w:r>
      <w:r>
        <w:rPr>
          <w:rFonts w:ascii="Times New Roman" w:cs="Times New Roman" w:eastAsia="Times New Roman" w:hAnsi="Times New Roman"/>
          <w:sz w:val="18"/>
          <w:szCs w:val="18"/>
          <w:color w:val="FF0000"/>
          <w:strike w:val="1"/>
        </w:rPr>
        <w:t>35</w:t>
      </w:r>
      <w:r>
        <w:rPr>
          <w:rFonts w:ascii="Times New Roman" w:cs="Times New Roman" w:eastAsia="Times New Roman" w:hAnsi="Times New Roman"/>
          <w:sz w:val="18"/>
          <w:szCs w:val="18"/>
          <w:b w:val="1"/>
          <w:bCs w:val="1"/>
          <w:u w:val="single" w:color="auto"/>
          <w:color w:val="0000FF"/>
          <w:strike w:val="1"/>
        </w:rPr>
        <w:t>34</w:t>
      </w:r>
    </w:p>
    <w:p>
      <w:pPr>
        <w:spacing w:after="0" w:line="30" w:lineRule="exact"/>
        <w:rPr>
          <w:sz w:val="20"/>
          <w:szCs w:val="20"/>
          <w:color w:val="auto"/>
        </w:rPr>
      </w:pPr>
    </w:p>
    <w:p>
      <w:pPr>
        <w:spacing w:after="0"/>
        <w:tabs>
          <w:tab w:leader="none" w:pos="1420" w:val="left"/>
          <w:tab w:leader="dot" w:pos="8000" w:val="left"/>
        </w:tabs>
        <w:rPr>
          <w:sz w:val="20"/>
          <w:szCs w:val="20"/>
          <w:color w:val="auto"/>
        </w:rPr>
      </w:pPr>
      <w:r>
        <w:rPr>
          <w:rFonts w:ascii="Times New Roman" w:cs="Times New Roman" w:eastAsia="Times New Roman" w:hAnsi="Times New Roman"/>
          <w:sz w:val="19"/>
          <w:szCs w:val="19"/>
          <w:color w:val="auto"/>
        </w:rPr>
        <w:t>Section 2.02</w:t>
      </w:r>
      <w:r>
        <w:rPr>
          <w:sz w:val="20"/>
          <w:szCs w:val="20"/>
          <w:color w:val="auto"/>
        </w:rPr>
        <w:tab/>
      </w:r>
      <w:r>
        <w:rPr>
          <w:rFonts w:ascii="Times New Roman" w:cs="Times New Roman" w:eastAsia="Times New Roman" w:hAnsi="Times New Roman"/>
          <w:sz w:val="19"/>
          <w:szCs w:val="19"/>
          <w:color w:val="auto"/>
        </w:rPr>
        <w:t>Making the Advances</w:t>
      </w:r>
      <w:r>
        <w:rPr>
          <w:sz w:val="20"/>
          <w:szCs w:val="20"/>
          <w:color w:val="auto"/>
        </w:rPr>
        <w:tab/>
      </w:r>
      <w:r>
        <w:rPr>
          <w:rFonts w:ascii="Times New Roman" w:cs="Times New Roman" w:eastAsia="Times New Roman" w:hAnsi="Times New Roman"/>
          <w:sz w:val="18"/>
          <w:szCs w:val="18"/>
          <w:color w:val="auto"/>
        </w:rPr>
        <w:t>35</w:t>
      </w:r>
    </w:p>
    <w:p>
      <w:pPr>
        <w:spacing w:after="0" w:line="25" w:lineRule="exact"/>
        <w:rPr>
          <w:sz w:val="20"/>
          <w:szCs w:val="20"/>
          <w:color w:val="auto"/>
        </w:rPr>
      </w:pPr>
    </w:p>
    <w:p>
      <w:pPr>
        <w:spacing w:after="0"/>
        <w:tabs>
          <w:tab w:leader="none" w:pos="1420" w:val="left"/>
          <w:tab w:leader="dot" w:pos="8020" w:val="left"/>
        </w:tabs>
        <w:rPr>
          <w:sz w:val="20"/>
          <w:szCs w:val="20"/>
          <w:color w:val="auto"/>
        </w:rPr>
      </w:pPr>
      <w:r>
        <w:rPr>
          <w:rFonts w:ascii="Times New Roman" w:cs="Times New Roman" w:eastAsia="Times New Roman" w:hAnsi="Times New Roman"/>
          <w:sz w:val="19"/>
          <w:szCs w:val="19"/>
          <w:color w:val="auto"/>
        </w:rPr>
        <w:t>Section 2.03</w:t>
      </w:r>
      <w:r>
        <w:rPr>
          <w:sz w:val="20"/>
          <w:szCs w:val="20"/>
          <w:color w:val="auto"/>
        </w:rPr>
        <w:tab/>
      </w:r>
      <w:r>
        <w:rPr>
          <w:rFonts w:ascii="Times New Roman" w:cs="Times New Roman" w:eastAsia="Times New Roman" w:hAnsi="Times New Roman"/>
          <w:sz w:val="19"/>
          <w:szCs w:val="19"/>
          <w:color w:val="auto"/>
        </w:rPr>
        <w:t>[Reserved]</w:t>
      </w:r>
      <w:r>
        <w:rPr>
          <w:sz w:val="20"/>
          <w:szCs w:val="20"/>
          <w:color w:val="auto"/>
        </w:rPr>
        <w:tab/>
      </w:r>
      <w:r>
        <w:rPr>
          <w:rFonts w:ascii="Times New Roman" w:cs="Times New Roman" w:eastAsia="Times New Roman" w:hAnsi="Times New Roman"/>
          <w:sz w:val="19"/>
          <w:szCs w:val="19"/>
          <w:color w:val="auto"/>
        </w:rPr>
        <w:t>36</w:t>
      </w:r>
    </w:p>
    <w:p>
      <w:pPr>
        <w:spacing w:after="0" w:line="25" w:lineRule="exact"/>
        <w:rPr>
          <w:sz w:val="20"/>
          <w:szCs w:val="20"/>
          <w:color w:val="auto"/>
        </w:rPr>
      </w:pPr>
    </w:p>
    <w:p>
      <w:pPr>
        <w:spacing w:after="0"/>
        <w:tabs>
          <w:tab w:leader="none" w:pos="1420" w:val="left"/>
          <w:tab w:leader="dot" w:pos="8020" w:val="left"/>
        </w:tabs>
        <w:rPr>
          <w:sz w:val="20"/>
          <w:szCs w:val="20"/>
          <w:color w:val="auto"/>
        </w:rPr>
      </w:pPr>
      <w:r>
        <w:rPr>
          <w:rFonts w:ascii="Times New Roman" w:cs="Times New Roman" w:eastAsia="Times New Roman" w:hAnsi="Times New Roman"/>
          <w:sz w:val="19"/>
          <w:szCs w:val="19"/>
          <w:color w:val="auto"/>
        </w:rPr>
        <w:t>Section 2.04</w:t>
      </w:r>
      <w:r>
        <w:rPr>
          <w:sz w:val="20"/>
          <w:szCs w:val="20"/>
          <w:color w:val="auto"/>
        </w:rPr>
        <w:tab/>
      </w:r>
      <w:r>
        <w:rPr>
          <w:rFonts w:ascii="Times New Roman" w:cs="Times New Roman" w:eastAsia="Times New Roman" w:hAnsi="Times New Roman"/>
          <w:sz w:val="19"/>
          <w:szCs w:val="19"/>
          <w:color w:val="auto"/>
        </w:rPr>
        <w:t>Repayment of Advances</w:t>
      </w:r>
      <w:r>
        <w:rPr>
          <w:sz w:val="20"/>
          <w:szCs w:val="20"/>
          <w:color w:val="auto"/>
        </w:rPr>
        <w:tab/>
      </w:r>
      <w:r>
        <w:rPr>
          <w:rFonts w:ascii="Times New Roman" w:cs="Times New Roman" w:eastAsia="Times New Roman" w:hAnsi="Times New Roman"/>
          <w:sz w:val="18"/>
          <w:szCs w:val="18"/>
          <w:color w:val="auto"/>
        </w:rPr>
        <w:t>36</w:t>
      </w:r>
    </w:p>
    <w:p>
      <w:pPr>
        <w:spacing w:after="0" w:line="25" w:lineRule="exact"/>
        <w:rPr>
          <w:sz w:val="20"/>
          <w:szCs w:val="20"/>
          <w:color w:val="auto"/>
        </w:rPr>
      </w:pPr>
    </w:p>
    <w:p>
      <w:pPr>
        <w:spacing w:after="0"/>
        <w:tabs>
          <w:tab w:leader="none" w:pos="1420" w:val="left"/>
          <w:tab w:leader="dot" w:pos="8020" w:val="left"/>
        </w:tabs>
        <w:rPr>
          <w:sz w:val="20"/>
          <w:szCs w:val="20"/>
          <w:color w:val="auto"/>
        </w:rPr>
      </w:pPr>
      <w:r>
        <w:rPr>
          <w:rFonts w:ascii="Times New Roman" w:cs="Times New Roman" w:eastAsia="Times New Roman" w:hAnsi="Times New Roman"/>
          <w:sz w:val="19"/>
          <w:szCs w:val="19"/>
          <w:color w:val="auto"/>
        </w:rPr>
        <w:t>Section 2.05</w:t>
      </w:r>
      <w:r>
        <w:rPr>
          <w:sz w:val="20"/>
          <w:szCs w:val="20"/>
          <w:color w:val="auto"/>
        </w:rPr>
        <w:tab/>
      </w:r>
      <w:r>
        <w:rPr>
          <w:rFonts w:ascii="Times New Roman" w:cs="Times New Roman" w:eastAsia="Times New Roman" w:hAnsi="Times New Roman"/>
          <w:sz w:val="19"/>
          <w:szCs w:val="19"/>
          <w:color w:val="auto"/>
        </w:rPr>
        <w:t>Termination or Reduction of the Commitments</w:t>
      </w:r>
      <w:r>
        <w:rPr>
          <w:sz w:val="20"/>
          <w:szCs w:val="20"/>
          <w:color w:val="auto"/>
        </w:rPr>
        <w:tab/>
      </w:r>
      <w:r>
        <w:rPr>
          <w:rFonts w:ascii="Times New Roman" w:cs="Times New Roman" w:eastAsia="Times New Roman" w:hAnsi="Times New Roman"/>
          <w:sz w:val="18"/>
          <w:szCs w:val="18"/>
          <w:color w:val="auto"/>
        </w:rPr>
        <w:t>36</w:t>
      </w:r>
    </w:p>
    <w:p>
      <w:pPr>
        <w:spacing w:after="0" w:line="25" w:lineRule="exact"/>
        <w:rPr>
          <w:sz w:val="20"/>
          <w:szCs w:val="20"/>
          <w:color w:val="auto"/>
        </w:rPr>
      </w:pPr>
    </w:p>
    <w:p>
      <w:pPr>
        <w:spacing w:after="0"/>
        <w:tabs>
          <w:tab w:leader="none" w:pos="1420" w:val="left"/>
          <w:tab w:leader="dot" w:pos="8020" w:val="left"/>
        </w:tabs>
        <w:rPr>
          <w:sz w:val="20"/>
          <w:szCs w:val="20"/>
          <w:color w:val="auto"/>
        </w:rPr>
      </w:pPr>
      <w:r>
        <w:rPr>
          <w:rFonts w:ascii="Times New Roman" w:cs="Times New Roman" w:eastAsia="Times New Roman" w:hAnsi="Times New Roman"/>
          <w:sz w:val="19"/>
          <w:szCs w:val="19"/>
          <w:color w:val="auto"/>
        </w:rPr>
        <w:t>Section 2.06</w:t>
      </w:r>
      <w:r>
        <w:rPr>
          <w:sz w:val="20"/>
          <w:szCs w:val="20"/>
          <w:color w:val="auto"/>
        </w:rPr>
        <w:tab/>
      </w:r>
      <w:r>
        <w:rPr>
          <w:rFonts w:ascii="Times New Roman" w:cs="Times New Roman" w:eastAsia="Times New Roman" w:hAnsi="Times New Roman"/>
          <w:sz w:val="19"/>
          <w:szCs w:val="19"/>
          <w:color w:val="auto"/>
        </w:rPr>
        <w:t>Prepayments</w:t>
      </w:r>
      <w:r>
        <w:rPr>
          <w:sz w:val="20"/>
          <w:szCs w:val="20"/>
          <w:color w:val="auto"/>
        </w:rPr>
        <w:tab/>
      </w:r>
      <w:r>
        <w:rPr>
          <w:rFonts w:ascii="Times New Roman" w:cs="Times New Roman" w:eastAsia="Times New Roman" w:hAnsi="Times New Roman"/>
          <w:sz w:val="19"/>
          <w:szCs w:val="19"/>
          <w:color w:val="auto"/>
        </w:rPr>
        <w:t>36</w:t>
      </w:r>
    </w:p>
    <w:p>
      <w:pPr>
        <w:spacing w:after="0" w:line="25" w:lineRule="exact"/>
        <w:rPr>
          <w:sz w:val="20"/>
          <w:szCs w:val="20"/>
          <w:color w:val="auto"/>
        </w:rPr>
      </w:pPr>
    </w:p>
    <w:p>
      <w:pPr>
        <w:spacing w:after="0"/>
        <w:tabs>
          <w:tab w:leader="none" w:pos="1420" w:val="left"/>
          <w:tab w:leader="dot" w:pos="8040" w:val="left"/>
        </w:tabs>
        <w:rPr>
          <w:sz w:val="20"/>
          <w:szCs w:val="20"/>
          <w:color w:val="auto"/>
        </w:rPr>
      </w:pPr>
      <w:r>
        <w:rPr>
          <w:rFonts w:ascii="Times New Roman" w:cs="Times New Roman" w:eastAsia="Times New Roman" w:hAnsi="Times New Roman"/>
          <w:sz w:val="19"/>
          <w:szCs w:val="19"/>
          <w:color w:val="auto"/>
        </w:rPr>
        <w:t>Section 2.07</w:t>
      </w:r>
      <w:r>
        <w:rPr>
          <w:sz w:val="20"/>
          <w:szCs w:val="20"/>
          <w:color w:val="auto"/>
        </w:rPr>
        <w:tab/>
      </w:r>
      <w:r>
        <w:rPr>
          <w:rFonts w:ascii="Times New Roman" w:cs="Times New Roman" w:eastAsia="Times New Roman" w:hAnsi="Times New Roman"/>
          <w:sz w:val="19"/>
          <w:szCs w:val="19"/>
          <w:color w:val="auto"/>
        </w:rPr>
        <w:t>Interest</w:t>
      </w:r>
      <w:r>
        <w:rPr>
          <w:sz w:val="20"/>
          <w:szCs w:val="20"/>
          <w:color w:val="auto"/>
        </w:rPr>
        <w:tab/>
      </w:r>
      <w:r>
        <w:rPr>
          <w:rFonts w:ascii="Times New Roman" w:cs="Times New Roman" w:eastAsia="Times New Roman" w:hAnsi="Times New Roman"/>
          <w:sz w:val="19"/>
          <w:szCs w:val="19"/>
          <w:color w:val="auto"/>
        </w:rPr>
        <w:t>37</w:t>
      </w:r>
    </w:p>
    <w:p>
      <w:pPr>
        <w:spacing w:after="0" w:line="25" w:lineRule="exact"/>
        <w:rPr>
          <w:sz w:val="20"/>
          <w:szCs w:val="20"/>
          <w:color w:val="auto"/>
        </w:rPr>
      </w:pPr>
    </w:p>
    <w:p>
      <w:pPr>
        <w:spacing w:after="0"/>
        <w:tabs>
          <w:tab w:leader="none" w:pos="1420" w:val="left"/>
          <w:tab w:leader="dot" w:pos="8020" w:val="left"/>
        </w:tabs>
        <w:rPr>
          <w:sz w:val="20"/>
          <w:szCs w:val="20"/>
          <w:color w:val="auto"/>
        </w:rPr>
      </w:pPr>
      <w:r>
        <w:rPr>
          <w:rFonts w:ascii="Times New Roman" w:cs="Times New Roman" w:eastAsia="Times New Roman" w:hAnsi="Times New Roman"/>
          <w:sz w:val="19"/>
          <w:szCs w:val="19"/>
          <w:color w:val="auto"/>
        </w:rPr>
        <w:t>Section 2.08</w:t>
      </w:r>
      <w:r>
        <w:rPr>
          <w:sz w:val="20"/>
          <w:szCs w:val="20"/>
          <w:color w:val="auto"/>
        </w:rPr>
        <w:tab/>
      </w:r>
      <w:r>
        <w:rPr>
          <w:rFonts w:ascii="Times New Roman" w:cs="Times New Roman" w:eastAsia="Times New Roman" w:hAnsi="Times New Roman"/>
          <w:sz w:val="19"/>
          <w:szCs w:val="19"/>
          <w:color w:val="auto"/>
        </w:rPr>
        <w:t>Fees</w:t>
      </w:r>
      <w:r>
        <w:rPr>
          <w:sz w:val="20"/>
          <w:szCs w:val="20"/>
          <w:color w:val="auto"/>
        </w:rPr>
        <w:tab/>
      </w:r>
      <w:r>
        <w:rPr>
          <w:rFonts w:ascii="Times New Roman" w:cs="Times New Roman" w:eastAsia="Times New Roman" w:hAnsi="Times New Roman"/>
          <w:sz w:val="18"/>
          <w:szCs w:val="18"/>
          <w:color w:val="auto"/>
        </w:rPr>
        <w:t>40</w:t>
      </w:r>
    </w:p>
    <w:p>
      <w:pPr>
        <w:spacing w:after="0" w:line="25" w:lineRule="exact"/>
        <w:rPr>
          <w:sz w:val="20"/>
          <w:szCs w:val="20"/>
          <w:color w:val="auto"/>
        </w:rPr>
      </w:pPr>
    </w:p>
    <w:p>
      <w:pPr>
        <w:spacing w:after="0"/>
        <w:tabs>
          <w:tab w:leader="none" w:pos="1420" w:val="left"/>
          <w:tab w:leader="dot" w:pos="7840" w:val="left"/>
        </w:tabs>
        <w:rPr>
          <w:sz w:val="20"/>
          <w:szCs w:val="20"/>
          <w:color w:val="auto"/>
        </w:rPr>
      </w:pPr>
      <w:r>
        <w:rPr>
          <w:rFonts w:ascii="Times New Roman" w:cs="Times New Roman" w:eastAsia="Times New Roman" w:hAnsi="Times New Roman"/>
          <w:sz w:val="19"/>
          <w:szCs w:val="19"/>
          <w:color w:val="auto"/>
        </w:rPr>
        <w:t>Section 2.09</w:t>
      </w:r>
      <w:r>
        <w:rPr>
          <w:sz w:val="20"/>
          <w:szCs w:val="20"/>
          <w:color w:val="auto"/>
        </w:rPr>
        <w:tab/>
      </w:r>
      <w:r>
        <w:rPr>
          <w:rFonts w:ascii="Times New Roman" w:cs="Times New Roman" w:eastAsia="Times New Roman" w:hAnsi="Times New Roman"/>
          <w:sz w:val="19"/>
          <w:szCs w:val="19"/>
          <w:color w:val="auto"/>
        </w:rPr>
        <w:t>Conversion of Advances</w:t>
      </w:r>
      <w:r>
        <w:rPr>
          <w:sz w:val="20"/>
          <w:szCs w:val="20"/>
          <w:color w:val="auto"/>
        </w:rPr>
        <w:tab/>
      </w:r>
      <w:r>
        <w:rPr>
          <w:rFonts w:ascii="Times New Roman" w:cs="Times New Roman" w:eastAsia="Times New Roman" w:hAnsi="Times New Roman"/>
          <w:sz w:val="18"/>
          <w:szCs w:val="18"/>
          <w:color w:val="FF0000"/>
          <w:strike w:val="1"/>
        </w:rPr>
        <w:t>41</w:t>
      </w:r>
      <w:r>
        <w:rPr>
          <w:rFonts w:ascii="Times New Roman" w:cs="Times New Roman" w:eastAsia="Times New Roman" w:hAnsi="Times New Roman"/>
          <w:sz w:val="18"/>
          <w:szCs w:val="18"/>
          <w:b w:val="1"/>
          <w:bCs w:val="1"/>
          <w:u w:val="single" w:color="auto"/>
          <w:color w:val="0000FF"/>
          <w:strike w:val="1"/>
        </w:rPr>
        <w:t>40</w:t>
      </w:r>
    </w:p>
    <w:p>
      <w:pPr>
        <w:spacing w:after="0" w:line="25" w:lineRule="exact"/>
        <w:rPr>
          <w:sz w:val="20"/>
          <w:szCs w:val="20"/>
          <w:color w:val="auto"/>
        </w:rPr>
      </w:pPr>
    </w:p>
    <w:p>
      <w:pPr>
        <w:spacing w:after="0"/>
        <w:tabs>
          <w:tab w:leader="none" w:pos="1420" w:val="left"/>
          <w:tab w:leader="dot" w:pos="8020" w:val="left"/>
        </w:tabs>
        <w:rPr>
          <w:sz w:val="20"/>
          <w:szCs w:val="20"/>
          <w:color w:val="auto"/>
        </w:rPr>
      </w:pPr>
      <w:r>
        <w:rPr>
          <w:rFonts w:ascii="Times New Roman" w:cs="Times New Roman" w:eastAsia="Times New Roman" w:hAnsi="Times New Roman"/>
          <w:sz w:val="19"/>
          <w:szCs w:val="19"/>
          <w:color w:val="auto"/>
        </w:rPr>
        <w:t>Section 2.10</w:t>
      </w:r>
      <w:r>
        <w:rPr>
          <w:sz w:val="20"/>
          <w:szCs w:val="20"/>
          <w:color w:val="auto"/>
        </w:rPr>
        <w:tab/>
      </w:r>
      <w:r>
        <w:rPr>
          <w:rFonts w:ascii="Times New Roman" w:cs="Times New Roman" w:eastAsia="Times New Roman" w:hAnsi="Times New Roman"/>
          <w:sz w:val="19"/>
          <w:szCs w:val="19"/>
          <w:color w:val="auto"/>
        </w:rPr>
        <w:t>Increased Costs, Etc</w:t>
      </w:r>
      <w:r>
        <w:rPr>
          <w:sz w:val="20"/>
          <w:szCs w:val="20"/>
          <w:color w:val="auto"/>
        </w:rPr>
        <w:tab/>
      </w:r>
      <w:r>
        <w:rPr>
          <w:rFonts w:ascii="Times New Roman" w:cs="Times New Roman" w:eastAsia="Times New Roman" w:hAnsi="Times New Roman"/>
          <w:sz w:val="19"/>
          <w:szCs w:val="19"/>
          <w:color w:val="auto"/>
        </w:rPr>
        <w:t>41</w:t>
      </w:r>
    </w:p>
    <w:p>
      <w:pPr>
        <w:spacing w:after="0" w:line="25" w:lineRule="exact"/>
        <w:rPr>
          <w:sz w:val="20"/>
          <w:szCs w:val="20"/>
          <w:color w:val="auto"/>
        </w:rPr>
      </w:pPr>
    </w:p>
    <w:p>
      <w:pPr>
        <w:spacing w:after="0"/>
        <w:tabs>
          <w:tab w:leader="none" w:pos="1420" w:val="left"/>
          <w:tab w:leader="dot" w:pos="8940" w:val="left"/>
        </w:tabs>
        <w:rPr>
          <w:sz w:val="20"/>
          <w:szCs w:val="20"/>
          <w:color w:val="auto"/>
        </w:rPr>
      </w:pPr>
      <w:r>
        <w:rPr>
          <w:rFonts w:ascii="Times New Roman" w:cs="Times New Roman" w:eastAsia="Times New Roman" w:hAnsi="Times New Roman"/>
          <w:sz w:val="19"/>
          <w:szCs w:val="19"/>
          <w:color w:val="auto"/>
        </w:rPr>
        <w:t>Section 2.11</w:t>
      </w:r>
      <w:r>
        <w:rPr>
          <w:sz w:val="20"/>
          <w:szCs w:val="20"/>
          <w:color w:val="auto"/>
        </w:rPr>
        <w:tab/>
      </w:r>
      <w:r>
        <w:rPr>
          <w:rFonts w:ascii="Times New Roman" w:cs="Times New Roman" w:eastAsia="Times New Roman" w:hAnsi="Times New Roman"/>
          <w:sz w:val="19"/>
          <w:szCs w:val="19"/>
          <w:color w:val="auto"/>
        </w:rPr>
        <w:t>Payments and Computations</w:t>
      </w:r>
      <w:r>
        <w:rPr>
          <w:sz w:val="20"/>
          <w:szCs w:val="20"/>
          <w:color w:val="auto"/>
        </w:rPr>
        <w:tab/>
      </w:r>
      <w:r>
        <w:rPr>
          <w:rFonts w:ascii="Times New Roman" w:cs="Times New Roman" w:eastAsia="Times New Roman" w:hAnsi="Times New Roman"/>
          <w:sz w:val="17"/>
          <w:szCs w:val="17"/>
          <w:color w:val="FF0000"/>
          <w:strike w:val="1"/>
        </w:rPr>
        <w:t>43</w:t>
      </w:r>
      <w:r>
        <w:rPr>
          <w:rFonts w:ascii="Times New Roman" w:cs="Times New Roman" w:eastAsia="Times New Roman" w:hAnsi="Times New Roman"/>
          <w:sz w:val="17"/>
          <w:szCs w:val="17"/>
          <w:b w:val="1"/>
          <w:bCs w:val="1"/>
          <w:u w:val="single" w:color="auto"/>
          <w:color w:val="0000FF"/>
          <w:strike w:val="1"/>
        </w:rPr>
        <w:t>42</w:t>
      </w:r>
    </w:p>
    <w:p>
      <w:pPr>
        <w:spacing w:after="0" w:line="25" w:lineRule="exact"/>
        <w:rPr>
          <w:sz w:val="20"/>
          <w:szCs w:val="20"/>
          <w:color w:val="auto"/>
        </w:rPr>
      </w:pPr>
    </w:p>
    <w:p>
      <w:pPr>
        <w:spacing w:after="0"/>
        <w:tabs>
          <w:tab w:leader="none" w:pos="1420" w:val="left"/>
          <w:tab w:leader="dot" w:pos="7840" w:val="left"/>
        </w:tabs>
        <w:rPr>
          <w:sz w:val="20"/>
          <w:szCs w:val="20"/>
          <w:color w:val="auto"/>
        </w:rPr>
      </w:pPr>
      <w:r>
        <w:rPr>
          <w:rFonts w:ascii="Times New Roman" w:cs="Times New Roman" w:eastAsia="Times New Roman" w:hAnsi="Times New Roman"/>
          <w:sz w:val="19"/>
          <w:szCs w:val="19"/>
          <w:color w:val="auto"/>
        </w:rPr>
        <w:t>Section 2.12</w:t>
      </w:r>
      <w:r>
        <w:rPr>
          <w:sz w:val="20"/>
          <w:szCs w:val="20"/>
          <w:color w:val="auto"/>
        </w:rPr>
        <w:tab/>
      </w:r>
      <w:r>
        <w:rPr>
          <w:rFonts w:ascii="Times New Roman" w:cs="Times New Roman" w:eastAsia="Times New Roman" w:hAnsi="Times New Roman"/>
          <w:sz w:val="19"/>
          <w:szCs w:val="19"/>
          <w:color w:val="auto"/>
        </w:rPr>
        <w:t>Taxes</w:t>
      </w:r>
      <w:r>
        <w:rPr>
          <w:sz w:val="20"/>
          <w:szCs w:val="20"/>
          <w:color w:val="auto"/>
        </w:rPr>
        <w:tab/>
      </w:r>
      <w:r>
        <w:rPr>
          <w:rFonts w:ascii="Times New Roman" w:cs="Times New Roman" w:eastAsia="Times New Roman" w:hAnsi="Times New Roman"/>
          <w:sz w:val="18"/>
          <w:szCs w:val="18"/>
          <w:color w:val="FF0000"/>
          <w:strike w:val="1"/>
        </w:rPr>
        <w:t>45</w:t>
      </w:r>
      <w:r>
        <w:rPr>
          <w:rFonts w:ascii="Times New Roman" w:cs="Times New Roman" w:eastAsia="Times New Roman" w:hAnsi="Times New Roman"/>
          <w:sz w:val="18"/>
          <w:szCs w:val="18"/>
          <w:b w:val="1"/>
          <w:bCs w:val="1"/>
          <w:u w:val="single" w:color="auto"/>
          <w:color w:val="0000FF"/>
          <w:strike w:val="1"/>
        </w:rPr>
        <w:t>44</w:t>
      </w:r>
    </w:p>
    <w:p>
      <w:pPr>
        <w:spacing w:after="0" w:line="25" w:lineRule="exact"/>
        <w:rPr>
          <w:sz w:val="20"/>
          <w:szCs w:val="20"/>
          <w:color w:val="auto"/>
        </w:rPr>
      </w:pPr>
    </w:p>
    <w:p>
      <w:pPr>
        <w:spacing w:after="0"/>
        <w:tabs>
          <w:tab w:leader="none" w:pos="1420" w:val="left"/>
          <w:tab w:leader="dot" w:pos="7840" w:val="left"/>
        </w:tabs>
        <w:rPr>
          <w:sz w:val="20"/>
          <w:szCs w:val="20"/>
          <w:color w:val="auto"/>
        </w:rPr>
      </w:pPr>
      <w:r>
        <w:rPr>
          <w:rFonts w:ascii="Times New Roman" w:cs="Times New Roman" w:eastAsia="Times New Roman" w:hAnsi="Times New Roman"/>
          <w:sz w:val="19"/>
          <w:szCs w:val="19"/>
          <w:color w:val="auto"/>
        </w:rPr>
        <w:t>Section 2.13</w:t>
      </w:r>
      <w:r>
        <w:rPr>
          <w:sz w:val="20"/>
          <w:szCs w:val="20"/>
          <w:color w:val="auto"/>
        </w:rPr>
        <w:tab/>
      </w:r>
      <w:r>
        <w:rPr>
          <w:rFonts w:ascii="Times New Roman" w:cs="Times New Roman" w:eastAsia="Times New Roman" w:hAnsi="Times New Roman"/>
          <w:sz w:val="19"/>
          <w:szCs w:val="19"/>
          <w:color w:val="auto"/>
        </w:rPr>
        <w:t>Sharing of Payments, Etc</w:t>
      </w:r>
      <w:r>
        <w:rPr>
          <w:sz w:val="20"/>
          <w:szCs w:val="20"/>
          <w:color w:val="auto"/>
        </w:rPr>
        <w:tab/>
      </w:r>
      <w:r>
        <w:rPr>
          <w:rFonts w:ascii="Times New Roman" w:cs="Times New Roman" w:eastAsia="Times New Roman" w:hAnsi="Times New Roman"/>
          <w:sz w:val="18"/>
          <w:szCs w:val="18"/>
          <w:color w:val="FF0000"/>
          <w:strike w:val="1"/>
        </w:rPr>
        <w:t>49</w:t>
      </w:r>
      <w:r>
        <w:rPr>
          <w:rFonts w:ascii="Times New Roman" w:cs="Times New Roman" w:eastAsia="Times New Roman" w:hAnsi="Times New Roman"/>
          <w:sz w:val="18"/>
          <w:szCs w:val="18"/>
          <w:b w:val="1"/>
          <w:bCs w:val="1"/>
          <w:u w:val="single" w:color="auto"/>
          <w:color w:val="0000FF"/>
          <w:strike w:val="1"/>
        </w:rPr>
        <w:t>48</w:t>
      </w:r>
    </w:p>
    <w:p>
      <w:pPr>
        <w:spacing w:after="0" w:line="25" w:lineRule="exact"/>
        <w:rPr>
          <w:sz w:val="20"/>
          <w:szCs w:val="20"/>
          <w:color w:val="auto"/>
        </w:rPr>
      </w:pPr>
    </w:p>
    <w:p>
      <w:pPr>
        <w:spacing w:after="0"/>
        <w:tabs>
          <w:tab w:leader="none" w:pos="1420" w:val="left"/>
          <w:tab w:leader="dot" w:pos="8040" w:val="left"/>
        </w:tabs>
        <w:rPr>
          <w:sz w:val="20"/>
          <w:szCs w:val="20"/>
          <w:color w:val="auto"/>
        </w:rPr>
      </w:pPr>
      <w:r>
        <w:rPr>
          <w:rFonts w:ascii="Times New Roman" w:cs="Times New Roman" w:eastAsia="Times New Roman" w:hAnsi="Times New Roman"/>
          <w:sz w:val="19"/>
          <w:szCs w:val="19"/>
          <w:color w:val="auto"/>
        </w:rPr>
        <w:t>Section 2.14</w:t>
      </w:r>
      <w:r>
        <w:rPr>
          <w:sz w:val="20"/>
          <w:szCs w:val="20"/>
          <w:color w:val="auto"/>
        </w:rPr>
        <w:tab/>
      </w:r>
      <w:r>
        <w:rPr>
          <w:rFonts w:ascii="Times New Roman" w:cs="Times New Roman" w:eastAsia="Times New Roman" w:hAnsi="Times New Roman"/>
          <w:sz w:val="19"/>
          <w:szCs w:val="19"/>
          <w:color w:val="auto"/>
        </w:rPr>
        <w:t>Use of Proceeds</w:t>
      </w:r>
      <w:r>
        <w:rPr>
          <w:sz w:val="20"/>
          <w:szCs w:val="20"/>
          <w:color w:val="auto"/>
        </w:rPr>
        <w:tab/>
      </w:r>
      <w:r>
        <w:rPr>
          <w:rFonts w:ascii="Times New Roman" w:cs="Times New Roman" w:eastAsia="Times New Roman" w:hAnsi="Times New Roman"/>
          <w:sz w:val="19"/>
          <w:szCs w:val="19"/>
          <w:color w:val="auto"/>
        </w:rPr>
        <w:t>49</w:t>
      </w:r>
    </w:p>
    <w:p>
      <w:pPr>
        <w:spacing w:after="0" w:line="25" w:lineRule="exact"/>
        <w:rPr>
          <w:sz w:val="20"/>
          <w:szCs w:val="20"/>
          <w:color w:val="auto"/>
        </w:rPr>
      </w:pPr>
    </w:p>
    <w:p>
      <w:pPr>
        <w:spacing w:after="0"/>
        <w:tabs>
          <w:tab w:leader="none" w:pos="1420" w:val="left"/>
          <w:tab w:leader="dot" w:pos="8000" w:val="left"/>
        </w:tabs>
        <w:rPr>
          <w:sz w:val="20"/>
          <w:szCs w:val="20"/>
          <w:color w:val="auto"/>
        </w:rPr>
      </w:pPr>
      <w:r>
        <w:rPr>
          <w:rFonts w:ascii="Times New Roman" w:cs="Times New Roman" w:eastAsia="Times New Roman" w:hAnsi="Times New Roman"/>
          <w:sz w:val="19"/>
          <w:szCs w:val="19"/>
          <w:color w:val="auto"/>
        </w:rPr>
        <w:t>Section 2.15</w:t>
      </w:r>
      <w:r>
        <w:rPr>
          <w:sz w:val="20"/>
          <w:szCs w:val="20"/>
          <w:color w:val="auto"/>
        </w:rPr>
        <w:tab/>
      </w:r>
      <w:r>
        <w:rPr>
          <w:rFonts w:ascii="Times New Roman" w:cs="Times New Roman" w:eastAsia="Times New Roman" w:hAnsi="Times New Roman"/>
          <w:sz w:val="19"/>
          <w:szCs w:val="19"/>
          <w:color w:val="auto"/>
        </w:rPr>
        <w:t>Evidence of Debt</w:t>
      </w:r>
      <w:r>
        <w:rPr>
          <w:sz w:val="20"/>
          <w:szCs w:val="20"/>
          <w:color w:val="auto"/>
        </w:rPr>
        <w:tab/>
      </w:r>
      <w:r>
        <w:rPr>
          <w:rFonts w:ascii="Times New Roman" w:cs="Times New Roman" w:eastAsia="Times New Roman" w:hAnsi="Times New Roman"/>
          <w:sz w:val="18"/>
          <w:szCs w:val="18"/>
          <w:color w:val="auto"/>
        </w:rPr>
        <w:t>49</w:t>
      </w:r>
    </w:p>
    <w:p>
      <w:pPr>
        <w:spacing w:after="0" w:line="25" w:lineRule="exact"/>
        <w:rPr>
          <w:sz w:val="20"/>
          <w:szCs w:val="20"/>
          <w:color w:val="auto"/>
        </w:rPr>
      </w:pPr>
    </w:p>
    <w:p>
      <w:pPr>
        <w:spacing w:after="0"/>
        <w:tabs>
          <w:tab w:leader="none" w:pos="1420" w:val="left"/>
          <w:tab w:leader="dot" w:pos="8020" w:val="left"/>
        </w:tabs>
        <w:rPr>
          <w:sz w:val="20"/>
          <w:szCs w:val="20"/>
          <w:color w:val="auto"/>
        </w:rPr>
      </w:pPr>
      <w:r>
        <w:rPr>
          <w:rFonts w:ascii="Times New Roman" w:cs="Times New Roman" w:eastAsia="Times New Roman" w:hAnsi="Times New Roman"/>
          <w:sz w:val="19"/>
          <w:szCs w:val="19"/>
          <w:color w:val="auto"/>
        </w:rPr>
        <w:t>Section 2.16</w:t>
      </w:r>
      <w:r>
        <w:rPr>
          <w:sz w:val="20"/>
          <w:szCs w:val="20"/>
          <w:color w:val="auto"/>
        </w:rPr>
        <w:tab/>
      </w:r>
      <w:r>
        <w:rPr>
          <w:rFonts w:ascii="Times New Roman" w:cs="Times New Roman" w:eastAsia="Times New Roman" w:hAnsi="Times New Roman"/>
          <w:sz w:val="19"/>
          <w:szCs w:val="19"/>
          <w:color w:val="auto"/>
        </w:rPr>
        <w:t>Extensions of the Maturity Date</w:t>
      </w:r>
      <w:r>
        <w:rPr>
          <w:sz w:val="20"/>
          <w:szCs w:val="20"/>
          <w:color w:val="auto"/>
        </w:rPr>
        <w:tab/>
      </w:r>
      <w:r>
        <w:rPr>
          <w:rFonts w:ascii="Times New Roman" w:cs="Times New Roman" w:eastAsia="Times New Roman" w:hAnsi="Times New Roman"/>
          <w:sz w:val="18"/>
          <w:szCs w:val="18"/>
          <w:color w:val="auto"/>
        </w:rPr>
        <w:t>50</w:t>
      </w:r>
    </w:p>
    <w:p>
      <w:pPr>
        <w:spacing w:after="0" w:line="25" w:lineRule="exact"/>
        <w:rPr>
          <w:sz w:val="20"/>
          <w:szCs w:val="20"/>
          <w:color w:val="auto"/>
        </w:rPr>
      </w:pPr>
    </w:p>
    <w:p>
      <w:pPr>
        <w:spacing w:after="0"/>
        <w:tabs>
          <w:tab w:leader="none" w:pos="1420" w:val="left"/>
          <w:tab w:leader="dot" w:pos="8020" w:val="left"/>
        </w:tabs>
        <w:rPr>
          <w:sz w:val="20"/>
          <w:szCs w:val="20"/>
          <w:color w:val="auto"/>
        </w:rPr>
      </w:pPr>
      <w:r>
        <w:rPr>
          <w:rFonts w:ascii="Times New Roman" w:cs="Times New Roman" w:eastAsia="Times New Roman" w:hAnsi="Times New Roman"/>
          <w:sz w:val="19"/>
          <w:szCs w:val="19"/>
          <w:color w:val="auto"/>
        </w:rPr>
        <w:t>Section 2.17</w:t>
      </w:r>
      <w:r>
        <w:rPr>
          <w:sz w:val="20"/>
          <w:szCs w:val="20"/>
          <w:color w:val="auto"/>
        </w:rPr>
        <w:tab/>
      </w:r>
      <w:r>
        <w:rPr>
          <w:rFonts w:ascii="Times New Roman" w:cs="Times New Roman" w:eastAsia="Times New Roman" w:hAnsi="Times New Roman"/>
          <w:sz w:val="19"/>
          <w:szCs w:val="19"/>
          <w:color w:val="auto"/>
        </w:rPr>
        <w:t>Increase in the Aggregate Commitments</w:t>
      </w:r>
      <w:r>
        <w:rPr>
          <w:sz w:val="20"/>
          <w:szCs w:val="20"/>
          <w:color w:val="auto"/>
        </w:rPr>
        <w:tab/>
      </w:r>
      <w:r>
        <w:rPr>
          <w:rFonts w:ascii="Times New Roman" w:cs="Times New Roman" w:eastAsia="Times New Roman" w:hAnsi="Times New Roman"/>
          <w:sz w:val="19"/>
          <w:szCs w:val="19"/>
          <w:color w:val="auto"/>
        </w:rPr>
        <w:t>50</w:t>
      </w:r>
    </w:p>
    <w:p>
      <w:pPr>
        <w:spacing w:after="0" w:line="25" w:lineRule="exact"/>
        <w:rPr>
          <w:sz w:val="20"/>
          <w:szCs w:val="20"/>
          <w:color w:val="auto"/>
        </w:rPr>
      </w:pPr>
    </w:p>
    <w:p>
      <w:pPr>
        <w:spacing w:after="0"/>
        <w:tabs>
          <w:tab w:leader="none" w:pos="1420" w:val="left"/>
          <w:tab w:leader="dot" w:pos="8040" w:val="left"/>
        </w:tabs>
        <w:rPr>
          <w:sz w:val="20"/>
          <w:szCs w:val="20"/>
          <w:color w:val="auto"/>
        </w:rPr>
      </w:pPr>
      <w:r>
        <w:rPr>
          <w:rFonts w:ascii="Times New Roman" w:cs="Times New Roman" w:eastAsia="Times New Roman" w:hAnsi="Times New Roman"/>
          <w:sz w:val="19"/>
          <w:szCs w:val="19"/>
          <w:color w:val="auto"/>
        </w:rPr>
        <w:t>Section 2.18</w:t>
      </w:r>
      <w:r>
        <w:rPr>
          <w:sz w:val="20"/>
          <w:szCs w:val="20"/>
          <w:color w:val="auto"/>
        </w:rPr>
        <w:tab/>
      </w:r>
      <w:r>
        <w:rPr>
          <w:rFonts w:ascii="Times New Roman" w:cs="Times New Roman" w:eastAsia="Times New Roman" w:hAnsi="Times New Roman"/>
          <w:sz w:val="19"/>
          <w:szCs w:val="19"/>
          <w:color w:val="auto"/>
        </w:rPr>
        <w:t>Defaulting Lenders</w:t>
      </w:r>
      <w:r>
        <w:rPr>
          <w:sz w:val="20"/>
          <w:szCs w:val="20"/>
          <w:color w:val="auto"/>
        </w:rPr>
        <w:tab/>
      </w:r>
      <w:r>
        <w:rPr>
          <w:rFonts w:ascii="Times New Roman" w:cs="Times New Roman" w:eastAsia="Times New Roman" w:hAnsi="Times New Roman"/>
          <w:sz w:val="19"/>
          <w:szCs w:val="19"/>
          <w:color w:val="auto"/>
        </w:rPr>
        <w:t>51</w:t>
      </w:r>
    </w:p>
    <w:p>
      <w:pPr>
        <w:spacing w:after="0" w:line="25" w:lineRule="exact"/>
        <w:rPr>
          <w:sz w:val="20"/>
          <w:szCs w:val="20"/>
          <w:color w:val="auto"/>
        </w:rPr>
      </w:pPr>
    </w:p>
    <w:p>
      <w:pPr>
        <w:spacing w:after="0"/>
        <w:tabs>
          <w:tab w:leader="none" w:pos="1420" w:val="left"/>
          <w:tab w:leader="dot" w:pos="8000" w:val="left"/>
        </w:tabs>
        <w:rPr>
          <w:sz w:val="20"/>
          <w:szCs w:val="20"/>
          <w:color w:val="auto"/>
        </w:rPr>
      </w:pPr>
      <w:r>
        <w:rPr>
          <w:rFonts w:ascii="Times New Roman" w:cs="Times New Roman" w:eastAsia="Times New Roman" w:hAnsi="Times New Roman"/>
          <w:sz w:val="19"/>
          <w:szCs w:val="19"/>
          <w:color w:val="auto"/>
        </w:rPr>
        <w:t>Section 2.19</w:t>
      </w:r>
      <w:r>
        <w:rPr>
          <w:sz w:val="20"/>
          <w:szCs w:val="20"/>
          <w:color w:val="auto"/>
        </w:rPr>
        <w:tab/>
      </w:r>
      <w:r>
        <w:rPr>
          <w:rFonts w:ascii="Times New Roman" w:cs="Times New Roman" w:eastAsia="Times New Roman" w:hAnsi="Times New Roman"/>
          <w:sz w:val="19"/>
          <w:szCs w:val="19"/>
          <w:color w:val="auto"/>
        </w:rPr>
        <w:t>Replacement of Lenders</w:t>
      </w:r>
      <w:r>
        <w:rPr>
          <w:sz w:val="20"/>
          <w:szCs w:val="20"/>
          <w:color w:val="auto"/>
        </w:rPr>
        <w:tab/>
      </w:r>
      <w:r>
        <w:rPr>
          <w:rFonts w:ascii="Times New Roman" w:cs="Times New Roman" w:eastAsia="Times New Roman" w:hAnsi="Times New Roman"/>
          <w:sz w:val="18"/>
          <w:szCs w:val="18"/>
          <w:color w:val="auto"/>
        </w:rPr>
        <w:t>52</w:t>
      </w:r>
    </w:p>
    <w:p>
      <w:pPr>
        <w:spacing w:after="0" w:line="1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9"/>
          <w:szCs w:val="19"/>
          <w:color w:val="auto"/>
        </w:rPr>
        <w:t>ARTICLE III</w:t>
      </w:r>
    </w:p>
    <w:p>
      <w:pPr>
        <w:spacing w:after="0" w:line="1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color w:val="auto"/>
        </w:rPr>
        <w:t>CONDITIONS PRECEDENT TO CLOSING</w:t>
      </w:r>
    </w:p>
    <w:p>
      <w:pPr>
        <w:spacing w:after="0" w:line="241" w:lineRule="exact"/>
        <w:rPr>
          <w:sz w:val="20"/>
          <w:szCs w:val="20"/>
          <w:color w:val="auto"/>
        </w:rPr>
      </w:pPr>
    </w:p>
    <w:p>
      <w:pPr>
        <w:spacing w:after="0"/>
        <w:tabs>
          <w:tab w:leader="none" w:pos="1420" w:val="left"/>
          <w:tab w:leader="dot" w:pos="7940" w:val="left"/>
        </w:tabs>
        <w:rPr>
          <w:sz w:val="20"/>
          <w:szCs w:val="20"/>
          <w:color w:val="auto"/>
        </w:rPr>
      </w:pPr>
      <w:r>
        <w:rPr>
          <w:rFonts w:ascii="Times New Roman" w:cs="Times New Roman" w:eastAsia="Times New Roman" w:hAnsi="Times New Roman"/>
          <w:sz w:val="19"/>
          <w:szCs w:val="19"/>
          <w:color w:val="auto"/>
        </w:rPr>
        <w:t>Section 3.01</w:t>
      </w:r>
      <w:r>
        <w:rPr>
          <w:sz w:val="20"/>
          <w:szCs w:val="20"/>
          <w:color w:val="auto"/>
        </w:rPr>
        <w:tab/>
      </w:r>
      <w:r>
        <w:rPr>
          <w:rFonts w:ascii="Times New Roman" w:cs="Times New Roman" w:eastAsia="Times New Roman" w:hAnsi="Times New Roman"/>
          <w:sz w:val="19"/>
          <w:szCs w:val="19"/>
          <w:color w:val="auto"/>
        </w:rPr>
        <w:t>Conditions Precedent to Closing</w:t>
      </w:r>
      <w:r>
        <w:rPr>
          <w:sz w:val="20"/>
          <w:szCs w:val="20"/>
          <w:color w:val="auto"/>
        </w:rPr>
        <w:tab/>
      </w:r>
      <w:r>
        <w:rPr>
          <w:rFonts w:ascii="Times New Roman" w:cs="Times New Roman" w:eastAsia="Times New Roman" w:hAnsi="Times New Roman"/>
          <w:sz w:val="19"/>
          <w:szCs w:val="19"/>
          <w:color w:val="auto"/>
        </w:rPr>
        <w:t>53</w:t>
      </w:r>
    </w:p>
    <w:p>
      <w:pPr>
        <w:spacing w:after="0" w:line="26" w:lineRule="exact"/>
        <w:rPr>
          <w:sz w:val="20"/>
          <w:szCs w:val="20"/>
          <w:color w:val="auto"/>
        </w:rPr>
      </w:pPr>
    </w:p>
    <w:p>
      <w:pPr>
        <w:spacing w:after="0"/>
        <w:tabs>
          <w:tab w:leader="none" w:pos="1420" w:val="left"/>
          <w:tab w:leader="dot" w:pos="7940" w:val="left"/>
        </w:tabs>
        <w:rPr>
          <w:sz w:val="20"/>
          <w:szCs w:val="20"/>
          <w:color w:val="auto"/>
        </w:rPr>
      </w:pPr>
      <w:r>
        <w:rPr>
          <w:rFonts w:ascii="Times New Roman" w:cs="Times New Roman" w:eastAsia="Times New Roman" w:hAnsi="Times New Roman"/>
          <w:sz w:val="19"/>
          <w:szCs w:val="19"/>
          <w:color w:val="auto"/>
        </w:rPr>
        <w:t>Section 3.02</w:t>
      </w:r>
      <w:r>
        <w:rPr>
          <w:sz w:val="20"/>
          <w:szCs w:val="20"/>
          <w:color w:val="auto"/>
        </w:rPr>
        <w:tab/>
      </w:r>
      <w:r>
        <w:rPr>
          <w:rFonts w:ascii="Times New Roman" w:cs="Times New Roman" w:eastAsia="Times New Roman" w:hAnsi="Times New Roman"/>
          <w:sz w:val="19"/>
          <w:szCs w:val="19"/>
          <w:color w:val="auto"/>
        </w:rPr>
        <w:t>Conditions Precedent to Each Borrowing</w:t>
      </w:r>
      <w:r>
        <w:rPr>
          <w:rFonts w:ascii="Times New Roman" w:cs="Times New Roman" w:eastAsia="Times New Roman" w:hAnsi="Times New Roman"/>
          <w:sz w:val="19"/>
          <w:szCs w:val="19"/>
          <w:b w:val="1"/>
          <w:bCs w:val="1"/>
          <w:u w:val="single" w:color="auto"/>
          <w:color w:val="0000FF"/>
        </w:rPr>
        <w:t>, Extension</w:t>
      </w:r>
      <w:r>
        <w:rPr>
          <w:rFonts w:ascii="Times New Roman" w:cs="Times New Roman" w:eastAsia="Times New Roman" w:hAnsi="Times New Roman"/>
          <w:sz w:val="19"/>
          <w:szCs w:val="19"/>
          <w:color w:val="auto"/>
        </w:rPr>
        <w:t xml:space="preserve"> and Increase</w:t>
      </w:r>
      <w:r>
        <w:rPr>
          <w:sz w:val="20"/>
          <w:szCs w:val="20"/>
          <w:color w:val="auto"/>
        </w:rPr>
        <w:tab/>
      </w:r>
      <w:r>
        <w:rPr>
          <w:rFonts w:ascii="Times New Roman" w:cs="Times New Roman" w:eastAsia="Times New Roman" w:hAnsi="Times New Roman"/>
          <w:sz w:val="18"/>
          <w:szCs w:val="18"/>
          <w:color w:val="auto"/>
        </w:rPr>
        <w:t>56</w:t>
      </w:r>
    </w:p>
    <w:p>
      <w:pPr>
        <w:spacing w:after="0" w:line="25" w:lineRule="exact"/>
        <w:rPr>
          <w:sz w:val="20"/>
          <w:szCs w:val="20"/>
          <w:color w:val="auto"/>
        </w:rPr>
      </w:pPr>
    </w:p>
    <w:p>
      <w:pPr>
        <w:spacing w:after="0"/>
        <w:tabs>
          <w:tab w:leader="none" w:pos="1420" w:val="left"/>
          <w:tab w:leader="dot" w:pos="7720" w:val="left"/>
        </w:tabs>
        <w:rPr>
          <w:sz w:val="20"/>
          <w:szCs w:val="20"/>
          <w:color w:val="auto"/>
        </w:rPr>
      </w:pPr>
      <w:r>
        <w:rPr>
          <w:rFonts w:ascii="Times New Roman" w:cs="Times New Roman" w:eastAsia="Times New Roman" w:hAnsi="Times New Roman"/>
          <w:sz w:val="19"/>
          <w:szCs w:val="19"/>
          <w:color w:val="auto"/>
        </w:rPr>
        <w:t>Section 3.03</w:t>
      </w:r>
      <w:r>
        <w:rPr>
          <w:sz w:val="20"/>
          <w:szCs w:val="20"/>
          <w:color w:val="auto"/>
        </w:rPr>
        <w:tab/>
      </w:r>
      <w:r>
        <w:rPr>
          <w:rFonts w:ascii="Times New Roman" w:cs="Times New Roman" w:eastAsia="Times New Roman" w:hAnsi="Times New Roman"/>
          <w:sz w:val="19"/>
          <w:szCs w:val="19"/>
          <w:color w:val="auto"/>
        </w:rPr>
        <w:t>Determinations Under Sections 3.01 and 3.02</w:t>
      </w:r>
      <w:r>
        <w:rPr>
          <w:sz w:val="20"/>
          <w:szCs w:val="20"/>
          <w:color w:val="auto"/>
        </w:rPr>
        <w:tab/>
      </w:r>
      <w:r>
        <w:rPr>
          <w:rFonts w:ascii="Times New Roman" w:cs="Times New Roman" w:eastAsia="Times New Roman" w:hAnsi="Times New Roman"/>
          <w:sz w:val="17"/>
          <w:szCs w:val="17"/>
          <w:color w:val="FF0000"/>
          <w:strike w:val="1"/>
        </w:rPr>
        <w:t>57</w:t>
      </w:r>
      <w:r>
        <w:rPr>
          <w:rFonts w:ascii="Times New Roman" w:cs="Times New Roman" w:eastAsia="Times New Roman" w:hAnsi="Times New Roman"/>
          <w:sz w:val="17"/>
          <w:szCs w:val="17"/>
          <w:b w:val="1"/>
          <w:bCs w:val="1"/>
          <w:u w:val="single" w:color="auto"/>
          <w:color w:val="0000FF"/>
          <w:strike w:val="1"/>
        </w:rPr>
        <w:t>56</w:t>
      </w:r>
    </w:p>
    <w:p>
      <w:pPr>
        <w:spacing w:after="0" w:line="1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9"/>
          <w:szCs w:val="19"/>
          <w:color w:val="auto"/>
        </w:rPr>
        <w:t>ARTICLE IV</w:t>
      </w:r>
    </w:p>
    <w:p>
      <w:pPr>
        <w:spacing w:after="0" w:line="19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color w:val="auto"/>
        </w:rPr>
        <w:t>REPRESENTATIONS AND WARRANTIES</w:t>
      </w:r>
    </w:p>
    <w:p>
      <w:pPr>
        <w:spacing w:after="0" w:line="241" w:lineRule="exact"/>
        <w:rPr>
          <w:sz w:val="20"/>
          <w:szCs w:val="20"/>
          <w:color w:val="auto"/>
        </w:rPr>
      </w:pPr>
    </w:p>
    <w:p>
      <w:pPr>
        <w:spacing w:after="0"/>
        <w:tabs>
          <w:tab w:leader="none" w:pos="1420" w:val="left"/>
          <w:tab w:leader="dot" w:pos="8000" w:val="left"/>
        </w:tabs>
        <w:rPr>
          <w:sz w:val="20"/>
          <w:szCs w:val="20"/>
          <w:color w:val="auto"/>
        </w:rPr>
      </w:pPr>
      <w:r>
        <w:rPr>
          <w:rFonts w:ascii="Times New Roman" w:cs="Times New Roman" w:eastAsia="Times New Roman" w:hAnsi="Times New Roman"/>
          <w:sz w:val="19"/>
          <w:szCs w:val="19"/>
          <w:color w:val="auto"/>
        </w:rPr>
        <w:t>Section 4.01</w:t>
      </w:r>
      <w:r>
        <w:rPr>
          <w:sz w:val="20"/>
          <w:szCs w:val="20"/>
          <w:color w:val="auto"/>
        </w:rPr>
        <w:tab/>
      </w:r>
      <w:r>
        <w:rPr>
          <w:rFonts w:ascii="Times New Roman" w:cs="Times New Roman" w:eastAsia="Times New Roman" w:hAnsi="Times New Roman"/>
          <w:sz w:val="19"/>
          <w:szCs w:val="19"/>
          <w:color w:val="auto"/>
        </w:rPr>
        <w:t>Representations and Warranties of the Loan Parties</w:t>
      </w:r>
      <w:r>
        <w:rPr>
          <w:sz w:val="20"/>
          <w:szCs w:val="20"/>
          <w:color w:val="auto"/>
        </w:rPr>
        <w:tab/>
      </w:r>
      <w:r>
        <w:rPr>
          <w:rFonts w:ascii="Times New Roman" w:cs="Times New Roman" w:eastAsia="Times New Roman" w:hAnsi="Times New Roman"/>
          <w:sz w:val="19"/>
          <w:szCs w:val="19"/>
          <w:color w:val="auto"/>
        </w:rPr>
        <w:t>57</w:t>
      </w:r>
    </w:p>
    <w:p>
      <w:pPr>
        <w:spacing w:after="0" w:line="1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9"/>
          <w:szCs w:val="19"/>
          <w:color w:val="auto"/>
        </w:rPr>
        <w:t>ARTICLE V</w:t>
      </w:r>
    </w:p>
    <w:p>
      <w:pPr>
        <w:spacing w:after="0" w:line="19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9"/>
          <w:szCs w:val="19"/>
          <w:color w:val="auto"/>
        </w:rPr>
        <w:t>COVENANTS OF THE LOAN PARTIES</w:t>
      </w:r>
    </w:p>
    <w:p>
      <w:pPr>
        <w:spacing w:after="0" w:line="241" w:lineRule="exact"/>
        <w:rPr>
          <w:sz w:val="20"/>
          <w:szCs w:val="20"/>
          <w:color w:val="auto"/>
        </w:rPr>
      </w:pPr>
    </w:p>
    <w:p>
      <w:pPr>
        <w:spacing w:after="0"/>
        <w:tabs>
          <w:tab w:leader="none" w:pos="1420" w:val="left"/>
          <w:tab w:leader="dot" w:pos="8040" w:val="left"/>
        </w:tabs>
        <w:rPr>
          <w:sz w:val="20"/>
          <w:szCs w:val="20"/>
          <w:color w:val="auto"/>
        </w:rPr>
      </w:pPr>
      <w:r>
        <w:rPr>
          <w:rFonts w:ascii="Times New Roman" w:cs="Times New Roman" w:eastAsia="Times New Roman" w:hAnsi="Times New Roman"/>
          <w:sz w:val="19"/>
          <w:szCs w:val="19"/>
          <w:color w:val="auto"/>
        </w:rPr>
        <w:t>Section 5.01</w:t>
      </w:r>
      <w:r>
        <w:rPr>
          <w:sz w:val="20"/>
          <w:szCs w:val="20"/>
          <w:color w:val="auto"/>
        </w:rPr>
        <w:tab/>
      </w:r>
      <w:r>
        <w:rPr>
          <w:rFonts w:ascii="Times New Roman" w:cs="Times New Roman" w:eastAsia="Times New Roman" w:hAnsi="Times New Roman"/>
          <w:sz w:val="19"/>
          <w:szCs w:val="19"/>
          <w:color w:val="auto"/>
        </w:rPr>
        <w:t>Affirmative Covenants</w:t>
      </w:r>
      <w:r>
        <w:rPr>
          <w:sz w:val="20"/>
          <w:szCs w:val="20"/>
          <w:color w:val="auto"/>
        </w:rPr>
        <w:tab/>
      </w:r>
      <w:r>
        <w:rPr>
          <w:rFonts w:ascii="Times New Roman" w:cs="Times New Roman" w:eastAsia="Times New Roman" w:hAnsi="Times New Roman"/>
          <w:sz w:val="18"/>
          <w:szCs w:val="18"/>
          <w:color w:val="auto"/>
        </w:rPr>
        <w:t>63</w:t>
      </w:r>
    </w:p>
    <w:p>
      <w:pPr>
        <w:spacing w:after="0" w:line="34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5" w:right="439" w:bottom="1440" w:gutter="0" w:footer="0" w:header="0"/>
        </w:sectPr>
      </w:pPr>
    </w:p>
    <w:bookmarkStart w:id="194" w:name="page195"/>
    <w:bookmarkEnd w:id="194"/>
    <w:p>
      <w:pPr>
        <w:spacing w:after="0"/>
        <w:tabs>
          <w:tab w:leader="none" w:pos="1420" w:val="left"/>
          <w:tab w:leader="dot" w:pos="8020" w:val="left"/>
        </w:tabs>
        <w:rPr>
          <w:sz w:val="20"/>
          <w:szCs w:val="20"/>
          <w:color w:val="auto"/>
        </w:rPr>
      </w:pPr>
      <w:r>
        <w:rPr>
          <w:rFonts w:ascii="Times New Roman" w:cs="Times New Roman" w:eastAsia="Times New Roman" w:hAnsi="Times New Roman"/>
          <w:sz w:val="19"/>
          <w:szCs w:val="19"/>
          <w:color w:val="auto"/>
        </w:rPr>
        <w:t>Section 5.02</w:t>
      </w:r>
      <w:r>
        <w:rPr>
          <w:sz w:val="20"/>
          <w:szCs w:val="20"/>
          <w:color w:val="auto"/>
        </w:rPr>
        <w:tab/>
      </w:r>
      <w:r>
        <w:rPr>
          <w:rFonts w:ascii="Times New Roman" w:cs="Times New Roman" w:eastAsia="Times New Roman" w:hAnsi="Times New Roman"/>
          <w:sz w:val="19"/>
          <w:szCs w:val="19"/>
          <w:color w:val="auto"/>
        </w:rPr>
        <w:t>Negative Covenants</w:t>
      </w:r>
      <w:r>
        <w:rPr>
          <w:sz w:val="20"/>
          <w:szCs w:val="20"/>
          <w:color w:val="auto"/>
        </w:rPr>
        <w:tab/>
      </w:r>
      <w:r>
        <w:rPr>
          <w:rFonts w:ascii="Times New Roman" w:cs="Times New Roman" w:eastAsia="Times New Roman" w:hAnsi="Times New Roman"/>
          <w:sz w:val="18"/>
          <w:szCs w:val="18"/>
          <w:color w:val="auto"/>
        </w:rPr>
        <w:t>67</w:t>
      </w:r>
    </w:p>
    <w:p>
      <w:pPr>
        <w:spacing w:after="0" w:line="26" w:lineRule="exact"/>
        <w:rPr>
          <w:sz w:val="20"/>
          <w:szCs w:val="20"/>
          <w:color w:val="auto"/>
        </w:rPr>
      </w:pPr>
    </w:p>
    <w:p>
      <w:pPr>
        <w:spacing w:after="0"/>
        <w:tabs>
          <w:tab w:leader="none" w:pos="1420" w:val="left"/>
          <w:tab w:leader="dot" w:pos="7820" w:val="left"/>
        </w:tabs>
        <w:rPr>
          <w:sz w:val="20"/>
          <w:szCs w:val="20"/>
          <w:color w:val="auto"/>
        </w:rPr>
      </w:pPr>
      <w:r>
        <w:rPr>
          <w:rFonts w:ascii="Times New Roman" w:cs="Times New Roman" w:eastAsia="Times New Roman" w:hAnsi="Times New Roman"/>
          <w:sz w:val="19"/>
          <w:szCs w:val="19"/>
          <w:color w:val="auto"/>
        </w:rPr>
        <w:t>Section 5.03</w:t>
      </w:r>
      <w:r>
        <w:rPr>
          <w:sz w:val="20"/>
          <w:szCs w:val="20"/>
          <w:color w:val="auto"/>
        </w:rPr>
        <w:tab/>
      </w:r>
      <w:r>
        <w:rPr>
          <w:rFonts w:ascii="Times New Roman" w:cs="Times New Roman" w:eastAsia="Times New Roman" w:hAnsi="Times New Roman"/>
          <w:sz w:val="19"/>
          <w:szCs w:val="19"/>
          <w:color w:val="auto"/>
        </w:rPr>
        <w:t>Reporting Requirements</w:t>
      </w:r>
      <w:r>
        <w:rPr>
          <w:sz w:val="20"/>
          <w:szCs w:val="20"/>
          <w:color w:val="auto"/>
        </w:rPr>
        <w:tab/>
      </w:r>
      <w:r>
        <w:rPr>
          <w:rFonts w:ascii="Times New Roman" w:cs="Times New Roman" w:eastAsia="Times New Roman" w:hAnsi="Times New Roman"/>
          <w:sz w:val="18"/>
          <w:szCs w:val="18"/>
          <w:color w:val="FF0000"/>
          <w:strike w:val="1"/>
        </w:rPr>
        <w:t>72</w:t>
      </w:r>
      <w:r>
        <w:rPr>
          <w:rFonts w:ascii="Times New Roman" w:cs="Times New Roman" w:eastAsia="Times New Roman" w:hAnsi="Times New Roman"/>
          <w:sz w:val="18"/>
          <w:szCs w:val="18"/>
          <w:b w:val="1"/>
          <w:bCs w:val="1"/>
          <w:u w:val="single" w:color="auto"/>
          <w:color w:val="0000FF"/>
          <w:strike w:val="1"/>
        </w:rPr>
        <w:t>71</w:t>
      </w:r>
    </w:p>
    <w:p>
      <w:pPr>
        <w:spacing w:after="0" w:line="25" w:lineRule="exact"/>
        <w:rPr>
          <w:sz w:val="20"/>
          <w:szCs w:val="20"/>
          <w:color w:val="auto"/>
        </w:rPr>
      </w:pPr>
    </w:p>
    <w:p>
      <w:pPr>
        <w:spacing w:after="0"/>
        <w:tabs>
          <w:tab w:leader="none" w:pos="1420" w:val="left"/>
          <w:tab w:leader="dot" w:pos="8040" w:val="left"/>
        </w:tabs>
        <w:rPr>
          <w:sz w:val="20"/>
          <w:szCs w:val="20"/>
          <w:color w:val="auto"/>
        </w:rPr>
      </w:pPr>
      <w:r>
        <w:rPr>
          <w:rFonts w:ascii="Times New Roman" w:cs="Times New Roman" w:eastAsia="Times New Roman" w:hAnsi="Times New Roman"/>
          <w:sz w:val="19"/>
          <w:szCs w:val="19"/>
          <w:color w:val="auto"/>
        </w:rPr>
        <w:t>Section 5.04</w:t>
      </w:r>
      <w:r>
        <w:rPr>
          <w:sz w:val="20"/>
          <w:szCs w:val="20"/>
          <w:color w:val="auto"/>
        </w:rPr>
        <w:tab/>
      </w:r>
      <w:r>
        <w:rPr>
          <w:rFonts w:ascii="Times New Roman" w:cs="Times New Roman" w:eastAsia="Times New Roman" w:hAnsi="Times New Roman"/>
          <w:sz w:val="19"/>
          <w:szCs w:val="19"/>
          <w:color w:val="auto"/>
        </w:rPr>
        <w:t>Financial Covenants</w:t>
      </w:r>
      <w:r>
        <w:rPr>
          <w:sz w:val="20"/>
          <w:szCs w:val="20"/>
          <w:color w:val="auto"/>
        </w:rPr>
        <w:tab/>
      </w:r>
      <w:r>
        <w:rPr>
          <w:rFonts w:ascii="Times New Roman" w:cs="Times New Roman" w:eastAsia="Times New Roman" w:hAnsi="Times New Roman"/>
          <w:sz w:val="18"/>
          <w:szCs w:val="18"/>
          <w:color w:val="auto"/>
        </w:rPr>
        <w:t>75</w:t>
      </w:r>
    </w:p>
    <w:p>
      <w:pPr>
        <w:spacing w:after="0" w:line="1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9"/>
          <w:szCs w:val="19"/>
          <w:color w:val="auto"/>
        </w:rPr>
        <w:t>ARTICLE VI</w:t>
      </w:r>
    </w:p>
    <w:p>
      <w:pPr>
        <w:spacing w:after="0" w:line="19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9"/>
          <w:szCs w:val="19"/>
          <w:color w:val="auto"/>
        </w:rPr>
        <w:t>EVENTS OF DEFAULT</w:t>
      </w:r>
    </w:p>
    <w:p>
      <w:pPr>
        <w:spacing w:after="0" w:line="241" w:lineRule="exact"/>
        <w:rPr>
          <w:sz w:val="20"/>
          <w:szCs w:val="20"/>
          <w:color w:val="auto"/>
        </w:rPr>
      </w:pPr>
    </w:p>
    <w:p>
      <w:pPr>
        <w:spacing w:after="0"/>
        <w:tabs>
          <w:tab w:leader="none" w:pos="1420" w:val="left"/>
          <w:tab w:leader="dot" w:pos="8000" w:val="left"/>
        </w:tabs>
        <w:rPr>
          <w:sz w:val="20"/>
          <w:szCs w:val="20"/>
          <w:color w:val="auto"/>
        </w:rPr>
      </w:pPr>
      <w:r>
        <w:rPr>
          <w:rFonts w:ascii="Times New Roman" w:cs="Times New Roman" w:eastAsia="Times New Roman" w:hAnsi="Times New Roman"/>
          <w:sz w:val="19"/>
          <w:szCs w:val="19"/>
          <w:color w:val="auto"/>
        </w:rPr>
        <w:t>Section 6.01</w:t>
      </w:r>
      <w:r>
        <w:rPr>
          <w:sz w:val="20"/>
          <w:szCs w:val="20"/>
          <w:color w:val="auto"/>
        </w:rPr>
        <w:tab/>
      </w:r>
      <w:r>
        <w:rPr>
          <w:rFonts w:ascii="Times New Roman" w:cs="Times New Roman" w:eastAsia="Times New Roman" w:hAnsi="Times New Roman"/>
          <w:sz w:val="19"/>
          <w:szCs w:val="19"/>
          <w:color w:val="auto"/>
        </w:rPr>
        <w:t>Events of Default</w:t>
      </w:r>
      <w:r>
        <w:rPr>
          <w:sz w:val="20"/>
          <w:szCs w:val="20"/>
          <w:color w:val="auto"/>
        </w:rPr>
        <w:tab/>
      </w:r>
      <w:r>
        <w:rPr>
          <w:rFonts w:ascii="Times New Roman" w:cs="Times New Roman" w:eastAsia="Times New Roman" w:hAnsi="Times New Roman"/>
          <w:sz w:val="19"/>
          <w:szCs w:val="19"/>
          <w:color w:val="auto"/>
        </w:rPr>
        <w:t>76</w:t>
      </w:r>
    </w:p>
    <w:p>
      <w:pPr>
        <w:spacing w:after="0" w:line="1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ARTICLE VII</w:t>
      </w:r>
    </w:p>
    <w:p>
      <w:pPr>
        <w:spacing w:after="0" w:line="19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9"/>
          <w:szCs w:val="19"/>
          <w:color w:val="auto"/>
        </w:rPr>
        <w:t>GUARANTY</w:t>
      </w:r>
    </w:p>
    <w:p>
      <w:pPr>
        <w:spacing w:after="0" w:line="241" w:lineRule="exact"/>
        <w:rPr>
          <w:sz w:val="20"/>
          <w:szCs w:val="20"/>
          <w:color w:val="auto"/>
        </w:rPr>
      </w:pPr>
    </w:p>
    <w:p>
      <w:pPr>
        <w:spacing w:after="0"/>
        <w:tabs>
          <w:tab w:leader="none" w:pos="1420" w:val="left"/>
          <w:tab w:leader="dot" w:pos="8040" w:val="left"/>
        </w:tabs>
        <w:rPr>
          <w:sz w:val="20"/>
          <w:szCs w:val="20"/>
          <w:color w:val="auto"/>
        </w:rPr>
      </w:pPr>
      <w:r>
        <w:rPr>
          <w:rFonts w:ascii="Times New Roman" w:cs="Times New Roman" w:eastAsia="Times New Roman" w:hAnsi="Times New Roman"/>
          <w:sz w:val="19"/>
          <w:szCs w:val="19"/>
          <w:color w:val="auto"/>
        </w:rPr>
        <w:t>Section 7.01</w:t>
      </w:r>
      <w:r>
        <w:rPr>
          <w:sz w:val="20"/>
          <w:szCs w:val="20"/>
          <w:color w:val="auto"/>
        </w:rPr>
        <w:tab/>
      </w:r>
      <w:r>
        <w:rPr>
          <w:rFonts w:ascii="Times New Roman" w:cs="Times New Roman" w:eastAsia="Times New Roman" w:hAnsi="Times New Roman"/>
          <w:sz w:val="19"/>
          <w:szCs w:val="19"/>
          <w:color w:val="auto"/>
        </w:rPr>
        <w:t>Guaranty; Limitation of Liability</w:t>
      </w:r>
      <w:r>
        <w:rPr>
          <w:sz w:val="20"/>
          <w:szCs w:val="20"/>
          <w:color w:val="auto"/>
        </w:rPr>
        <w:tab/>
      </w:r>
      <w:r>
        <w:rPr>
          <w:rFonts w:ascii="Times New Roman" w:cs="Times New Roman" w:eastAsia="Times New Roman" w:hAnsi="Times New Roman"/>
          <w:sz w:val="19"/>
          <w:szCs w:val="19"/>
          <w:color w:val="auto"/>
        </w:rPr>
        <w:t>78</w:t>
      </w:r>
    </w:p>
    <w:p>
      <w:pPr>
        <w:spacing w:after="0" w:line="26" w:lineRule="exact"/>
        <w:rPr>
          <w:sz w:val="20"/>
          <w:szCs w:val="20"/>
          <w:color w:val="auto"/>
        </w:rPr>
      </w:pPr>
    </w:p>
    <w:p>
      <w:pPr>
        <w:spacing w:after="0"/>
        <w:tabs>
          <w:tab w:leader="none" w:pos="1420" w:val="left"/>
          <w:tab w:leader="dot" w:pos="8020" w:val="left"/>
        </w:tabs>
        <w:rPr>
          <w:sz w:val="20"/>
          <w:szCs w:val="20"/>
          <w:color w:val="auto"/>
        </w:rPr>
      </w:pPr>
      <w:r>
        <w:rPr>
          <w:rFonts w:ascii="Times New Roman" w:cs="Times New Roman" w:eastAsia="Times New Roman" w:hAnsi="Times New Roman"/>
          <w:sz w:val="19"/>
          <w:szCs w:val="19"/>
          <w:color w:val="auto"/>
        </w:rPr>
        <w:t>Section 7.02</w:t>
      </w:r>
      <w:r>
        <w:rPr>
          <w:sz w:val="20"/>
          <w:szCs w:val="20"/>
          <w:color w:val="auto"/>
        </w:rPr>
        <w:tab/>
      </w:r>
      <w:r>
        <w:rPr>
          <w:rFonts w:ascii="Times New Roman" w:cs="Times New Roman" w:eastAsia="Times New Roman" w:hAnsi="Times New Roman"/>
          <w:sz w:val="19"/>
          <w:szCs w:val="19"/>
          <w:color w:val="auto"/>
        </w:rPr>
        <w:t>Guaranty Absolute</w:t>
      </w:r>
      <w:r>
        <w:rPr>
          <w:sz w:val="20"/>
          <w:szCs w:val="20"/>
          <w:color w:val="auto"/>
        </w:rPr>
        <w:tab/>
      </w:r>
      <w:r>
        <w:rPr>
          <w:rFonts w:ascii="Times New Roman" w:cs="Times New Roman" w:eastAsia="Times New Roman" w:hAnsi="Times New Roman"/>
          <w:sz w:val="18"/>
          <w:szCs w:val="18"/>
          <w:color w:val="auto"/>
        </w:rPr>
        <w:t>79</w:t>
      </w:r>
    </w:p>
    <w:p>
      <w:pPr>
        <w:spacing w:after="0" w:line="25" w:lineRule="exact"/>
        <w:rPr>
          <w:sz w:val="20"/>
          <w:szCs w:val="20"/>
          <w:color w:val="auto"/>
        </w:rPr>
      </w:pPr>
    </w:p>
    <w:p>
      <w:pPr>
        <w:spacing w:after="0"/>
        <w:tabs>
          <w:tab w:leader="none" w:pos="1420" w:val="left"/>
          <w:tab w:leader="dot" w:pos="8860" w:val="left"/>
        </w:tabs>
        <w:rPr>
          <w:sz w:val="20"/>
          <w:szCs w:val="20"/>
          <w:color w:val="auto"/>
        </w:rPr>
      </w:pPr>
      <w:r>
        <w:rPr>
          <w:rFonts w:ascii="Times New Roman" w:cs="Times New Roman" w:eastAsia="Times New Roman" w:hAnsi="Times New Roman"/>
          <w:sz w:val="19"/>
          <w:szCs w:val="19"/>
          <w:color w:val="auto"/>
        </w:rPr>
        <w:t>Section 7.03</w:t>
      </w:r>
      <w:r>
        <w:rPr>
          <w:sz w:val="20"/>
          <w:szCs w:val="20"/>
          <w:color w:val="auto"/>
        </w:rPr>
        <w:tab/>
      </w:r>
      <w:r>
        <w:rPr>
          <w:rFonts w:ascii="Times New Roman" w:cs="Times New Roman" w:eastAsia="Times New Roman" w:hAnsi="Times New Roman"/>
          <w:sz w:val="19"/>
          <w:szCs w:val="19"/>
          <w:color w:val="auto"/>
        </w:rPr>
        <w:t>Waivers and Acknowledgments</w:t>
      </w:r>
      <w:r>
        <w:rPr>
          <w:sz w:val="20"/>
          <w:szCs w:val="20"/>
          <w:color w:val="auto"/>
        </w:rPr>
        <w:tab/>
      </w:r>
      <w:r>
        <w:rPr>
          <w:rFonts w:ascii="Times New Roman" w:cs="Times New Roman" w:eastAsia="Times New Roman" w:hAnsi="Times New Roman"/>
          <w:sz w:val="18"/>
          <w:szCs w:val="18"/>
          <w:color w:val="auto"/>
        </w:rPr>
        <w:t>80</w:t>
      </w:r>
    </w:p>
    <w:p>
      <w:pPr>
        <w:spacing w:after="0" w:line="25" w:lineRule="exact"/>
        <w:rPr>
          <w:sz w:val="20"/>
          <w:szCs w:val="20"/>
          <w:color w:val="auto"/>
        </w:rPr>
      </w:pPr>
    </w:p>
    <w:p>
      <w:pPr>
        <w:spacing w:after="0"/>
        <w:tabs>
          <w:tab w:leader="none" w:pos="1420" w:val="left"/>
          <w:tab w:leader="dot" w:pos="8020" w:val="left"/>
        </w:tabs>
        <w:rPr>
          <w:sz w:val="20"/>
          <w:szCs w:val="20"/>
          <w:color w:val="auto"/>
        </w:rPr>
      </w:pPr>
      <w:r>
        <w:rPr>
          <w:rFonts w:ascii="Times New Roman" w:cs="Times New Roman" w:eastAsia="Times New Roman" w:hAnsi="Times New Roman"/>
          <w:sz w:val="19"/>
          <w:szCs w:val="19"/>
          <w:color w:val="auto"/>
        </w:rPr>
        <w:t>Section 7.04</w:t>
      </w:r>
      <w:r>
        <w:rPr>
          <w:sz w:val="20"/>
          <w:szCs w:val="20"/>
          <w:color w:val="auto"/>
        </w:rPr>
        <w:tab/>
      </w:r>
      <w:r>
        <w:rPr>
          <w:rFonts w:ascii="Times New Roman" w:cs="Times New Roman" w:eastAsia="Times New Roman" w:hAnsi="Times New Roman"/>
          <w:sz w:val="19"/>
          <w:szCs w:val="19"/>
          <w:color w:val="auto"/>
        </w:rPr>
        <w:t>Subrogation</w:t>
      </w:r>
      <w:r>
        <w:rPr>
          <w:sz w:val="20"/>
          <w:szCs w:val="20"/>
          <w:color w:val="auto"/>
        </w:rPr>
        <w:tab/>
      </w:r>
      <w:r>
        <w:rPr>
          <w:rFonts w:ascii="Times New Roman" w:cs="Times New Roman" w:eastAsia="Times New Roman" w:hAnsi="Times New Roman"/>
          <w:sz w:val="19"/>
          <w:szCs w:val="19"/>
          <w:color w:val="auto"/>
        </w:rPr>
        <w:t>81</w:t>
      </w:r>
    </w:p>
    <w:p>
      <w:pPr>
        <w:spacing w:after="0" w:line="25" w:lineRule="exact"/>
        <w:rPr>
          <w:sz w:val="20"/>
          <w:szCs w:val="20"/>
          <w:color w:val="auto"/>
        </w:rPr>
      </w:pPr>
    </w:p>
    <w:p>
      <w:pPr>
        <w:spacing w:after="0"/>
        <w:tabs>
          <w:tab w:leader="none" w:pos="1420" w:val="left"/>
          <w:tab w:leader="dot" w:pos="8780" w:val="left"/>
        </w:tabs>
        <w:rPr>
          <w:sz w:val="20"/>
          <w:szCs w:val="20"/>
          <w:color w:val="auto"/>
        </w:rPr>
      </w:pPr>
      <w:r>
        <w:rPr>
          <w:rFonts w:ascii="Times New Roman" w:cs="Times New Roman" w:eastAsia="Times New Roman" w:hAnsi="Times New Roman"/>
          <w:sz w:val="19"/>
          <w:szCs w:val="19"/>
          <w:color w:val="auto"/>
        </w:rPr>
        <w:t>Section 7.05</w:t>
      </w:r>
      <w:r>
        <w:rPr>
          <w:sz w:val="20"/>
          <w:szCs w:val="20"/>
          <w:color w:val="auto"/>
        </w:rPr>
        <w:tab/>
      </w:r>
      <w:r>
        <w:rPr>
          <w:rFonts w:ascii="Times New Roman" w:cs="Times New Roman" w:eastAsia="Times New Roman" w:hAnsi="Times New Roman"/>
          <w:sz w:val="19"/>
          <w:szCs w:val="19"/>
          <w:color w:val="auto"/>
        </w:rPr>
        <w:t>Guaranty Supplements</w:t>
      </w:r>
      <w:r>
        <w:rPr>
          <w:sz w:val="20"/>
          <w:szCs w:val="20"/>
          <w:color w:val="auto"/>
        </w:rPr>
        <w:tab/>
      </w:r>
      <w:r>
        <w:rPr>
          <w:rFonts w:ascii="Times New Roman" w:cs="Times New Roman" w:eastAsia="Times New Roman" w:hAnsi="Times New Roman"/>
          <w:sz w:val="18"/>
          <w:szCs w:val="18"/>
          <w:color w:val="auto"/>
        </w:rPr>
        <w:t>81</w:t>
      </w:r>
    </w:p>
    <w:p>
      <w:pPr>
        <w:spacing w:after="0" w:line="25" w:lineRule="exact"/>
        <w:rPr>
          <w:sz w:val="20"/>
          <w:szCs w:val="20"/>
          <w:color w:val="auto"/>
        </w:rPr>
      </w:pPr>
    </w:p>
    <w:p>
      <w:pPr>
        <w:spacing w:after="0"/>
        <w:tabs>
          <w:tab w:leader="none" w:pos="1420" w:val="left"/>
          <w:tab w:leader="dot" w:pos="9340" w:val="left"/>
        </w:tabs>
        <w:rPr>
          <w:sz w:val="20"/>
          <w:szCs w:val="20"/>
          <w:color w:val="auto"/>
        </w:rPr>
      </w:pPr>
      <w:r>
        <w:rPr>
          <w:rFonts w:ascii="Times New Roman" w:cs="Times New Roman" w:eastAsia="Times New Roman" w:hAnsi="Times New Roman"/>
          <w:sz w:val="19"/>
          <w:szCs w:val="19"/>
          <w:color w:val="auto"/>
        </w:rPr>
        <w:t>Section 7.06</w:t>
      </w:r>
      <w:r>
        <w:rPr>
          <w:sz w:val="20"/>
          <w:szCs w:val="20"/>
          <w:color w:val="auto"/>
        </w:rPr>
        <w:tab/>
      </w:r>
      <w:r>
        <w:rPr>
          <w:rFonts w:ascii="Times New Roman" w:cs="Times New Roman" w:eastAsia="Times New Roman" w:hAnsi="Times New Roman"/>
          <w:sz w:val="19"/>
          <w:szCs w:val="19"/>
          <w:color w:val="auto"/>
        </w:rPr>
        <w:t>Indemnification by Guarantors</w:t>
      </w:r>
      <w:r>
        <w:rPr>
          <w:sz w:val="20"/>
          <w:szCs w:val="20"/>
          <w:color w:val="auto"/>
        </w:rPr>
        <w:tab/>
      </w:r>
      <w:r>
        <w:rPr>
          <w:rFonts w:ascii="Times New Roman" w:cs="Times New Roman" w:eastAsia="Times New Roman" w:hAnsi="Times New Roman"/>
          <w:sz w:val="18"/>
          <w:szCs w:val="18"/>
          <w:color w:val="FF0000"/>
          <w:strike w:val="1"/>
        </w:rPr>
        <w:t>82</w:t>
      </w:r>
      <w:r>
        <w:rPr>
          <w:rFonts w:ascii="Times New Roman" w:cs="Times New Roman" w:eastAsia="Times New Roman" w:hAnsi="Times New Roman"/>
          <w:sz w:val="18"/>
          <w:szCs w:val="18"/>
          <w:b w:val="1"/>
          <w:bCs w:val="1"/>
          <w:u w:val="single" w:color="auto"/>
          <w:color w:val="0000FF"/>
          <w:strike w:val="1"/>
        </w:rPr>
        <w:t>81</w:t>
      </w:r>
    </w:p>
    <w:p>
      <w:pPr>
        <w:spacing w:after="0" w:line="25" w:lineRule="exact"/>
        <w:rPr>
          <w:sz w:val="20"/>
          <w:szCs w:val="20"/>
          <w:color w:val="auto"/>
        </w:rPr>
      </w:pPr>
    </w:p>
    <w:p>
      <w:pPr>
        <w:spacing w:after="0"/>
        <w:tabs>
          <w:tab w:leader="none" w:pos="1420" w:val="left"/>
          <w:tab w:leader="dot" w:pos="8020" w:val="left"/>
        </w:tabs>
        <w:rPr>
          <w:sz w:val="20"/>
          <w:szCs w:val="20"/>
          <w:color w:val="auto"/>
        </w:rPr>
      </w:pPr>
      <w:r>
        <w:rPr>
          <w:rFonts w:ascii="Times New Roman" w:cs="Times New Roman" w:eastAsia="Times New Roman" w:hAnsi="Times New Roman"/>
          <w:sz w:val="19"/>
          <w:szCs w:val="19"/>
          <w:color w:val="auto"/>
        </w:rPr>
        <w:t>Section 7.07</w:t>
      </w:r>
      <w:r>
        <w:rPr>
          <w:sz w:val="20"/>
          <w:szCs w:val="20"/>
          <w:color w:val="auto"/>
        </w:rPr>
        <w:tab/>
      </w:r>
      <w:r>
        <w:rPr>
          <w:rFonts w:ascii="Times New Roman" w:cs="Times New Roman" w:eastAsia="Times New Roman" w:hAnsi="Times New Roman"/>
          <w:sz w:val="19"/>
          <w:szCs w:val="19"/>
          <w:color w:val="auto"/>
        </w:rPr>
        <w:t>Subordination</w:t>
      </w:r>
      <w:r>
        <w:rPr>
          <w:sz w:val="20"/>
          <w:szCs w:val="20"/>
          <w:color w:val="auto"/>
        </w:rPr>
        <w:tab/>
      </w:r>
      <w:r>
        <w:rPr>
          <w:rFonts w:ascii="Times New Roman" w:cs="Times New Roman" w:eastAsia="Times New Roman" w:hAnsi="Times New Roman"/>
          <w:sz w:val="19"/>
          <w:szCs w:val="19"/>
          <w:color w:val="auto"/>
        </w:rPr>
        <w:t>82</w:t>
      </w:r>
    </w:p>
    <w:p>
      <w:pPr>
        <w:spacing w:after="0" w:line="25" w:lineRule="exact"/>
        <w:rPr>
          <w:sz w:val="20"/>
          <w:szCs w:val="20"/>
          <w:color w:val="auto"/>
        </w:rPr>
      </w:pPr>
    </w:p>
    <w:p>
      <w:pPr>
        <w:spacing w:after="0"/>
        <w:tabs>
          <w:tab w:leader="none" w:pos="1420" w:val="left"/>
          <w:tab w:leader="dot" w:pos="7840" w:val="left"/>
        </w:tabs>
        <w:rPr>
          <w:sz w:val="20"/>
          <w:szCs w:val="20"/>
          <w:color w:val="auto"/>
        </w:rPr>
      </w:pPr>
      <w:r>
        <w:rPr>
          <w:rFonts w:ascii="Times New Roman" w:cs="Times New Roman" w:eastAsia="Times New Roman" w:hAnsi="Times New Roman"/>
          <w:sz w:val="19"/>
          <w:szCs w:val="19"/>
          <w:color w:val="auto"/>
        </w:rPr>
        <w:t>Section 7.08</w:t>
      </w:r>
      <w:r>
        <w:rPr>
          <w:sz w:val="20"/>
          <w:szCs w:val="20"/>
          <w:color w:val="auto"/>
        </w:rPr>
        <w:tab/>
      </w:r>
      <w:r>
        <w:rPr>
          <w:rFonts w:ascii="Times New Roman" w:cs="Times New Roman" w:eastAsia="Times New Roman" w:hAnsi="Times New Roman"/>
          <w:sz w:val="19"/>
          <w:szCs w:val="19"/>
          <w:color w:val="auto"/>
        </w:rPr>
        <w:t>Continuing Guaranty; Effect of Release</w:t>
      </w:r>
      <w:r>
        <w:rPr>
          <w:sz w:val="20"/>
          <w:szCs w:val="20"/>
          <w:color w:val="auto"/>
        </w:rPr>
        <w:tab/>
      </w:r>
      <w:r>
        <w:rPr>
          <w:rFonts w:ascii="Times New Roman" w:cs="Times New Roman" w:eastAsia="Times New Roman" w:hAnsi="Times New Roman"/>
          <w:sz w:val="18"/>
          <w:szCs w:val="18"/>
          <w:color w:val="FF0000"/>
          <w:strike w:val="1"/>
        </w:rPr>
        <w:t>83</w:t>
      </w:r>
      <w:r>
        <w:rPr>
          <w:rFonts w:ascii="Times New Roman" w:cs="Times New Roman" w:eastAsia="Times New Roman" w:hAnsi="Times New Roman"/>
          <w:sz w:val="18"/>
          <w:szCs w:val="18"/>
          <w:b w:val="1"/>
          <w:bCs w:val="1"/>
          <w:u w:val="single" w:color="auto"/>
          <w:color w:val="0000FF"/>
          <w:strike w:val="1"/>
        </w:rPr>
        <w:t>82</w:t>
      </w:r>
    </w:p>
    <w:p>
      <w:pPr>
        <w:spacing w:after="0" w:line="25" w:lineRule="exact"/>
        <w:rPr>
          <w:sz w:val="20"/>
          <w:szCs w:val="20"/>
          <w:color w:val="auto"/>
        </w:rPr>
      </w:pPr>
    </w:p>
    <w:p>
      <w:pPr>
        <w:spacing w:after="0"/>
        <w:tabs>
          <w:tab w:leader="none" w:pos="1420" w:val="left"/>
          <w:tab w:leader="dot" w:pos="8020" w:val="left"/>
        </w:tabs>
        <w:rPr>
          <w:sz w:val="20"/>
          <w:szCs w:val="20"/>
          <w:color w:val="auto"/>
        </w:rPr>
      </w:pPr>
      <w:r>
        <w:rPr>
          <w:rFonts w:ascii="Times New Roman" w:cs="Times New Roman" w:eastAsia="Times New Roman" w:hAnsi="Times New Roman"/>
          <w:sz w:val="19"/>
          <w:szCs w:val="19"/>
          <w:color w:val="auto"/>
        </w:rPr>
        <w:t>Section 7.09</w:t>
      </w:r>
      <w:r>
        <w:rPr>
          <w:sz w:val="20"/>
          <w:szCs w:val="20"/>
          <w:color w:val="auto"/>
        </w:rPr>
        <w:tab/>
      </w:r>
      <w:r>
        <w:rPr>
          <w:rFonts w:ascii="Times New Roman" w:cs="Times New Roman" w:eastAsia="Times New Roman" w:hAnsi="Times New Roman"/>
          <w:sz w:val="19"/>
          <w:szCs w:val="19"/>
          <w:color w:val="auto"/>
        </w:rPr>
        <w:t>Keepwell</w:t>
      </w:r>
      <w:r>
        <w:rPr>
          <w:sz w:val="20"/>
          <w:szCs w:val="20"/>
          <w:color w:val="auto"/>
        </w:rPr>
        <w:tab/>
      </w:r>
      <w:r>
        <w:rPr>
          <w:rFonts w:ascii="Times New Roman" w:cs="Times New Roman" w:eastAsia="Times New Roman" w:hAnsi="Times New Roman"/>
          <w:sz w:val="18"/>
          <w:szCs w:val="18"/>
          <w:color w:val="auto"/>
        </w:rPr>
        <w:t>83</w:t>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9"/>
          <w:szCs w:val="19"/>
          <w:color w:val="auto"/>
        </w:rPr>
        <w:t>ARTICLE VIII</w:t>
      </w:r>
    </w:p>
    <w:p>
      <w:pPr>
        <w:spacing w:after="0" w:line="19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THE ADMINISTRATIVE AGENT</w:t>
      </w:r>
    </w:p>
    <w:p>
      <w:pPr>
        <w:spacing w:after="0" w:line="241" w:lineRule="exact"/>
        <w:rPr>
          <w:sz w:val="20"/>
          <w:szCs w:val="20"/>
          <w:color w:val="auto"/>
        </w:rPr>
      </w:pPr>
    </w:p>
    <w:p>
      <w:pPr>
        <w:spacing w:after="0"/>
        <w:tabs>
          <w:tab w:leader="none" w:pos="1420" w:val="left"/>
          <w:tab w:leader="dot" w:pos="8000" w:val="left"/>
        </w:tabs>
        <w:rPr>
          <w:sz w:val="20"/>
          <w:szCs w:val="20"/>
          <w:color w:val="auto"/>
        </w:rPr>
      </w:pPr>
      <w:r>
        <w:rPr>
          <w:rFonts w:ascii="Times New Roman" w:cs="Times New Roman" w:eastAsia="Times New Roman" w:hAnsi="Times New Roman"/>
          <w:sz w:val="19"/>
          <w:szCs w:val="19"/>
          <w:color w:val="auto"/>
        </w:rPr>
        <w:t>Section 8.01</w:t>
      </w:r>
      <w:r>
        <w:rPr>
          <w:sz w:val="20"/>
          <w:szCs w:val="20"/>
          <w:color w:val="auto"/>
        </w:rPr>
        <w:tab/>
      </w:r>
      <w:r>
        <w:rPr>
          <w:rFonts w:ascii="Times New Roman" w:cs="Times New Roman" w:eastAsia="Times New Roman" w:hAnsi="Times New Roman"/>
          <w:sz w:val="19"/>
          <w:szCs w:val="19"/>
          <w:color w:val="auto"/>
        </w:rPr>
        <w:t>Authorization and Action</w:t>
      </w:r>
      <w:r>
        <w:rPr>
          <w:sz w:val="20"/>
          <w:szCs w:val="20"/>
          <w:color w:val="auto"/>
        </w:rPr>
        <w:tab/>
      </w:r>
      <w:r>
        <w:rPr>
          <w:rFonts w:ascii="Times New Roman" w:cs="Times New Roman" w:eastAsia="Times New Roman" w:hAnsi="Times New Roman"/>
          <w:sz w:val="18"/>
          <w:szCs w:val="18"/>
          <w:color w:val="auto"/>
        </w:rPr>
        <w:t>83</w:t>
      </w:r>
    </w:p>
    <w:p>
      <w:pPr>
        <w:spacing w:after="0" w:line="26" w:lineRule="exact"/>
        <w:rPr>
          <w:sz w:val="20"/>
          <w:szCs w:val="20"/>
          <w:color w:val="auto"/>
        </w:rPr>
      </w:pPr>
    </w:p>
    <w:p>
      <w:pPr>
        <w:spacing w:after="0"/>
        <w:tabs>
          <w:tab w:leader="none" w:pos="1420" w:val="left"/>
          <w:tab w:leader="dot" w:pos="7820" w:val="left"/>
        </w:tabs>
        <w:rPr>
          <w:sz w:val="20"/>
          <w:szCs w:val="20"/>
          <w:color w:val="auto"/>
        </w:rPr>
      </w:pPr>
      <w:r>
        <w:rPr>
          <w:rFonts w:ascii="Times New Roman" w:cs="Times New Roman" w:eastAsia="Times New Roman" w:hAnsi="Times New Roman"/>
          <w:sz w:val="19"/>
          <w:szCs w:val="19"/>
          <w:color w:val="auto"/>
        </w:rPr>
        <w:t>Section 8.02</w:t>
      </w:r>
      <w:r>
        <w:rPr>
          <w:sz w:val="20"/>
          <w:szCs w:val="20"/>
          <w:color w:val="auto"/>
        </w:rPr>
        <w:tab/>
      </w:r>
      <w:r>
        <w:rPr>
          <w:rFonts w:ascii="Times New Roman" w:cs="Times New Roman" w:eastAsia="Times New Roman" w:hAnsi="Times New Roman"/>
          <w:sz w:val="19"/>
          <w:szCs w:val="19"/>
          <w:color w:val="auto"/>
        </w:rPr>
        <w:t>The Administrative Agent’s Reliance, Etc</w:t>
      </w:r>
      <w:r>
        <w:rPr>
          <w:sz w:val="20"/>
          <w:szCs w:val="20"/>
          <w:color w:val="auto"/>
        </w:rPr>
        <w:tab/>
      </w:r>
      <w:r>
        <w:rPr>
          <w:rFonts w:ascii="Times New Roman" w:cs="Times New Roman" w:eastAsia="Times New Roman" w:hAnsi="Times New Roman"/>
          <w:sz w:val="18"/>
          <w:szCs w:val="18"/>
          <w:color w:val="FF0000"/>
          <w:strike w:val="1"/>
        </w:rPr>
        <w:t>84</w:t>
      </w:r>
      <w:r>
        <w:rPr>
          <w:rFonts w:ascii="Times New Roman" w:cs="Times New Roman" w:eastAsia="Times New Roman" w:hAnsi="Times New Roman"/>
          <w:sz w:val="18"/>
          <w:szCs w:val="18"/>
          <w:b w:val="1"/>
          <w:bCs w:val="1"/>
          <w:u w:val="single" w:color="auto"/>
          <w:color w:val="0000FF"/>
          <w:strike w:val="1"/>
        </w:rPr>
        <w:t>83</w:t>
      </w:r>
    </w:p>
    <w:p>
      <w:pPr>
        <w:spacing w:after="0" w:line="25" w:lineRule="exact"/>
        <w:rPr>
          <w:sz w:val="20"/>
          <w:szCs w:val="20"/>
          <w:color w:val="auto"/>
        </w:rPr>
      </w:pPr>
    </w:p>
    <w:p>
      <w:pPr>
        <w:spacing w:after="0"/>
        <w:tabs>
          <w:tab w:leader="none" w:pos="1420" w:val="left"/>
          <w:tab w:leader="dot" w:pos="8020" w:val="left"/>
        </w:tabs>
        <w:rPr>
          <w:sz w:val="20"/>
          <w:szCs w:val="20"/>
          <w:color w:val="auto"/>
        </w:rPr>
      </w:pPr>
      <w:r>
        <w:rPr>
          <w:rFonts w:ascii="Times New Roman" w:cs="Times New Roman" w:eastAsia="Times New Roman" w:hAnsi="Times New Roman"/>
          <w:sz w:val="19"/>
          <w:szCs w:val="19"/>
          <w:color w:val="auto"/>
        </w:rPr>
        <w:t>Section 8.03</w:t>
      </w:r>
      <w:r>
        <w:rPr>
          <w:sz w:val="20"/>
          <w:szCs w:val="20"/>
          <w:color w:val="auto"/>
        </w:rPr>
        <w:tab/>
      </w:r>
      <w:r>
        <w:rPr>
          <w:rFonts w:ascii="Times New Roman" w:cs="Times New Roman" w:eastAsia="Times New Roman" w:hAnsi="Times New Roman"/>
          <w:sz w:val="19"/>
          <w:szCs w:val="19"/>
          <w:color w:val="auto"/>
        </w:rPr>
        <w:t>PNC and Affiliates</w:t>
      </w:r>
      <w:r>
        <w:rPr>
          <w:sz w:val="20"/>
          <w:szCs w:val="20"/>
          <w:color w:val="auto"/>
        </w:rPr>
        <w:tab/>
      </w:r>
      <w:r>
        <w:rPr>
          <w:rFonts w:ascii="Times New Roman" w:cs="Times New Roman" w:eastAsia="Times New Roman" w:hAnsi="Times New Roman"/>
          <w:sz w:val="19"/>
          <w:szCs w:val="19"/>
          <w:color w:val="auto"/>
        </w:rPr>
        <w:t>84</w:t>
      </w:r>
    </w:p>
    <w:p>
      <w:pPr>
        <w:spacing w:after="0" w:line="25" w:lineRule="exact"/>
        <w:rPr>
          <w:sz w:val="20"/>
          <w:szCs w:val="20"/>
          <w:color w:val="auto"/>
        </w:rPr>
      </w:pPr>
    </w:p>
    <w:p>
      <w:pPr>
        <w:spacing w:after="0"/>
        <w:tabs>
          <w:tab w:leader="none" w:pos="1420" w:val="left"/>
          <w:tab w:leader="dot" w:pos="8020" w:val="left"/>
        </w:tabs>
        <w:rPr>
          <w:sz w:val="20"/>
          <w:szCs w:val="20"/>
          <w:color w:val="auto"/>
        </w:rPr>
      </w:pPr>
      <w:r>
        <w:rPr>
          <w:rFonts w:ascii="Times New Roman" w:cs="Times New Roman" w:eastAsia="Times New Roman" w:hAnsi="Times New Roman"/>
          <w:sz w:val="19"/>
          <w:szCs w:val="19"/>
          <w:color w:val="auto"/>
        </w:rPr>
        <w:t>Section 8.04</w:t>
      </w:r>
      <w:r>
        <w:rPr>
          <w:sz w:val="20"/>
          <w:szCs w:val="20"/>
          <w:color w:val="auto"/>
        </w:rPr>
        <w:tab/>
      </w:r>
      <w:r>
        <w:rPr>
          <w:rFonts w:ascii="Times New Roman" w:cs="Times New Roman" w:eastAsia="Times New Roman" w:hAnsi="Times New Roman"/>
          <w:sz w:val="19"/>
          <w:szCs w:val="19"/>
          <w:color w:val="auto"/>
        </w:rPr>
        <w:t>Lender Credit Decision</w:t>
      </w:r>
      <w:r>
        <w:rPr>
          <w:sz w:val="20"/>
          <w:szCs w:val="20"/>
          <w:color w:val="auto"/>
        </w:rPr>
        <w:tab/>
      </w:r>
      <w:r>
        <w:rPr>
          <w:rFonts w:ascii="Times New Roman" w:cs="Times New Roman" w:eastAsia="Times New Roman" w:hAnsi="Times New Roman"/>
          <w:sz w:val="19"/>
          <w:szCs w:val="19"/>
          <w:color w:val="auto"/>
        </w:rPr>
        <w:t>84</w:t>
      </w:r>
    </w:p>
    <w:p>
      <w:pPr>
        <w:spacing w:after="0" w:line="25" w:lineRule="exact"/>
        <w:rPr>
          <w:sz w:val="20"/>
          <w:szCs w:val="20"/>
          <w:color w:val="auto"/>
        </w:rPr>
      </w:pPr>
    </w:p>
    <w:p>
      <w:pPr>
        <w:spacing w:after="0"/>
        <w:tabs>
          <w:tab w:leader="none" w:pos="1420" w:val="left"/>
          <w:tab w:leader="dot" w:pos="7820" w:val="left"/>
        </w:tabs>
        <w:rPr>
          <w:sz w:val="20"/>
          <w:szCs w:val="20"/>
          <w:color w:val="auto"/>
        </w:rPr>
      </w:pPr>
      <w:r>
        <w:rPr>
          <w:rFonts w:ascii="Times New Roman" w:cs="Times New Roman" w:eastAsia="Times New Roman" w:hAnsi="Times New Roman"/>
          <w:sz w:val="19"/>
          <w:szCs w:val="19"/>
          <w:color w:val="auto"/>
        </w:rPr>
        <w:t>Section 8.05</w:t>
      </w:r>
      <w:r>
        <w:rPr>
          <w:sz w:val="20"/>
          <w:szCs w:val="20"/>
          <w:color w:val="auto"/>
        </w:rPr>
        <w:tab/>
      </w:r>
      <w:r>
        <w:rPr>
          <w:rFonts w:ascii="Times New Roman" w:cs="Times New Roman" w:eastAsia="Times New Roman" w:hAnsi="Times New Roman"/>
          <w:sz w:val="19"/>
          <w:szCs w:val="19"/>
          <w:color w:val="auto"/>
        </w:rPr>
        <w:t>Indemnification by Lenders</w:t>
      </w:r>
      <w:r>
        <w:rPr>
          <w:sz w:val="20"/>
          <w:szCs w:val="20"/>
          <w:color w:val="auto"/>
        </w:rPr>
        <w:tab/>
      </w:r>
      <w:r>
        <w:rPr>
          <w:rFonts w:ascii="Times New Roman" w:cs="Times New Roman" w:eastAsia="Times New Roman" w:hAnsi="Times New Roman"/>
          <w:sz w:val="18"/>
          <w:szCs w:val="18"/>
          <w:color w:val="FF0000"/>
          <w:strike w:val="1"/>
        </w:rPr>
        <w:t>85</w:t>
      </w:r>
      <w:r>
        <w:rPr>
          <w:rFonts w:ascii="Times New Roman" w:cs="Times New Roman" w:eastAsia="Times New Roman" w:hAnsi="Times New Roman"/>
          <w:sz w:val="18"/>
          <w:szCs w:val="18"/>
          <w:b w:val="1"/>
          <w:bCs w:val="1"/>
          <w:u w:val="single" w:color="auto"/>
          <w:color w:val="0000FF"/>
          <w:strike w:val="1"/>
        </w:rPr>
        <w:t>84</w:t>
      </w:r>
    </w:p>
    <w:p>
      <w:pPr>
        <w:spacing w:after="0" w:line="25" w:lineRule="exact"/>
        <w:rPr>
          <w:sz w:val="20"/>
          <w:szCs w:val="20"/>
          <w:color w:val="auto"/>
        </w:rPr>
      </w:pPr>
    </w:p>
    <w:p>
      <w:pPr>
        <w:spacing w:after="0"/>
        <w:tabs>
          <w:tab w:leader="none" w:pos="1420" w:val="left"/>
          <w:tab w:leader="dot" w:pos="8040" w:val="left"/>
        </w:tabs>
        <w:rPr>
          <w:sz w:val="20"/>
          <w:szCs w:val="20"/>
          <w:color w:val="auto"/>
        </w:rPr>
      </w:pPr>
      <w:r>
        <w:rPr>
          <w:rFonts w:ascii="Times New Roman" w:cs="Times New Roman" w:eastAsia="Times New Roman" w:hAnsi="Times New Roman"/>
          <w:sz w:val="19"/>
          <w:szCs w:val="19"/>
          <w:color w:val="auto"/>
        </w:rPr>
        <w:t>Section 8.06</w:t>
      </w:r>
      <w:r>
        <w:rPr>
          <w:sz w:val="20"/>
          <w:szCs w:val="20"/>
          <w:color w:val="auto"/>
        </w:rPr>
        <w:tab/>
      </w:r>
      <w:r>
        <w:rPr>
          <w:rFonts w:ascii="Times New Roman" w:cs="Times New Roman" w:eastAsia="Times New Roman" w:hAnsi="Times New Roman"/>
          <w:sz w:val="19"/>
          <w:szCs w:val="19"/>
          <w:color w:val="auto"/>
        </w:rPr>
        <w:t>Successor Agent</w:t>
      </w:r>
      <w:r>
        <w:rPr>
          <w:sz w:val="20"/>
          <w:szCs w:val="20"/>
          <w:color w:val="auto"/>
        </w:rPr>
        <w:tab/>
      </w:r>
      <w:r>
        <w:rPr>
          <w:rFonts w:ascii="Times New Roman" w:cs="Times New Roman" w:eastAsia="Times New Roman" w:hAnsi="Times New Roman"/>
          <w:sz w:val="18"/>
          <w:szCs w:val="18"/>
          <w:color w:val="auto"/>
        </w:rPr>
        <w:t>85</w:t>
      </w:r>
    </w:p>
    <w:p>
      <w:pPr>
        <w:spacing w:after="0" w:line="25" w:lineRule="exact"/>
        <w:rPr>
          <w:sz w:val="20"/>
          <w:szCs w:val="20"/>
          <w:color w:val="auto"/>
        </w:rPr>
      </w:pPr>
    </w:p>
    <w:p>
      <w:pPr>
        <w:spacing w:after="0"/>
        <w:tabs>
          <w:tab w:leader="none" w:pos="1420" w:val="left"/>
          <w:tab w:leader="dot" w:pos="8040" w:val="left"/>
        </w:tabs>
        <w:rPr>
          <w:sz w:val="20"/>
          <w:szCs w:val="20"/>
          <w:color w:val="auto"/>
        </w:rPr>
      </w:pPr>
      <w:r>
        <w:rPr>
          <w:rFonts w:ascii="Times New Roman" w:cs="Times New Roman" w:eastAsia="Times New Roman" w:hAnsi="Times New Roman"/>
          <w:sz w:val="19"/>
          <w:szCs w:val="19"/>
          <w:color w:val="auto"/>
        </w:rPr>
        <w:t>Section 8.07</w:t>
      </w:r>
      <w:r>
        <w:rPr>
          <w:sz w:val="20"/>
          <w:szCs w:val="20"/>
          <w:color w:val="auto"/>
        </w:rPr>
        <w:tab/>
      </w:r>
      <w:r>
        <w:rPr>
          <w:rFonts w:ascii="Times New Roman" w:cs="Times New Roman" w:eastAsia="Times New Roman" w:hAnsi="Times New Roman"/>
          <w:sz w:val="19"/>
          <w:szCs w:val="19"/>
          <w:color w:val="auto"/>
        </w:rPr>
        <w:t>Relationship of Administrative Agent and Lenders</w:t>
      </w:r>
      <w:r>
        <w:rPr>
          <w:sz w:val="20"/>
          <w:szCs w:val="20"/>
          <w:color w:val="auto"/>
        </w:rPr>
        <w:tab/>
      </w:r>
      <w:r>
        <w:rPr>
          <w:rFonts w:ascii="Times New Roman" w:cs="Times New Roman" w:eastAsia="Times New Roman" w:hAnsi="Times New Roman"/>
          <w:sz w:val="19"/>
          <w:szCs w:val="19"/>
          <w:color w:val="auto"/>
        </w:rPr>
        <w:t>86</w:t>
      </w:r>
    </w:p>
    <w:p>
      <w:pPr>
        <w:spacing w:after="0" w:line="25" w:lineRule="exact"/>
        <w:rPr>
          <w:sz w:val="20"/>
          <w:szCs w:val="20"/>
          <w:color w:val="auto"/>
        </w:rPr>
      </w:pPr>
    </w:p>
    <w:p>
      <w:pPr>
        <w:spacing w:after="0"/>
        <w:tabs>
          <w:tab w:leader="none" w:pos="1420" w:val="left"/>
          <w:tab w:leader="dot" w:pos="8020" w:val="left"/>
        </w:tabs>
        <w:rPr>
          <w:sz w:val="20"/>
          <w:szCs w:val="20"/>
          <w:color w:val="auto"/>
        </w:rPr>
      </w:pPr>
      <w:r>
        <w:rPr>
          <w:rFonts w:ascii="Times New Roman" w:cs="Times New Roman" w:eastAsia="Times New Roman" w:hAnsi="Times New Roman"/>
          <w:sz w:val="19"/>
          <w:szCs w:val="19"/>
          <w:color w:val="auto"/>
        </w:rPr>
        <w:t>Section 8.08</w:t>
      </w:r>
      <w:r>
        <w:rPr>
          <w:sz w:val="20"/>
          <w:szCs w:val="20"/>
          <w:color w:val="auto"/>
        </w:rPr>
        <w:tab/>
      </w:r>
      <w:r>
        <w:rPr>
          <w:rFonts w:ascii="Times New Roman" w:cs="Times New Roman" w:eastAsia="Times New Roman" w:hAnsi="Times New Roman"/>
          <w:sz w:val="19"/>
          <w:szCs w:val="19"/>
          <w:color w:val="auto"/>
        </w:rPr>
        <w:t>Certain ERISA Matters</w:t>
      </w:r>
      <w:r>
        <w:rPr>
          <w:sz w:val="20"/>
          <w:szCs w:val="20"/>
          <w:color w:val="auto"/>
        </w:rPr>
        <w:tab/>
      </w:r>
      <w:r>
        <w:rPr>
          <w:rFonts w:ascii="Times New Roman" w:cs="Times New Roman" w:eastAsia="Times New Roman" w:hAnsi="Times New Roman"/>
          <w:sz w:val="19"/>
          <w:szCs w:val="19"/>
          <w:color w:val="auto"/>
        </w:rPr>
        <w:t>86</w:t>
      </w:r>
    </w:p>
    <w:p>
      <w:pPr>
        <w:spacing w:after="0" w:line="25" w:lineRule="exact"/>
        <w:rPr>
          <w:sz w:val="20"/>
          <w:szCs w:val="20"/>
          <w:color w:val="auto"/>
        </w:rPr>
      </w:pPr>
    </w:p>
    <w:p>
      <w:pPr>
        <w:spacing w:after="0"/>
        <w:tabs>
          <w:tab w:leader="none" w:pos="1420" w:val="left"/>
          <w:tab w:leader="dot" w:pos="8000" w:val="left"/>
        </w:tabs>
        <w:rPr>
          <w:sz w:val="20"/>
          <w:szCs w:val="20"/>
          <w:color w:val="auto"/>
        </w:rPr>
      </w:pPr>
      <w:r>
        <w:rPr>
          <w:rFonts w:ascii="Times New Roman" w:cs="Times New Roman" w:eastAsia="Times New Roman" w:hAnsi="Times New Roman"/>
          <w:sz w:val="19"/>
          <w:szCs w:val="19"/>
          <w:color w:val="auto"/>
        </w:rPr>
        <w:t>Section 8.09</w:t>
      </w:r>
      <w:r>
        <w:rPr>
          <w:sz w:val="20"/>
          <w:szCs w:val="20"/>
          <w:color w:val="auto"/>
        </w:rPr>
        <w:tab/>
      </w:r>
      <w:r>
        <w:rPr>
          <w:rFonts w:ascii="Times New Roman" w:cs="Times New Roman" w:eastAsia="Times New Roman" w:hAnsi="Times New Roman"/>
          <w:sz w:val="19"/>
          <w:szCs w:val="19"/>
          <w:color w:val="auto"/>
        </w:rPr>
        <w:t>Payments in Error</w:t>
      </w:r>
      <w:r>
        <w:rPr>
          <w:sz w:val="20"/>
          <w:szCs w:val="20"/>
          <w:color w:val="auto"/>
        </w:rPr>
        <w:tab/>
      </w:r>
      <w:r>
        <w:rPr>
          <w:rFonts w:ascii="Times New Roman" w:cs="Times New Roman" w:eastAsia="Times New Roman" w:hAnsi="Times New Roman"/>
          <w:sz w:val="19"/>
          <w:szCs w:val="19"/>
          <w:color w:val="auto"/>
        </w:rPr>
        <w:t>87</w:t>
      </w:r>
    </w:p>
    <w:p>
      <w:pPr>
        <w:spacing w:after="0" w:line="1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9"/>
          <w:szCs w:val="19"/>
          <w:color w:val="auto"/>
        </w:rPr>
        <w:t>ARTICLE IX</w:t>
      </w:r>
    </w:p>
    <w:p>
      <w:pPr>
        <w:spacing w:after="0" w:line="19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9"/>
          <w:szCs w:val="19"/>
          <w:color w:val="auto"/>
        </w:rPr>
        <w:t>MISCELLANEOUS</w:t>
      </w:r>
    </w:p>
    <w:p>
      <w:pPr>
        <w:spacing w:after="0" w:line="241" w:lineRule="exact"/>
        <w:rPr>
          <w:sz w:val="20"/>
          <w:szCs w:val="20"/>
          <w:color w:val="auto"/>
        </w:rPr>
      </w:pPr>
    </w:p>
    <w:p>
      <w:pPr>
        <w:spacing w:after="0"/>
        <w:tabs>
          <w:tab w:leader="none" w:pos="1420" w:val="left"/>
          <w:tab w:leader="dot" w:pos="8020" w:val="left"/>
        </w:tabs>
        <w:rPr>
          <w:sz w:val="20"/>
          <w:szCs w:val="20"/>
          <w:color w:val="auto"/>
        </w:rPr>
      </w:pPr>
      <w:r>
        <w:rPr>
          <w:rFonts w:ascii="Times New Roman" w:cs="Times New Roman" w:eastAsia="Times New Roman" w:hAnsi="Times New Roman"/>
          <w:sz w:val="19"/>
          <w:szCs w:val="19"/>
          <w:color w:val="auto"/>
        </w:rPr>
        <w:t>Section 9.01</w:t>
      </w:r>
      <w:r>
        <w:rPr>
          <w:sz w:val="20"/>
          <w:szCs w:val="20"/>
          <w:color w:val="auto"/>
        </w:rPr>
        <w:tab/>
      </w:r>
      <w:r>
        <w:rPr>
          <w:rFonts w:ascii="Times New Roman" w:cs="Times New Roman" w:eastAsia="Times New Roman" w:hAnsi="Times New Roman"/>
          <w:sz w:val="19"/>
          <w:szCs w:val="19"/>
          <w:color w:val="auto"/>
        </w:rPr>
        <w:t>Amendments, Etc</w:t>
      </w:r>
      <w:r>
        <w:rPr>
          <w:sz w:val="20"/>
          <w:szCs w:val="20"/>
          <w:color w:val="auto"/>
        </w:rPr>
        <w:tab/>
      </w:r>
      <w:r>
        <w:rPr>
          <w:rFonts w:ascii="Times New Roman" w:cs="Times New Roman" w:eastAsia="Times New Roman" w:hAnsi="Times New Roman"/>
          <w:sz w:val="19"/>
          <w:szCs w:val="19"/>
          <w:color w:val="auto"/>
        </w:rPr>
        <w:t>89</w:t>
      </w:r>
    </w:p>
    <w:p>
      <w:pPr>
        <w:spacing w:after="0" w:line="26" w:lineRule="exact"/>
        <w:rPr>
          <w:sz w:val="20"/>
          <w:szCs w:val="20"/>
          <w:color w:val="auto"/>
        </w:rPr>
      </w:pPr>
    </w:p>
    <w:p>
      <w:pPr>
        <w:spacing w:after="0"/>
        <w:tabs>
          <w:tab w:leader="none" w:pos="1420" w:val="left"/>
          <w:tab w:leader="dot" w:pos="8020" w:val="left"/>
        </w:tabs>
        <w:rPr>
          <w:sz w:val="20"/>
          <w:szCs w:val="20"/>
          <w:color w:val="auto"/>
        </w:rPr>
      </w:pPr>
      <w:r>
        <w:rPr>
          <w:rFonts w:ascii="Times New Roman" w:cs="Times New Roman" w:eastAsia="Times New Roman" w:hAnsi="Times New Roman"/>
          <w:sz w:val="19"/>
          <w:szCs w:val="19"/>
          <w:color w:val="auto"/>
        </w:rPr>
        <w:t>Section 9.02</w:t>
      </w:r>
      <w:r>
        <w:rPr>
          <w:sz w:val="20"/>
          <w:szCs w:val="20"/>
          <w:color w:val="auto"/>
        </w:rPr>
        <w:tab/>
      </w:r>
      <w:r>
        <w:rPr>
          <w:rFonts w:ascii="Times New Roman" w:cs="Times New Roman" w:eastAsia="Times New Roman" w:hAnsi="Times New Roman"/>
          <w:sz w:val="19"/>
          <w:szCs w:val="19"/>
          <w:color w:val="auto"/>
        </w:rPr>
        <w:t>Notices, Etc</w:t>
      </w:r>
      <w:r>
        <w:rPr>
          <w:sz w:val="20"/>
          <w:szCs w:val="20"/>
          <w:color w:val="auto"/>
        </w:rPr>
        <w:tab/>
      </w:r>
      <w:r>
        <w:rPr>
          <w:rFonts w:ascii="Times New Roman" w:cs="Times New Roman" w:eastAsia="Times New Roman" w:hAnsi="Times New Roman"/>
          <w:sz w:val="19"/>
          <w:szCs w:val="19"/>
          <w:color w:val="auto"/>
        </w:rPr>
        <w:t>91</w:t>
      </w:r>
    </w:p>
    <w:p>
      <w:pPr>
        <w:spacing w:after="0" w:line="25" w:lineRule="exact"/>
        <w:rPr>
          <w:sz w:val="20"/>
          <w:szCs w:val="20"/>
          <w:color w:val="auto"/>
        </w:rPr>
      </w:pPr>
    </w:p>
    <w:p>
      <w:pPr>
        <w:spacing w:after="0"/>
        <w:tabs>
          <w:tab w:leader="none" w:pos="1420" w:val="left"/>
          <w:tab w:leader="dot" w:pos="8020" w:val="left"/>
        </w:tabs>
        <w:rPr>
          <w:sz w:val="20"/>
          <w:szCs w:val="20"/>
          <w:color w:val="auto"/>
        </w:rPr>
      </w:pPr>
      <w:r>
        <w:rPr>
          <w:rFonts w:ascii="Times New Roman" w:cs="Times New Roman" w:eastAsia="Times New Roman" w:hAnsi="Times New Roman"/>
          <w:sz w:val="19"/>
          <w:szCs w:val="19"/>
          <w:color w:val="auto"/>
        </w:rPr>
        <w:t>Section 9.03</w:t>
      </w:r>
      <w:r>
        <w:rPr>
          <w:sz w:val="20"/>
          <w:szCs w:val="20"/>
          <w:color w:val="auto"/>
        </w:rPr>
        <w:tab/>
      </w:r>
      <w:r>
        <w:rPr>
          <w:rFonts w:ascii="Times New Roman" w:cs="Times New Roman" w:eastAsia="Times New Roman" w:hAnsi="Times New Roman"/>
          <w:sz w:val="19"/>
          <w:szCs w:val="19"/>
          <w:color w:val="auto"/>
        </w:rPr>
        <w:t>No Waiver; Remedies</w:t>
      </w:r>
      <w:r>
        <w:rPr>
          <w:sz w:val="20"/>
          <w:szCs w:val="20"/>
          <w:color w:val="auto"/>
        </w:rPr>
        <w:tab/>
      </w:r>
      <w:r>
        <w:rPr>
          <w:rFonts w:ascii="Times New Roman" w:cs="Times New Roman" w:eastAsia="Times New Roman" w:hAnsi="Times New Roman"/>
          <w:sz w:val="19"/>
          <w:szCs w:val="19"/>
          <w:color w:val="auto"/>
        </w:rPr>
        <w:t>93</w:t>
      </w:r>
    </w:p>
    <w:p>
      <w:pPr>
        <w:spacing w:after="0" w:line="25" w:lineRule="exact"/>
        <w:rPr>
          <w:sz w:val="20"/>
          <w:szCs w:val="20"/>
          <w:color w:val="auto"/>
        </w:rPr>
      </w:pPr>
    </w:p>
    <w:p>
      <w:pPr>
        <w:spacing w:after="0"/>
        <w:tabs>
          <w:tab w:leader="none" w:pos="1420" w:val="left"/>
          <w:tab w:leader="dot" w:pos="7840" w:val="left"/>
        </w:tabs>
        <w:rPr>
          <w:sz w:val="20"/>
          <w:szCs w:val="20"/>
          <w:color w:val="auto"/>
        </w:rPr>
      </w:pPr>
      <w:r>
        <w:rPr>
          <w:rFonts w:ascii="Times New Roman" w:cs="Times New Roman" w:eastAsia="Times New Roman" w:hAnsi="Times New Roman"/>
          <w:sz w:val="19"/>
          <w:szCs w:val="19"/>
          <w:color w:val="auto"/>
        </w:rPr>
        <w:t>Section 9.04</w:t>
      </w:r>
      <w:r>
        <w:rPr>
          <w:sz w:val="20"/>
          <w:szCs w:val="20"/>
          <w:color w:val="auto"/>
        </w:rPr>
        <w:tab/>
      </w:r>
      <w:r>
        <w:rPr>
          <w:rFonts w:ascii="Times New Roman" w:cs="Times New Roman" w:eastAsia="Times New Roman" w:hAnsi="Times New Roman"/>
          <w:sz w:val="19"/>
          <w:szCs w:val="19"/>
          <w:color w:val="auto"/>
        </w:rPr>
        <w:t>Costs and Expenses</w:t>
      </w:r>
      <w:r>
        <w:rPr>
          <w:sz w:val="20"/>
          <w:szCs w:val="20"/>
          <w:color w:val="auto"/>
        </w:rPr>
        <w:tab/>
      </w:r>
      <w:r>
        <w:rPr>
          <w:rFonts w:ascii="Times New Roman" w:cs="Times New Roman" w:eastAsia="Times New Roman" w:hAnsi="Times New Roman"/>
          <w:sz w:val="18"/>
          <w:szCs w:val="18"/>
          <w:color w:val="FF0000"/>
          <w:strike w:val="1"/>
        </w:rPr>
        <w:t>94</w:t>
      </w:r>
      <w:r>
        <w:rPr>
          <w:rFonts w:ascii="Times New Roman" w:cs="Times New Roman" w:eastAsia="Times New Roman" w:hAnsi="Times New Roman"/>
          <w:sz w:val="18"/>
          <w:szCs w:val="18"/>
          <w:b w:val="1"/>
          <w:bCs w:val="1"/>
          <w:u w:val="single" w:color="auto"/>
          <w:color w:val="0000FF"/>
          <w:strike w:val="1"/>
        </w:rPr>
        <w:t>93</w:t>
      </w:r>
    </w:p>
    <w:p>
      <w:pPr>
        <w:spacing w:after="0" w:line="25" w:lineRule="exact"/>
        <w:rPr>
          <w:sz w:val="20"/>
          <w:szCs w:val="20"/>
          <w:color w:val="auto"/>
        </w:rPr>
      </w:pPr>
    </w:p>
    <w:p>
      <w:pPr>
        <w:spacing w:after="0" w:line="219" w:lineRule="exact"/>
        <w:tabs>
          <w:tab w:leader="none" w:pos="1420" w:val="left"/>
          <w:tab w:leader="dot" w:pos="8020" w:val="left"/>
        </w:tabs>
        <w:rPr>
          <w:sz w:val="20"/>
          <w:szCs w:val="20"/>
          <w:color w:val="auto"/>
        </w:rPr>
      </w:pPr>
      <w:r>
        <w:rPr>
          <w:rFonts w:ascii="Times New Roman" w:cs="Times New Roman" w:eastAsia="Times New Roman" w:hAnsi="Times New Roman"/>
          <w:sz w:val="19"/>
          <w:szCs w:val="19"/>
          <w:color w:val="auto"/>
        </w:rPr>
        <w:t>Section 9.05</w:t>
      </w:r>
      <w:r>
        <w:rPr>
          <w:sz w:val="20"/>
          <w:szCs w:val="20"/>
          <w:color w:val="auto"/>
        </w:rPr>
        <w:tab/>
      </w:r>
      <w:r>
        <w:rPr>
          <w:rFonts w:ascii="Times New Roman" w:cs="Times New Roman" w:eastAsia="Times New Roman" w:hAnsi="Times New Roman"/>
          <w:sz w:val="19"/>
          <w:szCs w:val="19"/>
          <w:color w:val="auto"/>
        </w:rPr>
        <w:t>Right of Set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off</w:t>
      </w:r>
      <w:r>
        <w:rPr>
          <w:sz w:val="20"/>
          <w:szCs w:val="20"/>
          <w:color w:val="auto"/>
        </w:rPr>
        <w:tab/>
      </w:r>
      <w:r>
        <w:rPr>
          <w:rFonts w:ascii="Times New Roman" w:cs="Times New Roman" w:eastAsia="Times New Roman" w:hAnsi="Times New Roman"/>
          <w:sz w:val="18"/>
          <w:szCs w:val="18"/>
          <w:color w:val="auto"/>
        </w:rPr>
        <w:t>95</w:t>
      </w:r>
    </w:p>
    <w:p>
      <w:pPr>
        <w:spacing w:after="0" w:line="43" w:lineRule="exact"/>
        <w:rPr>
          <w:sz w:val="20"/>
          <w:szCs w:val="20"/>
          <w:color w:val="auto"/>
        </w:rPr>
      </w:pPr>
    </w:p>
    <w:p>
      <w:pPr>
        <w:spacing w:after="0"/>
        <w:tabs>
          <w:tab w:leader="none" w:pos="1420" w:val="left"/>
          <w:tab w:leader="dot" w:pos="8020" w:val="left"/>
        </w:tabs>
        <w:rPr>
          <w:sz w:val="20"/>
          <w:szCs w:val="20"/>
          <w:color w:val="auto"/>
        </w:rPr>
      </w:pPr>
      <w:r>
        <w:rPr>
          <w:rFonts w:ascii="Times New Roman" w:cs="Times New Roman" w:eastAsia="Times New Roman" w:hAnsi="Times New Roman"/>
          <w:sz w:val="19"/>
          <w:szCs w:val="19"/>
          <w:color w:val="auto"/>
        </w:rPr>
        <w:t>Section 9.06</w:t>
      </w:r>
      <w:r>
        <w:rPr>
          <w:sz w:val="20"/>
          <w:szCs w:val="20"/>
          <w:color w:val="auto"/>
        </w:rPr>
        <w:tab/>
      </w:r>
      <w:r>
        <w:rPr>
          <w:rFonts w:ascii="Times New Roman" w:cs="Times New Roman" w:eastAsia="Times New Roman" w:hAnsi="Times New Roman"/>
          <w:sz w:val="19"/>
          <w:szCs w:val="19"/>
          <w:color w:val="auto"/>
        </w:rPr>
        <w:t>Binding Effect</w:t>
      </w:r>
      <w:r>
        <w:rPr>
          <w:sz w:val="20"/>
          <w:szCs w:val="20"/>
          <w:color w:val="auto"/>
        </w:rPr>
        <w:tab/>
      </w:r>
      <w:r>
        <w:rPr>
          <w:rFonts w:ascii="Times New Roman" w:cs="Times New Roman" w:eastAsia="Times New Roman" w:hAnsi="Times New Roman"/>
          <w:sz w:val="19"/>
          <w:szCs w:val="19"/>
          <w:color w:val="auto"/>
        </w:rPr>
        <w:t>96</w:t>
      </w:r>
    </w:p>
    <w:p>
      <w:pPr>
        <w:spacing w:after="0" w:line="6" w:lineRule="exact"/>
        <w:rPr>
          <w:sz w:val="20"/>
          <w:szCs w:val="20"/>
          <w:color w:val="auto"/>
        </w:rPr>
      </w:pPr>
    </w:p>
    <w:p>
      <w:pPr>
        <w:spacing w:after="0"/>
        <w:tabs>
          <w:tab w:leader="none" w:pos="1420" w:val="left"/>
          <w:tab w:leader="dot" w:pos="8040" w:val="left"/>
        </w:tabs>
        <w:rPr>
          <w:sz w:val="20"/>
          <w:szCs w:val="20"/>
          <w:color w:val="auto"/>
        </w:rPr>
      </w:pPr>
      <w:r>
        <w:rPr>
          <w:rFonts w:ascii="Times New Roman" w:cs="Times New Roman" w:eastAsia="Times New Roman" w:hAnsi="Times New Roman"/>
          <w:sz w:val="19"/>
          <w:szCs w:val="19"/>
          <w:color w:val="auto"/>
        </w:rPr>
        <w:t>Section 9.07</w:t>
      </w:r>
      <w:r>
        <w:rPr>
          <w:sz w:val="20"/>
          <w:szCs w:val="20"/>
          <w:color w:val="auto"/>
        </w:rPr>
        <w:tab/>
      </w:r>
      <w:r>
        <w:rPr>
          <w:rFonts w:ascii="Times New Roman" w:cs="Times New Roman" w:eastAsia="Times New Roman" w:hAnsi="Times New Roman"/>
          <w:sz w:val="19"/>
          <w:szCs w:val="19"/>
          <w:color w:val="auto"/>
        </w:rPr>
        <w:t>Assignments and Participations; Replacement Notes</w:t>
      </w:r>
      <w:r>
        <w:rPr>
          <w:sz w:val="20"/>
          <w:szCs w:val="20"/>
          <w:color w:val="auto"/>
        </w:rPr>
        <w:tab/>
      </w:r>
      <w:r>
        <w:rPr>
          <w:rFonts w:ascii="Times New Roman" w:cs="Times New Roman" w:eastAsia="Times New Roman" w:hAnsi="Times New Roman"/>
          <w:sz w:val="18"/>
          <w:szCs w:val="18"/>
          <w:color w:val="auto"/>
        </w:rPr>
        <w:t>96</w:t>
      </w:r>
    </w:p>
    <w:p>
      <w:pPr>
        <w:spacing w:after="0" w:line="25" w:lineRule="exact"/>
        <w:rPr>
          <w:sz w:val="20"/>
          <w:szCs w:val="20"/>
          <w:color w:val="auto"/>
        </w:rPr>
      </w:pPr>
    </w:p>
    <w:p>
      <w:pPr>
        <w:spacing w:after="0"/>
        <w:tabs>
          <w:tab w:leader="none" w:pos="1420" w:val="left"/>
          <w:tab w:leader="dot" w:pos="8040" w:val="left"/>
        </w:tabs>
        <w:rPr>
          <w:sz w:val="20"/>
          <w:szCs w:val="20"/>
          <w:color w:val="auto"/>
        </w:rPr>
      </w:pPr>
      <w:r>
        <w:rPr>
          <w:rFonts w:ascii="Times New Roman" w:cs="Times New Roman" w:eastAsia="Times New Roman" w:hAnsi="Times New Roman"/>
          <w:sz w:val="19"/>
          <w:szCs w:val="19"/>
          <w:color w:val="auto"/>
        </w:rPr>
        <w:t>Section 9.08</w:t>
      </w:r>
      <w:r>
        <w:rPr>
          <w:sz w:val="20"/>
          <w:szCs w:val="20"/>
          <w:color w:val="auto"/>
        </w:rPr>
        <w:tab/>
      </w:r>
      <w:r>
        <w:rPr>
          <w:rFonts w:ascii="Times New Roman" w:cs="Times New Roman" w:eastAsia="Times New Roman" w:hAnsi="Times New Roman"/>
          <w:sz w:val="19"/>
          <w:szCs w:val="19"/>
          <w:color w:val="auto"/>
        </w:rPr>
        <w:t>Execution in Counterparts</w:t>
      </w:r>
      <w:r>
        <w:rPr>
          <w:sz w:val="20"/>
          <w:szCs w:val="20"/>
          <w:color w:val="auto"/>
        </w:rPr>
        <w:tab/>
      </w:r>
      <w:r>
        <w:rPr>
          <w:rFonts w:ascii="Times New Roman" w:cs="Times New Roman" w:eastAsia="Times New Roman" w:hAnsi="Times New Roman"/>
          <w:sz w:val="19"/>
          <w:szCs w:val="19"/>
          <w:color w:val="auto"/>
        </w:rPr>
        <w:t>99</w:t>
      </w:r>
    </w:p>
    <w:p>
      <w:pPr>
        <w:spacing w:after="0" w:line="25" w:lineRule="exact"/>
        <w:rPr>
          <w:sz w:val="20"/>
          <w:szCs w:val="20"/>
          <w:color w:val="auto"/>
        </w:rPr>
      </w:pPr>
    </w:p>
    <w:p>
      <w:pPr>
        <w:spacing w:after="0"/>
        <w:tabs>
          <w:tab w:leader="none" w:pos="1420" w:val="left"/>
          <w:tab w:leader="dot" w:pos="7720" w:val="left"/>
        </w:tabs>
        <w:rPr>
          <w:sz w:val="20"/>
          <w:szCs w:val="20"/>
          <w:color w:val="auto"/>
        </w:rPr>
      </w:pPr>
      <w:r>
        <w:rPr>
          <w:rFonts w:ascii="Times New Roman" w:cs="Times New Roman" w:eastAsia="Times New Roman" w:hAnsi="Times New Roman"/>
          <w:sz w:val="19"/>
          <w:szCs w:val="19"/>
          <w:color w:val="auto"/>
        </w:rPr>
        <w:t>Section 9.09</w:t>
      </w:r>
      <w:r>
        <w:rPr>
          <w:sz w:val="20"/>
          <w:szCs w:val="20"/>
          <w:color w:val="auto"/>
        </w:rPr>
        <w:tab/>
      </w:r>
      <w:r>
        <w:rPr>
          <w:rFonts w:ascii="Times New Roman" w:cs="Times New Roman" w:eastAsia="Times New Roman" w:hAnsi="Times New Roman"/>
          <w:sz w:val="19"/>
          <w:szCs w:val="19"/>
          <w:color w:val="auto"/>
        </w:rPr>
        <w:t>Severability</w:t>
      </w:r>
      <w:r>
        <w:rPr>
          <w:sz w:val="20"/>
          <w:szCs w:val="20"/>
          <w:color w:val="auto"/>
        </w:rPr>
        <w:tab/>
      </w:r>
      <w:r>
        <w:rPr>
          <w:rFonts w:ascii="Times New Roman" w:cs="Times New Roman" w:eastAsia="Times New Roman" w:hAnsi="Times New Roman"/>
          <w:sz w:val="19"/>
          <w:szCs w:val="19"/>
          <w:color w:val="FF0000"/>
          <w:strike w:val="1"/>
        </w:rPr>
        <w:t>100</w:t>
      </w:r>
      <w:r>
        <w:rPr>
          <w:rFonts w:ascii="Times New Roman" w:cs="Times New Roman" w:eastAsia="Times New Roman" w:hAnsi="Times New Roman"/>
          <w:sz w:val="19"/>
          <w:szCs w:val="19"/>
          <w:b w:val="1"/>
          <w:bCs w:val="1"/>
          <w:u w:val="single" w:color="auto"/>
          <w:color w:val="0000FF"/>
          <w:strike w:val="1"/>
        </w:rPr>
        <w:t>99</w:t>
      </w:r>
    </w:p>
    <w:p>
      <w:pPr>
        <w:spacing w:after="0" w:line="25" w:lineRule="exact"/>
        <w:rPr>
          <w:sz w:val="20"/>
          <w:szCs w:val="20"/>
          <w:color w:val="auto"/>
        </w:rPr>
      </w:pPr>
    </w:p>
    <w:p>
      <w:pPr>
        <w:spacing w:after="0"/>
        <w:tabs>
          <w:tab w:leader="none" w:pos="1420" w:val="left"/>
          <w:tab w:leader="dot" w:pos="7740" w:val="left"/>
        </w:tabs>
        <w:rPr>
          <w:sz w:val="20"/>
          <w:szCs w:val="20"/>
          <w:color w:val="auto"/>
        </w:rPr>
      </w:pPr>
      <w:r>
        <w:rPr>
          <w:rFonts w:ascii="Times New Roman" w:cs="Times New Roman" w:eastAsia="Times New Roman" w:hAnsi="Times New Roman"/>
          <w:sz w:val="19"/>
          <w:szCs w:val="19"/>
          <w:color w:val="auto"/>
        </w:rPr>
        <w:t>Section 9.10</w:t>
      </w:r>
      <w:r>
        <w:rPr>
          <w:sz w:val="20"/>
          <w:szCs w:val="20"/>
          <w:color w:val="auto"/>
        </w:rPr>
        <w:tab/>
      </w:r>
      <w:r>
        <w:rPr>
          <w:rFonts w:ascii="Times New Roman" w:cs="Times New Roman" w:eastAsia="Times New Roman" w:hAnsi="Times New Roman"/>
          <w:sz w:val="19"/>
          <w:szCs w:val="19"/>
          <w:color w:val="auto"/>
        </w:rPr>
        <w:t>Survival of Representations</w:t>
      </w:r>
      <w:r>
        <w:rPr>
          <w:sz w:val="20"/>
          <w:szCs w:val="20"/>
          <w:color w:val="auto"/>
        </w:rPr>
        <w:tab/>
      </w:r>
      <w:r>
        <w:rPr>
          <w:rFonts w:ascii="Times New Roman" w:cs="Times New Roman" w:eastAsia="Times New Roman" w:hAnsi="Times New Roman"/>
          <w:sz w:val="18"/>
          <w:szCs w:val="18"/>
          <w:color w:val="FF0000"/>
          <w:strike w:val="1"/>
        </w:rPr>
        <w:t>100</w:t>
      </w:r>
      <w:r>
        <w:rPr>
          <w:rFonts w:ascii="Times New Roman" w:cs="Times New Roman" w:eastAsia="Times New Roman" w:hAnsi="Times New Roman"/>
          <w:sz w:val="18"/>
          <w:szCs w:val="18"/>
          <w:b w:val="1"/>
          <w:bCs w:val="1"/>
          <w:u w:val="single" w:color="auto"/>
          <w:color w:val="0000FF"/>
          <w:strike w:val="1"/>
        </w:rPr>
        <w:t>99</w:t>
      </w:r>
    </w:p>
    <w:p>
      <w:pPr>
        <w:spacing w:after="0" w:line="25" w:lineRule="exact"/>
        <w:rPr>
          <w:sz w:val="20"/>
          <w:szCs w:val="20"/>
          <w:color w:val="auto"/>
        </w:rPr>
      </w:pPr>
    </w:p>
    <w:p>
      <w:pPr>
        <w:spacing w:after="0"/>
        <w:tabs>
          <w:tab w:leader="none" w:pos="1420" w:val="left"/>
          <w:tab w:leader="dot" w:pos="7940" w:val="left"/>
        </w:tabs>
        <w:rPr>
          <w:sz w:val="20"/>
          <w:szCs w:val="20"/>
          <w:color w:val="auto"/>
        </w:rPr>
      </w:pPr>
      <w:r>
        <w:rPr>
          <w:rFonts w:ascii="Times New Roman" w:cs="Times New Roman" w:eastAsia="Times New Roman" w:hAnsi="Times New Roman"/>
          <w:sz w:val="19"/>
          <w:szCs w:val="19"/>
          <w:color w:val="auto"/>
        </w:rPr>
        <w:t>Section 9.11</w:t>
      </w:r>
      <w:r>
        <w:rPr>
          <w:sz w:val="20"/>
          <w:szCs w:val="20"/>
          <w:color w:val="auto"/>
        </w:rPr>
        <w:tab/>
      </w:r>
      <w:r>
        <w:rPr>
          <w:rFonts w:ascii="Times New Roman" w:cs="Times New Roman" w:eastAsia="Times New Roman" w:hAnsi="Times New Roman"/>
          <w:sz w:val="19"/>
          <w:szCs w:val="19"/>
          <w:color w:val="auto"/>
        </w:rPr>
        <w:t>Usury Not Intended</w:t>
      </w:r>
      <w:r>
        <w:rPr>
          <w:sz w:val="20"/>
          <w:szCs w:val="20"/>
          <w:color w:val="auto"/>
        </w:rPr>
        <w:tab/>
      </w:r>
      <w:r>
        <w:rPr>
          <w:rFonts w:ascii="Times New Roman" w:cs="Times New Roman" w:eastAsia="Times New Roman" w:hAnsi="Times New Roman"/>
          <w:sz w:val="18"/>
          <w:szCs w:val="18"/>
          <w:color w:val="auto"/>
        </w:rPr>
        <w:t>100</w:t>
      </w:r>
    </w:p>
    <w:p>
      <w:pPr>
        <w:spacing w:after="0" w:line="25" w:lineRule="exact"/>
        <w:rPr>
          <w:sz w:val="20"/>
          <w:szCs w:val="20"/>
          <w:color w:val="auto"/>
        </w:rPr>
      </w:pPr>
    </w:p>
    <w:p>
      <w:pPr>
        <w:spacing w:after="0"/>
        <w:tabs>
          <w:tab w:leader="none" w:pos="1420" w:val="left"/>
          <w:tab w:leader="dot" w:pos="7920" w:val="left"/>
        </w:tabs>
        <w:rPr>
          <w:sz w:val="20"/>
          <w:szCs w:val="20"/>
          <w:color w:val="auto"/>
        </w:rPr>
      </w:pPr>
      <w:r>
        <w:rPr>
          <w:rFonts w:ascii="Times New Roman" w:cs="Times New Roman" w:eastAsia="Times New Roman" w:hAnsi="Times New Roman"/>
          <w:sz w:val="19"/>
          <w:szCs w:val="19"/>
          <w:color w:val="auto"/>
        </w:rPr>
        <w:t>Section 9.12</w:t>
      </w:r>
      <w:r>
        <w:rPr>
          <w:sz w:val="20"/>
          <w:szCs w:val="20"/>
          <w:color w:val="auto"/>
        </w:rPr>
        <w:tab/>
      </w:r>
      <w:r>
        <w:rPr>
          <w:rFonts w:ascii="Times New Roman" w:cs="Times New Roman" w:eastAsia="Times New Roman" w:hAnsi="Times New Roman"/>
          <w:sz w:val="19"/>
          <w:szCs w:val="19"/>
          <w:color w:val="auto"/>
        </w:rPr>
        <w:t>[Reserved]</w:t>
      </w:r>
      <w:r>
        <w:rPr>
          <w:sz w:val="20"/>
          <w:szCs w:val="20"/>
          <w:color w:val="auto"/>
        </w:rPr>
        <w:tab/>
      </w:r>
      <w:r>
        <w:rPr>
          <w:rFonts w:ascii="Times New Roman" w:cs="Times New Roman" w:eastAsia="Times New Roman" w:hAnsi="Times New Roman"/>
          <w:sz w:val="19"/>
          <w:szCs w:val="19"/>
          <w:color w:val="auto"/>
        </w:rPr>
        <w:t>100</w:t>
      </w:r>
    </w:p>
    <w:p>
      <w:pPr>
        <w:spacing w:after="0" w:line="34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9"/>
          <w:szCs w:val="19"/>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36" w:right="1440" w:bottom="1440" w:gutter="0" w:footer="0" w:header="0"/>
        </w:sectPr>
      </w:pPr>
    </w:p>
    <w:bookmarkStart w:id="195" w:name="page196"/>
    <w:bookmarkEnd w:id="195"/>
    <w:p>
      <w:pPr>
        <w:spacing w:after="0"/>
        <w:tabs>
          <w:tab w:leader="none" w:pos="1420" w:val="left"/>
          <w:tab w:leader="dot" w:pos="7920" w:val="left"/>
        </w:tabs>
        <w:rPr>
          <w:sz w:val="20"/>
          <w:szCs w:val="20"/>
          <w:color w:val="auto"/>
        </w:rPr>
      </w:pPr>
      <w:r>
        <w:rPr>
          <w:rFonts w:ascii="Times New Roman" w:cs="Times New Roman" w:eastAsia="Times New Roman" w:hAnsi="Times New Roman"/>
          <w:sz w:val="19"/>
          <w:szCs w:val="19"/>
          <w:color w:val="auto"/>
        </w:rPr>
        <w:t>Section 9.13</w:t>
      </w:r>
      <w:r>
        <w:rPr>
          <w:sz w:val="20"/>
          <w:szCs w:val="20"/>
          <w:color w:val="auto"/>
        </w:rPr>
        <w:tab/>
      </w:r>
      <w:r>
        <w:rPr>
          <w:rFonts w:ascii="Times New Roman" w:cs="Times New Roman" w:eastAsia="Times New Roman" w:hAnsi="Times New Roman"/>
          <w:sz w:val="19"/>
          <w:szCs w:val="19"/>
          <w:color w:val="auto"/>
        </w:rPr>
        <w:t>Confidentiality</w:t>
      </w:r>
      <w:r>
        <w:rPr>
          <w:sz w:val="20"/>
          <w:szCs w:val="20"/>
          <w:color w:val="auto"/>
        </w:rPr>
        <w:tab/>
      </w:r>
      <w:r>
        <w:rPr>
          <w:rFonts w:ascii="Times New Roman" w:cs="Times New Roman" w:eastAsia="Times New Roman" w:hAnsi="Times New Roman"/>
          <w:sz w:val="18"/>
          <w:szCs w:val="18"/>
          <w:color w:val="auto"/>
        </w:rPr>
        <w:t>100</w:t>
      </w:r>
    </w:p>
    <w:p>
      <w:pPr>
        <w:spacing w:after="0" w:line="26" w:lineRule="exact"/>
        <w:rPr>
          <w:sz w:val="20"/>
          <w:szCs w:val="20"/>
          <w:color w:val="auto"/>
        </w:rPr>
      </w:pPr>
    </w:p>
    <w:p>
      <w:pPr>
        <w:spacing w:after="0"/>
        <w:tabs>
          <w:tab w:leader="none" w:pos="1420" w:val="left"/>
          <w:tab w:leader="dot" w:pos="7920" w:val="left"/>
        </w:tabs>
        <w:rPr>
          <w:sz w:val="20"/>
          <w:szCs w:val="20"/>
          <w:color w:val="auto"/>
        </w:rPr>
      </w:pPr>
      <w:r>
        <w:rPr>
          <w:rFonts w:ascii="Times New Roman" w:cs="Times New Roman" w:eastAsia="Times New Roman" w:hAnsi="Times New Roman"/>
          <w:sz w:val="19"/>
          <w:szCs w:val="19"/>
          <w:color w:val="auto"/>
        </w:rPr>
        <w:t>Section 9.14</w:t>
      </w:r>
      <w:r>
        <w:rPr>
          <w:sz w:val="20"/>
          <w:szCs w:val="20"/>
          <w:color w:val="auto"/>
        </w:rPr>
        <w:tab/>
      </w:r>
      <w:r>
        <w:rPr>
          <w:rFonts w:ascii="Times New Roman" w:cs="Times New Roman" w:eastAsia="Times New Roman" w:hAnsi="Times New Roman"/>
          <w:sz w:val="19"/>
          <w:szCs w:val="19"/>
          <w:color w:val="auto"/>
        </w:rPr>
        <w:t>Release of Guarantors</w:t>
      </w:r>
      <w:r>
        <w:rPr>
          <w:sz w:val="20"/>
          <w:szCs w:val="20"/>
          <w:color w:val="auto"/>
        </w:rPr>
        <w:tab/>
      </w:r>
      <w:r>
        <w:rPr>
          <w:rFonts w:ascii="Times New Roman" w:cs="Times New Roman" w:eastAsia="Times New Roman" w:hAnsi="Times New Roman"/>
          <w:sz w:val="19"/>
          <w:szCs w:val="19"/>
          <w:color w:val="auto"/>
        </w:rPr>
        <w:t>103</w:t>
      </w:r>
    </w:p>
    <w:p>
      <w:pPr>
        <w:spacing w:after="0" w:line="25" w:lineRule="exact"/>
        <w:rPr>
          <w:sz w:val="20"/>
          <w:szCs w:val="20"/>
          <w:color w:val="auto"/>
        </w:rPr>
      </w:pPr>
    </w:p>
    <w:p>
      <w:pPr>
        <w:spacing w:after="0"/>
        <w:tabs>
          <w:tab w:leader="none" w:pos="1420" w:val="left"/>
          <w:tab w:leader="dot" w:pos="7900" w:val="left"/>
        </w:tabs>
        <w:rPr>
          <w:sz w:val="20"/>
          <w:szCs w:val="20"/>
          <w:color w:val="auto"/>
        </w:rPr>
      </w:pPr>
      <w:r>
        <w:rPr>
          <w:rFonts w:ascii="Times New Roman" w:cs="Times New Roman" w:eastAsia="Times New Roman" w:hAnsi="Times New Roman"/>
          <w:sz w:val="19"/>
          <w:szCs w:val="19"/>
          <w:color w:val="auto"/>
        </w:rPr>
        <w:t>Section 9.15</w:t>
      </w:r>
      <w:r>
        <w:rPr>
          <w:sz w:val="20"/>
          <w:szCs w:val="20"/>
          <w:color w:val="auto"/>
        </w:rPr>
        <w:tab/>
      </w:r>
      <w:r>
        <w:rPr>
          <w:rFonts w:ascii="Times New Roman" w:cs="Times New Roman" w:eastAsia="Times New Roman" w:hAnsi="Times New Roman"/>
          <w:sz w:val="19"/>
          <w:szCs w:val="19"/>
          <w:color w:val="auto"/>
        </w:rPr>
        <w:t>Patriot Act Notification</w:t>
      </w:r>
      <w:r>
        <w:rPr>
          <w:rFonts w:ascii="Times New Roman" w:cs="Times New Roman" w:eastAsia="Times New Roman" w:hAnsi="Times New Roman"/>
          <w:sz w:val="19"/>
          <w:szCs w:val="19"/>
          <w:b w:val="1"/>
          <w:bCs w:val="1"/>
          <w:u w:val="single" w:color="auto"/>
          <w:color w:val="0000FF"/>
        </w:rPr>
        <w:t>; Anti-Money Laundering Act; Beneficial Ownership</w:t>
      </w:r>
      <w:r>
        <w:rPr>
          <w:sz w:val="20"/>
          <w:szCs w:val="20"/>
          <w:color w:val="auto"/>
        </w:rPr>
        <w:tab/>
      </w:r>
      <w:r>
        <w:rPr>
          <w:rFonts w:ascii="Times New Roman" w:cs="Times New Roman" w:eastAsia="Times New Roman" w:hAnsi="Times New Roman"/>
          <w:sz w:val="18"/>
          <w:szCs w:val="18"/>
          <w:color w:val="auto"/>
        </w:rPr>
        <w:t>104</w:t>
      </w:r>
    </w:p>
    <w:p>
      <w:pPr>
        <w:spacing w:after="0" w:line="25" w:lineRule="exact"/>
        <w:rPr>
          <w:sz w:val="20"/>
          <w:szCs w:val="20"/>
          <w:color w:val="auto"/>
        </w:rPr>
      </w:pPr>
    </w:p>
    <w:p>
      <w:pPr>
        <w:spacing w:after="0"/>
        <w:tabs>
          <w:tab w:leader="none" w:pos="1420" w:val="left"/>
          <w:tab w:leader="dot" w:pos="7660" w:val="left"/>
        </w:tabs>
        <w:rPr>
          <w:sz w:val="20"/>
          <w:szCs w:val="20"/>
          <w:color w:val="auto"/>
        </w:rPr>
      </w:pPr>
      <w:r>
        <w:rPr>
          <w:rFonts w:ascii="Times New Roman" w:cs="Times New Roman" w:eastAsia="Times New Roman" w:hAnsi="Times New Roman"/>
          <w:sz w:val="19"/>
          <w:szCs w:val="19"/>
          <w:color w:val="auto"/>
        </w:rPr>
        <w:t>Section 9.16</w:t>
      </w:r>
      <w:r>
        <w:rPr>
          <w:sz w:val="20"/>
          <w:szCs w:val="20"/>
          <w:color w:val="auto"/>
        </w:rPr>
        <w:tab/>
      </w:r>
      <w:r>
        <w:rPr>
          <w:rFonts w:ascii="Times New Roman" w:cs="Times New Roman" w:eastAsia="Times New Roman" w:hAnsi="Times New Roman"/>
          <w:sz w:val="19"/>
          <w:szCs w:val="19"/>
          <w:color w:val="auto"/>
        </w:rPr>
        <w:t>Jurisdiction, Etc</w:t>
      </w:r>
      <w:r>
        <w:rPr>
          <w:sz w:val="20"/>
          <w:szCs w:val="20"/>
          <w:color w:val="auto"/>
        </w:rPr>
        <w:tab/>
      </w:r>
      <w:r>
        <w:rPr>
          <w:rFonts w:ascii="Times New Roman" w:cs="Times New Roman" w:eastAsia="Times New Roman" w:hAnsi="Times New Roman"/>
          <w:sz w:val="19"/>
          <w:szCs w:val="19"/>
          <w:color w:val="FF0000"/>
          <w:strike w:val="1"/>
        </w:rPr>
        <w:t>105</w:t>
      </w:r>
      <w:r>
        <w:rPr>
          <w:rFonts w:ascii="Times New Roman" w:cs="Times New Roman" w:eastAsia="Times New Roman" w:hAnsi="Times New Roman"/>
          <w:sz w:val="19"/>
          <w:szCs w:val="19"/>
          <w:b w:val="1"/>
          <w:bCs w:val="1"/>
          <w:u w:val="single" w:color="auto"/>
          <w:color w:val="0000FF"/>
          <w:strike w:val="1"/>
        </w:rPr>
        <w:t>104</w:t>
      </w:r>
    </w:p>
    <w:p>
      <w:pPr>
        <w:spacing w:after="0" w:line="25" w:lineRule="exact"/>
        <w:rPr>
          <w:sz w:val="20"/>
          <w:szCs w:val="20"/>
          <w:color w:val="auto"/>
        </w:rPr>
      </w:pPr>
    </w:p>
    <w:p>
      <w:pPr>
        <w:spacing w:after="0"/>
        <w:tabs>
          <w:tab w:leader="none" w:pos="1420" w:val="left"/>
          <w:tab w:leader="dot" w:pos="7920" w:val="left"/>
        </w:tabs>
        <w:rPr>
          <w:sz w:val="20"/>
          <w:szCs w:val="20"/>
          <w:color w:val="auto"/>
        </w:rPr>
      </w:pPr>
      <w:r>
        <w:rPr>
          <w:rFonts w:ascii="Times New Roman" w:cs="Times New Roman" w:eastAsia="Times New Roman" w:hAnsi="Times New Roman"/>
          <w:sz w:val="19"/>
          <w:szCs w:val="19"/>
          <w:color w:val="auto"/>
        </w:rPr>
        <w:t>Section 9.17</w:t>
      </w:r>
      <w:r>
        <w:rPr>
          <w:sz w:val="20"/>
          <w:szCs w:val="20"/>
          <w:color w:val="auto"/>
        </w:rPr>
        <w:tab/>
      </w:r>
      <w:r>
        <w:rPr>
          <w:rFonts w:ascii="Times New Roman" w:cs="Times New Roman" w:eastAsia="Times New Roman" w:hAnsi="Times New Roman"/>
          <w:sz w:val="19"/>
          <w:szCs w:val="19"/>
          <w:color w:val="auto"/>
        </w:rPr>
        <w:t>Governing Law</w:t>
      </w:r>
      <w:r>
        <w:rPr>
          <w:sz w:val="20"/>
          <w:szCs w:val="20"/>
          <w:color w:val="auto"/>
        </w:rPr>
        <w:tab/>
      </w:r>
      <w:r>
        <w:rPr>
          <w:rFonts w:ascii="Times New Roman" w:cs="Times New Roman" w:eastAsia="Times New Roman" w:hAnsi="Times New Roman"/>
          <w:sz w:val="18"/>
          <w:szCs w:val="18"/>
          <w:color w:val="auto"/>
        </w:rPr>
        <w:t>105</w:t>
      </w:r>
    </w:p>
    <w:p>
      <w:pPr>
        <w:spacing w:after="0" w:line="25" w:lineRule="exact"/>
        <w:rPr>
          <w:sz w:val="20"/>
          <w:szCs w:val="20"/>
          <w:color w:val="auto"/>
        </w:rPr>
      </w:pPr>
    </w:p>
    <w:p>
      <w:pPr>
        <w:spacing w:after="0"/>
        <w:tabs>
          <w:tab w:leader="none" w:pos="1420" w:val="left"/>
          <w:tab w:leader="dot" w:pos="7940" w:val="left"/>
        </w:tabs>
        <w:rPr>
          <w:sz w:val="20"/>
          <w:szCs w:val="20"/>
          <w:color w:val="auto"/>
        </w:rPr>
      </w:pPr>
      <w:r>
        <w:rPr>
          <w:rFonts w:ascii="Times New Roman" w:cs="Times New Roman" w:eastAsia="Times New Roman" w:hAnsi="Times New Roman"/>
          <w:sz w:val="19"/>
          <w:szCs w:val="19"/>
          <w:color w:val="auto"/>
        </w:rPr>
        <w:t>Section 9.18</w:t>
      </w:r>
      <w:r>
        <w:rPr>
          <w:sz w:val="20"/>
          <w:szCs w:val="20"/>
          <w:color w:val="auto"/>
        </w:rPr>
        <w:tab/>
      </w:r>
      <w:r>
        <w:rPr>
          <w:rFonts w:ascii="Times New Roman" w:cs="Times New Roman" w:eastAsia="Times New Roman" w:hAnsi="Times New Roman"/>
          <w:sz w:val="19"/>
          <w:szCs w:val="19"/>
          <w:color w:val="auto"/>
        </w:rPr>
        <w:t>WAIVER OF JURY TRIAL</w:t>
      </w:r>
      <w:r>
        <w:rPr>
          <w:sz w:val="20"/>
          <w:szCs w:val="20"/>
          <w:color w:val="auto"/>
        </w:rPr>
        <w:tab/>
      </w:r>
      <w:r>
        <w:rPr>
          <w:rFonts w:ascii="Times New Roman" w:cs="Times New Roman" w:eastAsia="Times New Roman" w:hAnsi="Times New Roman"/>
          <w:sz w:val="18"/>
          <w:szCs w:val="18"/>
          <w:color w:val="auto"/>
        </w:rPr>
        <w:t>105</w:t>
      </w:r>
    </w:p>
    <w:p>
      <w:pPr>
        <w:spacing w:after="0" w:line="25" w:lineRule="exact"/>
        <w:rPr>
          <w:sz w:val="20"/>
          <w:szCs w:val="20"/>
          <w:color w:val="auto"/>
        </w:rPr>
      </w:pPr>
    </w:p>
    <w:p>
      <w:pPr>
        <w:spacing w:after="0"/>
        <w:tabs>
          <w:tab w:leader="none" w:pos="1420" w:val="left"/>
          <w:tab w:leader="dot" w:pos="7940" w:val="left"/>
        </w:tabs>
        <w:rPr>
          <w:sz w:val="20"/>
          <w:szCs w:val="20"/>
          <w:color w:val="auto"/>
        </w:rPr>
      </w:pPr>
      <w:r>
        <w:rPr>
          <w:rFonts w:ascii="Times New Roman" w:cs="Times New Roman" w:eastAsia="Times New Roman" w:hAnsi="Times New Roman"/>
          <w:sz w:val="19"/>
          <w:szCs w:val="19"/>
          <w:color w:val="auto"/>
        </w:rPr>
        <w:t>Section 9.19</w:t>
      </w:r>
      <w:r>
        <w:rPr>
          <w:sz w:val="20"/>
          <w:szCs w:val="20"/>
          <w:color w:val="auto"/>
        </w:rPr>
        <w:tab/>
      </w:r>
      <w:r>
        <w:rPr>
          <w:rFonts w:ascii="Times New Roman" w:cs="Times New Roman" w:eastAsia="Times New Roman" w:hAnsi="Times New Roman"/>
          <w:sz w:val="19"/>
          <w:szCs w:val="19"/>
          <w:color w:val="auto"/>
        </w:rPr>
        <w:t>No Fiduciary Duties</w:t>
      </w:r>
      <w:r>
        <w:rPr>
          <w:sz w:val="20"/>
          <w:szCs w:val="20"/>
          <w:color w:val="auto"/>
        </w:rPr>
        <w:tab/>
      </w:r>
      <w:r>
        <w:rPr>
          <w:rFonts w:ascii="Times New Roman" w:cs="Times New Roman" w:eastAsia="Times New Roman" w:hAnsi="Times New Roman"/>
          <w:sz w:val="18"/>
          <w:szCs w:val="18"/>
          <w:color w:val="auto"/>
        </w:rPr>
        <w:t>105</w:t>
      </w:r>
    </w:p>
    <w:p>
      <w:pPr>
        <w:spacing w:after="0" w:line="25" w:lineRule="exact"/>
        <w:rPr>
          <w:sz w:val="20"/>
          <w:szCs w:val="20"/>
          <w:color w:val="auto"/>
        </w:rPr>
      </w:pPr>
    </w:p>
    <w:p>
      <w:pPr>
        <w:spacing w:after="0"/>
        <w:tabs>
          <w:tab w:leader="none" w:pos="1420" w:val="left"/>
          <w:tab w:leader="dot" w:pos="7660" w:val="left"/>
        </w:tabs>
        <w:rPr>
          <w:sz w:val="20"/>
          <w:szCs w:val="20"/>
          <w:color w:val="auto"/>
        </w:rPr>
      </w:pPr>
      <w:r>
        <w:rPr>
          <w:rFonts w:ascii="Times New Roman" w:cs="Times New Roman" w:eastAsia="Times New Roman" w:hAnsi="Times New Roman"/>
          <w:sz w:val="19"/>
          <w:szCs w:val="19"/>
          <w:color w:val="auto"/>
        </w:rPr>
        <w:t>Section 9.20</w:t>
      </w:r>
      <w:r>
        <w:rPr>
          <w:sz w:val="20"/>
          <w:szCs w:val="20"/>
          <w:color w:val="auto"/>
        </w:rPr>
        <w:tab/>
      </w:r>
      <w:r>
        <w:rPr>
          <w:rFonts w:ascii="Times New Roman" w:cs="Times New Roman" w:eastAsia="Times New Roman" w:hAnsi="Times New Roman"/>
          <w:sz w:val="19"/>
          <w:szCs w:val="19"/>
          <w:color w:val="auto"/>
        </w:rPr>
        <w:t>Acknowledgement and Consent to Bail-In of Affected Financial Institutions</w:t>
      </w:r>
      <w:r>
        <w:rPr>
          <w:sz w:val="20"/>
          <w:szCs w:val="20"/>
          <w:color w:val="auto"/>
        </w:rPr>
        <w:tab/>
      </w:r>
      <w:r>
        <w:rPr>
          <w:rFonts w:ascii="Times New Roman" w:cs="Times New Roman" w:eastAsia="Times New Roman" w:hAnsi="Times New Roman"/>
          <w:sz w:val="18"/>
          <w:szCs w:val="18"/>
          <w:color w:val="FF0000"/>
          <w:strike w:val="1"/>
        </w:rPr>
        <w:t>106</w:t>
      </w:r>
      <w:r>
        <w:rPr>
          <w:rFonts w:ascii="Times New Roman" w:cs="Times New Roman" w:eastAsia="Times New Roman" w:hAnsi="Times New Roman"/>
          <w:sz w:val="18"/>
          <w:szCs w:val="18"/>
          <w:b w:val="1"/>
          <w:bCs w:val="1"/>
          <w:u w:val="single" w:color="auto"/>
          <w:color w:val="0000FF"/>
          <w:strike w:val="1"/>
        </w:rPr>
        <w:t>105</w:t>
      </w:r>
    </w:p>
    <w:p>
      <w:pPr>
        <w:spacing w:after="0" w:line="25" w:lineRule="exact"/>
        <w:rPr>
          <w:sz w:val="20"/>
          <w:szCs w:val="20"/>
          <w:color w:val="auto"/>
        </w:rPr>
      </w:pPr>
    </w:p>
    <w:p>
      <w:pPr>
        <w:spacing w:after="0"/>
        <w:tabs>
          <w:tab w:leader="none" w:pos="1420" w:val="left"/>
          <w:tab w:leader="dot" w:pos="7920" w:val="left"/>
        </w:tabs>
        <w:rPr>
          <w:sz w:val="20"/>
          <w:szCs w:val="20"/>
          <w:color w:val="auto"/>
        </w:rPr>
      </w:pPr>
      <w:r>
        <w:rPr>
          <w:rFonts w:ascii="Times New Roman" w:cs="Times New Roman" w:eastAsia="Times New Roman" w:hAnsi="Times New Roman"/>
          <w:sz w:val="19"/>
          <w:szCs w:val="19"/>
          <w:color w:val="auto"/>
        </w:rPr>
        <w:t>Section 9.21</w:t>
      </w:r>
      <w:r>
        <w:rPr>
          <w:sz w:val="20"/>
          <w:szCs w:val="20"/>
          <w:color w:val="auto"/>
        </w:rPr>
        <w:tab/>
      </w:r>
      <w:r>
        <w:rPr>
          <w:rFonts w:ascii="Times New Roman" w:cs="Times New Roman" w:eastAsia="Times New Roman" w:hAnsi="Times New Roman"/>
          <w:sz w:val="19"/>
          <w:szCs w:val="19"/>
          <w:color w:val="auto"/>
        </w:rPr>
        <w:t>Acknowledgement Regarding Any Supported QFCs</w:t>
      </w:r>
      <w:r>
        <w:rPr>
          <w:sz w:val="20"/>
          <w:szCs w:val="20"/>
          <w:color w:val="auto"/>
        </w:rPr>
        <w:tab/>
      </w:r>
      <w:r>
        <w:rPr>
          <w:rFonts w:ascii="Times New Roman" w:cs="Times New Roman" w:eastAsia="Times New Roman" w:hAnsi="Times New Roman"/>
          <w:sz w:val="19"/>
          <w:szCs w:val="19"/>
          <w:color w:val="auto"/>
        </w:rPr>
        <w:t>106</w:t>
      </w:r>
    </w:p>
    <w:p>
      <w:pPr>
        <w:spacing w:after="0" w:line="200" w:lineRule="exact"/>
        <w:rPr>
          <w:sz w:val="20"/>
          <w:szCs w:val="20"/>
          <w:color w:val="auto"/>
        </w:rPr>
      </w:pPr>
    </w:p>
    <w:p>
      <w:pPr>
        <w:spacing w:after="0" w:line="3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9"/>
          <w:szCs w:val="19"/>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36" w:right="1440"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48"/>
        </w:trPr>
        <w:tc>
          <w:tcPr>
            <w:tcW w:w="19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SCHEDULES</w:t>
            </w:r>
          </w:p>
        </w:tc>
        <w:tc>
          <w:tcPr>
            <w:tcW w:w="76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9"/>
        </w:trPr>
        <w:tc>
          <w:tcPr>
            <w:tcW w:w="1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Schedule I</w:t>
            </w:r>
          </w:p>
        </w:tc>
        <w:tc>
          <w:tcPr>
            <w:tcW w:w="76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Commitments and Applicable Lending Offices</w:t>
            </w:r>
          </w:p>
        </w:tc>
        <w:tc>
          <w:tcPr>
            <w:tcW w:w="0" w:type="dxa"/>
            <w:vAlign w:val="bottom"/>
          </w:tcPr>
          <w:p>
            <w:pPr>
              <w:spacing w:after="0"/>
              <w:rPr>
                <w:sz w:val="1"/>
                <w:szCs w:val="1"/>
                <w:color w:val="auto"/>
              </w:rPr>
            </w:pPr>
          </w:p>
        </w:tc>
      </w:tr>
      <w:tr>
        <w:trPr>
          <w:trHeight w:val="230"/>
        </w:trPr>
        <w:tc>
          <w:tcPr>
            <w:tcW w:w="1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Schedule II</w:t>
            </w:r>
          </w:p>
        </w:tc>
        <w:tc>
          <w:tcPr>
            <w:tcW w:w="76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Unencumbered Assets</w:t>
            </w:r>
          </w:p>
        </w:tc>
        <w:tc>
          <w:tcPr>
            <w:tcW w:w="0" w:type="dxa"/>
            <w:vAlign w:val="bottom"/>
          </w:tcPr>
          <w:p>
            <w:pPr>
              <w:spacing w:after="0"/>
              <w:rPr>
                <w:sz w:val="1"/>
                <w:szCs w:val="1"/>
                <w:color w:val="auto"/>
              </w:rPr>
            </w:pPr>
          </w:p>
        </w:tc>
      </w:tr>
      <w:tr>
        <w:trPr>
          <w:trHeight w:val="229"/>
        </w:trPr>
        <w:tc>
          <w:tcPr>
            <w:tcW w:w="1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Schedule 4.01(b)</w:t>
            </w:r>
          </w:p>
        </w:tc>
        <w:tc>
          <w:tcPr>
            <w:tcW w:w="76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Subsidiaries</w:t>
            </w:r>
          </w:p>
        </w:tc>
        <w:tc>
          <w:tcPr>
            <w:tcW w:w="0" w:type="dxa"/>
            <w:vAlign w:val="bottom"/>
          </w:tcPr>
          <w:p>
            <w:pPr>
              <w:spacing w:after="0"/>
              <w:rPr>
                <w:sz w:val="1"/>
                <w:szCs w:val="1"/>
                <w:color w:val="auto"/>
              </w:rPr>
            </w:pPr>
          </w:p>
        </w:tc>
      </w:tr>
      <w:tr>
        <w:trPr>
          <w:trHeight w:val="230"/>
        </w:trPr>
        <w:tc>
          <w:tcPr>
            <w:tcW w:w="1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Schedule 4.01(f)</w:t>
            </w:r>
          </w:p>
        </w:tc>
        <w:tc>
          <w:tcPr>
            <w:tcW w:w="76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Material Litigation</w:t>
            </w:r>
          </w:p>
        </w:tc>
        <w:tc>
          <w:tcPr>
            <w:tcW w:w="0" w:type="dxa"/>
            <w:vAlign w:val="bottom"/>
          </w:tcPr>
          <w:p>
            <w:pPr>
              <w:spacing w:after="0"/>
              <w:rPr>
                <w:sz w:val="1"/>
                <w:szCs w:val="1"/>
                <w:color w:val="auto"/>
              </w:rPr>
            </w:pPr>
          </w:p>
        </w:tc>
      </w:tr>
      <w:tr>
        <w:trPr>
          <w:trHeight w:val="229"/>
        </w:trPr>
        <w:tc>
          <w:tcPr>
            <w:tcW w:w="1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Schedule 4.01(m)</w:t>
            </w:r>
          </w:p>
        </w:tc>
        <w:tc>
          <w:tcPr>
            <w:tcW w:w="76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Existing Debt</w:t>
            </w:r>
          </w:p>
        </w:tc>
        <w:tc>
          <w:tcPr>
            <w:tcW w:w="0" w:type="dxa"/>
            <w:vAlign w:val="bottom"/>
          </w:tcPr>
          <w:p>
            <w:pPr>
              <w:spacing w:after="0"/>
              <w:rPr>
                <w:sz w:val="1"/>
                <w:szCs w:val="1"/>
                <w:color w:val="auto"/>
              </w:rPr>
            </w:pPr>
          </w:p>
        </w:tc>
      </w:tr>
      <w:tr>
        <w:trPr>
          <w:trHeight w:val="229"/>
        </w:trPr>
        <w:tc>
          <w:tcPr>
            <w:tcW w:w="1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Schedule 4.01(n)</w:t>
            </w:r>
          </w:p>
        </w:tc>
        <w:tc>
          <w:tcPr>
            <w:tcW w:w="76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Surviving Debt</w:t>
            </w:r>
          </w:p>
        </w:tc>
        <w:tc>
          <w:tcPr>
            <w:tcW w:w="0" w:type="dxa"/>
            <w:vAlign w:val="bottom"/>
          </w:tcPr>
          <w:p>
            <w:pPr>
              <w:spacing w:after="0"/>
              <w:rPr>
                <w:sz w:val="1"/>
                <w:szCs w:val="1"/>
                <w:color w:val="auto"/>
              </w:rPr>
            </w:pPr>
          </w:p>
        </w:tc>
      </w:tr>
      <w:tr>
        <w:trPr>
          <w:trHeight w:val="230"/>
        </w:trPr>
        <w:tc>
          <w:tcPr>
            <w:tcW w:w="1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Schedule 4.01(o)</w:t>
            </w:r>
          </w:p>
        </w:tc>
        <w:tc>
          <w:tcPr>
            <w:tcW w:w="76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Existing Liens</w:t>
            </w:r>
          </w:p>
        </w:tc>
        <w:tc>
          <w:tcPr>
            <w:tcW w:w="0" w:type="dxa"/>
            <w:vAlign w:val="bottom"/>
          </w:tcPr>
          <w:p>
            <w:pPr>
              <w:spacing w:after="0"/>
              <w:rPr>
                <w:sz w:val="1"/>
                <w:szCs w:val="1"/>
                <w:color w:val="auto"/>
              </w:rPr>
            </w:pPr>
          </w:p>
        </w:tc>
      </w:tr>
      <w:tr>
        <w:trPr>
          <w:trHeight w:val="229"/>
        </w:trPr>
        <w:tc>
          <w:tcPr>
            <w:tcW w:w="1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Schedule 4.01(p)</w:t>
            </w:r>
          </w:p>
        </w:tc>
        <w:tc>
          <w:tcPr>
            <w:tcW w:w="76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Real Property</w:t>
            </w:r>
          </w:p>
        </w:tc>
        <w:tc>
          <w:tcPr>
            <w:tcW w:w="0" w:type="dxa"/>
            <w:vAlign w:val="bottom"/>
          </w:tcPr>
          <w:p>
            <w:pPr>
              <w:spacing w:after="0"/>
              <w:rPr>
                <w:sz w:val="1"/>
                <w:szCs w:val="1"/>
                <w:color w:val="auto"/>
              </w:rPr>
            </w:pPr>
          </w:p>
        </w:tc>
      </w:tr>
      <w:tr>
        <w:trPr>
          <w:trHeight w:val="229"/>
        </w:trPr>
        <w:tc>
          <w:tcPr>
            <w:tcW w:w="1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Part I</w:t>
            </w:r>
          </w:p>
        </w:tc>
        <w:tc>
          <w:tcPr>
            <w:tcW w:w="76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Owned Assets</w:t>
            </w:r>
          </w:p>
        </w:tc>
        <w:tc>
          <w:tcPr>
            <w:tcW w:w="0" w:type="dxa"/>
            <w:vAlign w:val="bottom"/>
          </w:tcPr>
          <w:p>
            <w:pPr>
              <w:spacing w:after="0"/>
              <w:rPr>
                <w:sz w:val="1"/>
                <w:szCs w:val="1"/>
                <w:color w:val="auto"/>
              </w:rPr>
            </w:pPr>
          </w:p>
        </w:tc>
      </w:tr>
      <w:tr>
        <w:trPr>
          <w:trHeight w:val="230"/>
        </w:trPr>
        <w:tc>
          <w:tcPr>
            <w:tcW w:w="1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Part II</w:t>
            </w:r>
          </w:p>
        </w:tc>
        <w:tc>
          <w:tcPr>
            <w:tcW w:w="76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Leased Assets</w:t>
            </w:r>
          </w:p>
        </w:tc>
        <w:tc>
          <w:tcPr>
            <w:tcW w:w="0" w:type="dxa"/>
            <w:vAlign w:val="bottom"/>
          </w:tcPr>
          <w:p>
            <w:pPr>
              <w:spacing w:after="0"/>
              <w:rPr>
                <w:sz w:val="1"/>
                <w:szCs w:val="1"/>
                <w:color w:val="auto"/>
              </w:rPr>
            </w:pPr>
          </w:p>
        </w:tc>
      </w:tr>
      <w:tr>
        <w:trPr>
          <w:trHeight w:val="229"/>
        </w:trPr>
        <w:tc>
          <w:tcPr>
            <w:tcW w:w="1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Schedule 4.01(q)</w:t>
            </w:r>
          </w:p>
        </w:tc>
        <w:tc>
          <w:tcPr>
            <w:tcW w:w="76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Environmental Concerns</w:t>
            </w:r>
          </w:p>
        </w:tc>
        <w:tc>
          <w:tcPr>
            <w:tcW w:w="0" w:type="dxa"/>
            <w:vAlign w:val="bottom"/>
          </w:tcPr>
          <w:p>
            <w:pPr>
              <w:spacing w:after="0"/>
              <w:rPr>
                <w:sz w:val="1"/>
                <w:szCs w:val="1"/>
                <w:color w:val="auto"/>
              </w:rPr>
            </w:pPr>
          </w:p>
        </w:tc>
      </w:tr>
      <w:tr>
        <w:trPr>
          <w:trHeight w:val="317"/>
        </w:trPr>
        <w:tc>
          <w:tcPr>
            <w:tcW w:w="1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Schedule 4.01(w)</w:t>
            </w:r>
          </w:p>
        </w:tc>
        <w:tc>
          <w:tcPr>
            <w:tcW w:w="76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Plans and Welfare Plans</w:t>
            </w:r>
          </w:p>
        </w:tc>
        <w:tc>
          <w:tcPr>
            <w:tcW w:w="0" w:type="dxa"/>
            <w:vAlign w:val="bottom"/>
          </w:tcPr>
          <w:p>
            <w:pPr>
              <w:spacing w:after="0"/>
              <w:rPr>
                <w:sz w:val="1"/>
                <w:szCs w:val="1"/>
                <w:color w:val="auto"/>
              </w:rPr>
            </w:pPr>
          </w:p>
        </w:tc>
      </w:tr>
      <w:tr>
        <w:trPr>
          <w:trHeight w:val="400"/>
        </w:trPr>
        <w:tc>
          <w:tcPr>
            <w:tcW w:w="19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EXHIBITS</w:t>
            </w:r>
          </w:p>
        </w:tc>
        <w:tc>
          <w:tcPr>
            <w:tcW w:w="76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1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Exhibit A</w:t>
            </w:r>
          </w:p>
        </w:tc>
        <w:tc>
          <w:tcPr>
            <w:tcW w:w="76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Form of Note</w:t>
            </w:r>
          </w:p>
        </w:tc>
        <w:tc>
          <w:tcPr>
            <w:tcW w:w="0" w:type="dxa"/>
            <w:vAlign w:val="bottom"/>
          </w:tcPr>
          <w:p>
            <w:pPr>
              <w:spacing w:after="0"/>
              <w:rPr>
                <w:sz w:val="1"/>
                <w:szCs w:val="1"/>
                <w:color w:val="auto"/>
              </w:rPr>
            </w:pPr>
          </w:p>
        </w:tc>
      </w:tr>
      <w:tr>
        <w:trPr>
          <w:trHeight w:val="229"/>
        </w:trPr>
        <w:tc>
          <w:tcPr>
            <w:tcW w:w="1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Exhibit B</w:t>
            </w:r>
          </w:p>
        </w:tc>
        <w:tc>
          <w:tcPr>
            <w:tcW w:w="76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Form of Notice of Borrowing</w:t>
            </w:r>
          </w:p>
        </w:tc>
        <w:tc>
          <w:tcPr>
            <w:tcW w:w="0" w:type="dxa"/>
            <w:vAlign w:val="bottom"/>
          </w:tcPr>
          <w:p>
            <w:pPr>
              <w:spacing w:after="0"/>
              <w:rPr>
                <w:sz w:val="1"/>
                <w:szCs w:val="1"/>
                <w:color w:val="auto"/>
              </w:rPr>
            </w:pPr>
          </w:p>
        </w:tc>
      </w:tr>
      <w:tr>
        <w:trPr>
          <w:trHeight w:val="229"/>
        </w:trPr>
        <w:tc>
          <w:tcPr>
            <w:tcW w:w="1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Exhibit C</w:t>
            </w:r>
          </w:p>
        </w:tc>
        <w:tc>
          <w:tcPr>
            <w:tcW w:w="76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Form of Guaranty Supplement</w:t>
            </w:r>
          </w:p>
        </w:tc>
        <w:tc>
          <w:tcPr>
            <w:tcW w:w="0" w:type="dxa"/>
            <w:vAlign w:val="bottom"/>
          </w:tcPr>
          <w:p>
            <w:pPr>
              <w:spacing w:after="0"/>
              <w:rPr>
                <w:sz w:val="1"/>
                <w:szCs w:val="1"/>
                <w:color w:val="auto"/>
              </w:rPr>
            </w:pPr>
          </w:p>
        </w:tc>
      </w:tr>
      <w:tr>
        <w:trPr>
          <w:trHeight w:val="230"/>
        </w:trPr>
        <w:tc>
          <w:tcPr>
            <w:tcW w:w="1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Exhibit D</w:t>
            </w:r>
          </w:p>
        </w:tc>
        <w:tc>
          <w:tcPr>
            <w:tcW w:w="76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Form of Assignment and Acceptance</w:t>
            </w:r>
          </w:p>
        </w:tc>
        <w:tc>
          <w:tcPr>
            <w:tcW w:w="0" w:type="dxa"/>
            <w:vAlign w:val="bottom"/>
          </w:tcPr>
          <w:p>
            <w:pPr>
              <w:spacing w:after="0"/>
              <w:rPr>
                <w:sz w:val="1"/>
                <w:szCs w:val="1"/>
                <w:color w:val="auto"/>
              </w:rPr>
            </w:pPr>
          </w:p>
        </w:tc>
      </w:tr>
      <w:tr>
        <w:trPr>
          <w:trHeight w:val="229"/>
        </w:trPr>
        <w:tc>
          <w:tcPr>
            <w:tcW w:w="1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Exhibit E</w:t>
            </w:r>
          </w:p>
        </w:tc>
        <w:tc>
          <w:tcPr>
            <w:tcW w:w="76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[Reserved]</w:t>
            </w:r>
          </w:p>
        </w:tc>
        <w:tc>
          <w:tcPr>
            <w:tcW w:w="0" w:type="dxa"/>
            <w:vAlign w:val="bottom"/>
          </w:tcPr>
          <w:p>
            <w:pPr>
              <w:spacing w:after="0"/>
              <w:rPr>
                <w:sz w:val="1"/>
                <w:szCs w:val="1"/>
                <w:color w:val="auto"/>
              </w:rPr>
            </w:pPr>
          </w:p>
        </w:tc>
      </w:tr>
      <w:tr>
        <w:trPr>
          <w:trHeight w:val="229"/>
        </w:trPr>
        <w:tc>
          <w:tcPr>
            <w:tcW w:w="19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Exhibit F</w:t>
            </w:r>
          </w:p>
        </w:tc>
        <w:tc>
          <w:tcPr>
            <w:tcW w:w="76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[Reserved]</w:t>
            </w:r>
          </w:p>
        </w:tc>
        <w:tc>
          <w:tcPr>
            <w:tcW w:w="0" w:type="dxa"/>
            <w:vAlign w:val="bottom"/>
          </w:tcPr>
          <w:p>
            <w:pPr>
              <w:spacing w:after="0"/>
              <w:rPr>
                <w:sz w:val="1"/>
                <w:szCs w:val="1"/>
                <w:color w:val="auto"/>
              </w:rPr>
            </w:pPr>
          </w:p>
        </w:tc>
      </w:tr>
      <w:tr>
        <w:trPr>
          <w:trHeight w:val="244"/>
        </w:trPr>
        <w:tc>
          <w:tcPr>
            <w:tcW w:w="1940" w:type="dxa"/>
            <w:vAlign w:val="bottom"/>
          </w:tcPr>
          <w:p>
            <w:pPr>
              <w:ind w:left="100"/>
              <w:spacing w:after="0" w:line="219" w:lineRule="exact"/>
              <w:rPr>
                <w:sz w:val="20"/>
                <w:szCs w:val="20"/>
                <w:color w:val="auto"/>
              </w:rPr>
            </w:pPr>
            <w:r>
              <w:rPr>
                <w:rFonts w:ascii="Times New Roman" w:cs="Times New Roman" w:eastAsia="Times New Roman" w:hAnsi="Times New Roman"/>
                <w:sz w:val="19"/>
                <w:szCs w:val="19"/>
                <w:color w:val="auto"/>
              </w:rPr>
              <w:t>Exhibit 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w:t>
            </w:r>
          </w:p>
        </w:tc>
        <w:tc>
          <w:tcPr>
            <w:tcW w:w="760" w:type="dxa"/>
            <w:vAlign w:val="bottom"/>
          </w:tcPr>
          <w:p>
            <w:pPr>
              <w:ind w:left="480"/>
              <w:spacing w:after="0" w:line="191" w:lineRule="exact"/>
              <w:rPr>
                <w:sz w:val="20"/>
                <w:szCs w:val="20"/>
                <w:color w:val="auto"/>
              </w:rPr>
            </w:pPr>
            <w:r>
              <w:rPr>
                <w:rFonts w:ascii="MS PGothic" w:cs="MS PGothic" w:eastAsia="MS PGothic" w:hAnsi="MS PGothic"/>
                <w:sz w:val="19"/>
                <w:szCs w:val="19"/>
                <w:color w:val="auto"/>
              </w:rPr>
              <w:t>‑</w:t>
            </w:r>
          </w:p>
        </w:tc>
        <w:tc>
          <w:tcPr>
            <w:tcW w:w="85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Form of Section 2.12(g) U.S. Tax Compliance Certificate (For Foreign Lenders That Are Not Partnerships</w:t>
            </w:r>
          </w:p>
        </w:tc>
        <w:tc>
          <w:tcPr>
            <w:tcW w:w="0" w:type="dxa"/>
            <w:vAlign w:val="bottom"/>
          </w:tcPr>
          <w:p>
            <w:pPr>
              <w:spacing w:after="0"/>
              <w:rPr>
                <w:sz w:val="1"/>
                <w:szCs w:val="1"/>
                <w:color w:val="auto"/>
              </w:rPr>
            </w:pPr>
          </w:p>
        </w:tc>
      </w:tr>
      <w:tr>
        <w:trPr>
          <w:trHeight w:val="216"/>
        </w:trPr>
        <w:tc>
          <w:tcPr>
            <w:tcW w:w="1940" w:type="dxa"/>
            <w:vAlign w:val="bottom"/>
            <w:vMerge w:val="restart"/>
          </w:tcPr>
          <w:p>
            <w:pPr>
              <w:ind w:left="100"/>
              <w:spacing w:after="0" w:line="219" w:lineRule="exact"/>
              <w:rPr>
                <w:sz w:val="20"/>
                <w:szCs w:val="20"/>
                <w:color w:val="auto"/>
              </w:rPr>
            </w:pPr>
            <w:r>
              <w:rPr>
                <w:rFonts w:ascii="Times New Roman" w:cs="Times New Roman" w:eastAsia="Times New Roman" w:hAnsi="Times New Roman"/>
                <w:sz w:val="19"/>
                <w:szCs w:val="19"/>
                <w:color w:val="auto"/>
              </w:rPr>
              <w:t>Exhibit 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w:t>
            </w:r>
          </w:p>
        </w:tc>
        <w:tc>
          <w:tcPr>
            <w:tcW w:w="760" w:type="dxa"/>
            <w:vAlign w:val="bottom"/>
          </w:tcPr>
          <w:p>
            <w:pPr>
              <w:spacing w:after="0"/>
              <w:rPr>
                <w:sz w:val="18"/>
                <w:szCs w:val="18"/>
                <w:color w:val="auto"/>
              </w:rPr>
            </w:pPr>
          </w:p>
        </w:tc>
        <w:tc>
          <w:tcPr>
            <w:tcW w:w="854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For U.S. Federal Income Tax Purposes)</w:t>
            </w:r>
          </w:p>
        </w:tc>
        <w:tc>
          <w:tcPr>
            <w:tcW w:w="0" w:type="dxa"/>
            <w:vAlign w:val="bottom"/>
          </w:tcPr>
          <w:p>
            <w:pPr>
              <w:spacing w:after="0"/>
              <w:rPr>
                <w:sz w:val="1"/>
                <w:szCs w:val="1"/>
                <w:color w:val="auto"/>
              </w:rPr>
            </w:pPr>
          </w:p>
        </w:tc>
      </w:tr>
      <w:tr>
        <w:trPr>
          <w:trHeight w:val="216"/>
        </w:trPr>
        <w:tc>
          <w:tcPr>
            <w:tcW w:w="194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854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Form of Section 2.12(g) U.S. Tax Compliance Certificate (For Foreign Participants That Are Not</w:t>
            </w:r>
          </w:p>
        </w:tc>
        <w:tc>
          <w:tcPr>
            <w:tcW w:w="0" w:type="dxa"/>
            <w:vAlign w:val="bottom"/>
          </w:tcPr>
          <w:p>
            <w:pPr>
              <w:spacing w:after="0"/>
              <w:rPr>
                <w:sz w:val="1"/>
                <w:szCs w:val="1"/>
                <w:color w:val="auto"/>
              </w:rPr>
            </w:pPr>
          </w:p>
        </w:tc>
      </w:tr>
      <w:tr>
        <w:trPr>
          <w:trHeight w:val="216"/>
        </w:trPr>
        <w:tc>
          <w:tcPr>
            <w:tcW w:w="1940" w:type="dxa"/>
            <w:vAlign w:val="bottom"/>
            <w:vMerge w:val="restart"/>
          </w:tcPr>
          <w:p>
            <w:pPr>
              <w:ind w:left="100"/>
              <w:spacing w:after="0" w:line="219" w:lineRule="exact"/>
              <w:rPr>
                <w:sz w:val="20"/>
                <w:szCs w:val="20"/>
                <w:color w:val="auto"/>
              </w:rPr>
            </w:pPr>
            <w:r>
              <w:rPr>
                <w:rFonts w:ascii="Times New Roman" w:cs="Times New Roman" w:eastAsia="Times New Roman" w:hAnsi="Times New Roman"/>
                <w:sz w:val="19"/>
                <w:szCs w:val="19"/>
                <w:color w:val="auto"/>
              </w:rPr>
              <w:t>Exhibit 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3</w:t>
            </w:r>
          </w:p>
        </w:tc>
        <w:tc>
          <w:tcPr>
            <w:tcW w:w="760" w:type="dxa"/>
            <w:vAlign w:val="bottom"/>
          </w:tcPr>
          <w:p>
            <w:pPr>
              <w:spacing w:after="0"/>
              <w:rPr>
                <w:sz w:val="18"/>
                <w:szCs w:val="18"/>
                <w:color w:val="auto"/>
              </w:rPr>
            </w:pPr>
          </w:p>
        </w:tc>
        <w:tc>
          <w:tcPr>
            <w:tcW w:w="854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Partnerships For U.S. Federal Income Tax Purposes)</w:t>
            </w:r>
          </w:p>
        </w:tc>
        <w:tc>
          <w:tcPr>
            <w:tcW w:w="0" w:type="dxa"/>
            <w:vAlign w:val="bottom"/>
          </w:tcPr>
          <w:p>
            <w:pPr>
              <w:spacing w:after="0"/>
              <w:rPr>
                <w:sz w:val="1"/>
                <w:szCs w:val="1"/>
                <w:color w:val="auto"/>
              </w:rPr>
            </w:pPr>
          </w:p>
        </w:tc>
      </w:tr>
      <w:tr>
        <w:trPr>
          <w:trHeight w:val="216"/>
        </w:trPr>
        <w:tc>
          <w:tcPr>
            <w:tcW w:w="194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854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Form of Section 2.12(g) U.S. Tax Compliance Certificate (For Foreign Participants That Are Partnerships</w:t>
            </w:r>
          </w:p>
        </w:tc>
        <w:tc>
          <w:tcPr>
            <w:tcW w:w="0" w:type="dxa"/>
            <w:vAlign w:val="bottom"/>
          </w:tcPr>
          <w:p>
            <w:pPr>
              <w:spacing w:after="0"/>
              <w:rPr>
                <w:sz w:val="1"/>
                <w:szCs w:val="1"/>
                <w:color w:val="auto"/>
              </w:rPr>
            </w:pPr>
          </w:p>
        </w:tc>
      </w:tr>
      <w:tr>
        <w:trPr>
          <w:trHeight w:val="216"/>
        </w:trPr>
        <w:tc>
          <w:tcPr>
            <w:tcW w:w="1940" w:type="dxa"/>
            <w:vAlign w:val="bottom"/>
            <w:vMerge w:val="restart"/>
          </w:tcPr>
          <w:p>
            <w:pPr>
              <w:ind w:left="100"/>
              <w:spacing w:after="0" w:line="219" w:lineRule="exact"/>
              <w:rPr>
                <w:sz w:val="20"/>
                <w:szCs w:val="20"/>
                <w:color w:val="auto"/>
              </w:rPr>
            </w:pPr>
            <w:r>
              <w:rPr>
                <w:rFonts w:ascii="Times New Roman" w:cs="Times New Roman" w:eastAsia="Times New Roman" w:hAnsi="Times New Roman"/>
                <w:sz w:val="19"/>
                <w:szCs w:val="19"/>
                <w:color w:val="auto"/>
              </w:rPr>
              <w:t>Exhibit 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4</w:t>
            </w:r>
          </w:p>
        </w:tc>
        <w:tc>
          <w:tcPr>
            <w:tcW w:w="760" w:type="dxa"/>
            <w:vAlign w:val="bottom"/>
          </w:tcPr>
          <w:p>
            <w:pPr>
              <w:spacing w:after="0"/>
              <w:rPr>
                <w:sz w:val="18"/>
                <w:szCs w:val="18"/>
                <w:color w:val="auto"/>
              </w:rPr>
            </w:pPr>
          </w:p>
        </w:tc>
        <w:tc>
          <w:tcPr>
            <w:tcW w:w="854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For U.S. Federal Income Tax Purposes)</w:t>
            </w:r>
          </w:p>
        </w:tc>
        <w:tc>
          <w:tcPr>
            <w:tcW w:w="0" w:type="dxa"/>
            <w:vAlign w:val="bottom"/>
          </w:tcPr>
          <w:p>
            <w:pPr>
              <w:spacing w:after="0"/>
              <w:rPr>
                <w:sz w:val="1"/>
                <w:szCs w:val="1"/>
                <w:color w:val="auto"/>
              </w:rPr>
            </w:pPr>
          </w:p>
        </w:tc>
      </w:tr>
      <w:tr>
        <w:trPr>
          <w:trHeight w:val="216"/>
        </w:trPr>
        <w:tc>
          <w:tcPr>
            <w:tcW w:w="194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8540" w:type="dxa"/>
            <w:vAlign w:val="bottom"/>
          </w:tcPr>
          <w:p>
            <w:pPr>
              <w:ind w:left="200"/>
              <w:spacing w:after="0" w:line="216" w:lineRule="exact"/>
              <w:rPr>
                <w:sz w:val="20"/>
                <w:szCs w:val="20"/>
                <w:color w:val="auto"/>
              </w:rPr>
            </w:pPr>
            <w:r>
              <w:rPr>
                <w:rFonts w:ascii="Times New Roman" w:cs="Times New Roman" w:eastAsia="Times New Roman" w:hAnsi="Times New Roman"/>
                <w:sz w:val="19"/>
                <w:szCs w:val="19"/>
                <w:color w:val="auto"/>
              </w:rPr>
              <w:t>Form of Section 2.12(g) U.S. Tax Compliance Certificate (For Foreign Lenders That Are Partnerships For</w:t>
            </w:r>
          </w:p>
        </w:tc>
        <w:tc>
          <w:tcPr>
            <w:tcW w:w="0" w:type="dxa"/>
            <w:vAlign w:val="bottom"/>
          </w:tcPr>
          <w:p>
            <w:pPr>
              <w:spacing w:after="0"/>
              <w:rPr>
                <w:sz w:val="1"/>
                <w:szCs w:val="1"/>
                <w:color w:val="auto"/>
              </w:rPr>
            </w:pPr>
          </w:p>
        </w:tc>
      </w:tr>
      <w:tr>
        <w:trPr>
          <w:trHeight w:val="244"/>
        </w:trPr>
        <w:tc>
          <w:tcPr>
            <w:tcW w:w="1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U.S. Federal Income Tax Purposes)</w:t>
            </w:r>
          </w:p>
        </w:tc>
        <w:tc>
          <w:tcPr>
            <w:tcW w:w="0" w:type="dxa"/>
            <w:vAlign w:val="bottom"/>
          </w:tcPr>
          <w:p>
            <w:pPr>
              <w:spacing w:after="0"/>
              <w:rPr>
                <w:sz w:val="1"/>
                <w:szCs w:val="1"/>
                <w:color w:val="auto"/>
              </w:rPr>
            </w:pPr>
          </w:p>
        </w:tc>
      </w:tr>
      <w:tr>
        <w:trPr>
          <w:trHeight w:val="783"/>
        </w:trPr>
        <w:tc>
          <w:tcPr>
            <w:tcW w:w="1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40" w:type="dxa"/>
            <w:vAlign w:val="bottom"/>
          </w:tcPr>
          <w:p>
            <w:pPr>
              <w:ind w:left="3040"/>
              <w:spacing w:after="0"/>
              <w:rPr>
                <w:sz w:val="20"/>
                <w:szCs w:val="20"/>
                <w:color w:val="auto"/>
              </w:rPr>
            </w:pPr>
            <w:r>
              <w:rPr>
                <w:rFonts w:ascii="Times New Roman" w:cs="Times New Roman" w:eastAsia="Times New Roman" w:hAnsi="Times New Roman"/>
                <w:sz w:val="19"/>
                <w:szCs w:val="19"/>
                <w:color w:val="auto"/>
              </w:rPr>
              <w:t>iv</w:t>
            </w:r>
          </w:p>
        </w:tc>
        <w:tc>
          <w:tcPr>
            <w:tcW w:w="0" w:type="dxa"/>
            <w:vAlign w:val="bottom"/>
          </w:tcPr>
          <w:p>
            <w:pPr>
              <w:spacing w:after="0"/>
              <w:rPr>
                <w:sz w:val="1"/>
                <w:szCs w:val="1"/>
                <w:color w:val="auto"/>
              </w:rPr>
            </w:pPr>
          </w:p>
        </w:tc>
      </w:tr>
      <w:tr>
        <w:trPr>
          <w:trHeight w:val="1058"/>
        </w:trPr>
        <w:tc>
          <w:tcPr>
            <w:tcW w:w="19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9"/>
          <w:szCs w:val="19"/>
          <w:b w:val="1"/>
          <w:bCs w:val="1"/>
          <w:color w:val="auto"/>
        </w:rPr>
        <w:t>TERM LOAN AGREEMENT</w:t>
      </w:r>
    </w:p>
    <w:p>
      <w:pPr>
        <w:spacing w:after="0" w:line="212"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19"/>
          <w:szCs w:val="19"/>
          <w:color w:val="auto"/>
        </w:rPr>
        <w:t>TERM LOAN AGREEMENT dated as of September 29, 2016 (this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among EASTERLY GOVERNMENT PROPERTIES LP, a Delaware limited partnership (the “</w:t>
      </w:r>
      <w:r>
        <w:rPr>
          <w:rFonts w:ascii="Times New Roman" w:cs="Times New Roman" w:eastAsia="Times New Roman" w:hAnsi="Times New Roman"/>
          <w:sz w:val="19"/>
          <w:szCs w:val="19"/>
          <w:b w:val="1"/>
          <w:bCs w:val="1"/>
          <w:i w:val="1"/>
          <w:iCs w:val="1"/>
          <w:color w:val="auto"/>
        </w:rPr>
        <w:t>Borrower</w:t>
      </w:r>
      <w:r>
        <w:rPr>
          <w:rFonts w:ascii="Times New Roman" w:cs="Times New Roman" w:eastAsia="Times New Roman" w:hAnsi="Times New Roman"/>
          <w:sz w:val="19"/>
          <w:szCs w:val="19"/>
          <w:color w:val="auto"/>
        </w:rPr>
        <w:t>”), EASTERLY GOVERNMENT PROPERTIES, INC., a Maryland corporation (the “</w:t>
      </w:r>
      <w:r>
        <w:rPr>
          <w:rFonts w:ascii="Times New Roman" w:cs="Times New Roman" w:eastAsia="Times New Roman" w:hAnsi="Times New Roman"/>
          <w:sz w:val="19"/>
          <w:szCs w:val="19"/>
          <w:b w:val="1"/>
          <w:bCs w:val="1"/>
          <w:i w:val="1"/>
          <w:iCs w:val="1"/>
          <w:color w:val="auto"/>
        </w:rPr>
        <w:t>Parent</w:t>
      </w:r>
      <w:r>
        <w:rPr>
          <w:rFonts w:ascii="Times New Roman" w:cs="Times New Roman" w:eastAsia="Times New Roman" w:hAnsi="Times New Roman"/>
          <w:sz w:val="19"/>
          <w:szCs w:val="19"/>
          <w:color w:val="auto"/>
        </w:rPr>
        <w:t>”), the entities listed on the signature pages hereof as the subsidiary guarantors from time to time (together with any Additional Guarantors (as hereinafter defined) acceding hereto pursuant to Section 5.01(j) or 7.05, from time to time, the “</w:t>
      </w:r>
      <w:r>
        <w:rPr>
          <w:rFonts w:ascii="Times New Roman" w:cs="Times New Roman" w:eastAsia="Times New Roman" w:hAnsi="Times New Roman"/>
          <w:sz w:val="19"/>
          <w:szCs w:val="19"/>
          <w:b w:val="1"/>
          <w:bCs w:val="1"/>
          <w:i w:val="1"/>
          <w:iCs w:val="1"/>
          <w:color w:val="auto"/>
        </w:rPr>
        <w:t>Subsidiary Guarantors</w:t>
      </w:r>
      <w:r>
        <w:rPr>
          <w:rFonts w:ascii="Times New Roman" w:cs="Times New Roman" w:eastAsia="Times New Roman" w:hAnsi="Times New Roman"/>
          <w:sz w:val="19"/>
          <w:szCs w:val="19"/>
          <w:color w:val="auto"/>
        </w:rPr>
        <w:t>” and, together with the Parent, the “</w:t>
      </w:r>
      <w:r>
        <w:rPr>
          <w:rFonts w:ascii="Times New Roman" w:cs="Times New Roman" w:eastAsia="Times New Roman" w:hAnsi="Times New Roman"/>
          <w:sz w:val="19"/>
          <w:szCs w:val="19"/>
          <w:b w:val="1"/>
          <w:bCs w:val="1"/>
          <w:i w:val="1"/>
          <w:iCs w:val="1"/>
          <w:color w:val="auto"/>
        </w:rPr>
        <w:t>Guarantors</w:t>
      </w:r>
      <w:r>
        <w:rPr>
          <w:rFonts w:ascii="Times New Roman" w:cs="Times New Roman" w:eastAsia="Times New Roman" w:hAnsi="Times New Roman"/>
          <w:sz w:val="19"/>
          <w:szCs w:val="19"/>
          <w:color w:val="auto"/>
        </w:rPr>
        <w:t>”), the banks, financial institutions and other institutional lenders listed on the signature pages hereof as the initial lenders (the “</w:t>
      </w:r>
      <w:r>
        <w:rPr>
          <w:rFonts w:ascii="Times New Roman" w:cs="Times New Roman" w:eastAsia="Times New Roman" w:hAnsi="Times New Roman"/>
          <w:sz w:val="19"/>
          <w:szCs w:val="19"/>
          <w:b w:val="1"/>
          <w:bCs w:val="1"/>
          <w:i w:val="1"/>
          <w:iCs w:val="1"/>
          <w:color w:val="auto"/>
        </w:rPr>
        <w:t>Initial Lenders</w:t>
      </w:r>
      <w:r>
        <w:rPr>
          <w:rFonts w:ascii="Times New Roman" w:cs="Times New Roman" w:eastAsia="Times New Roman" w:hAnsi="Times New Roman"/>
          <w:sz w:val="19"/>
          <w:szCs w:val="19"/>
          <w:color w:val="auto"/>
        </w:rPr>
        <w:t>”), PNC BANK, NATIONAL ASSOCIATION (“</w:t>
      </w:r>
      <w:r>
        <w:rPr>
          <w:rFonts w:ascii="Times New Roman" w:cs="Times New Roman" w:eastAsia="Times New Roman" w:hAnsi="Times New Roman"/>
          <w:sz w:val="19"/>
          <w:szCs w:val="19"/>
          <w:b w:val="1"/>
          <w:bCs w:val="1"/>
          <w:i w:val="1"/>
          <w:iCs w:val="1"/>
          <w:color w:val="auto"/>
        </w:rPr>
        <w:t>PNC</w:t>
      </w:r>
      <w:r>
        <w:rPr>
          <w:rFonts w:ascii="Times New Roman" w:cs="Times New Roman" w:eastAsia="Times New Roman" w:hAnsi="Times New Roman"/>
          <w:sz w:val="19"/>
          <w:szCs w:val="19"/>
          <w:color w:val="auto"/>
        </w:rPr>
        <w:t>”), as administrative agent (together with any successor administrative agent appointed pursuant to Section 8.06, the “</w:t>
      </w:r>
      <w:r>
        <w:rPr>
          <w:rFonts w:ascii="Times New Roman" w:cs="Times New Roman" w:eastAsia="Times New Roman" w:hAnsi="Times New Roman"/>
          <w:sz w:val="19"/>
          <w:szCs w:val="19"/>
          <w:b w:val="1"/>
          <w:bCs w:val="1"/>
          <w:i w:val="1"/>
          <w:iCs w:val="1"/>
          <w:color w:val="auto"/>
        </w:rPr>
        <w:t>Administrative Agent</w:t>
      </w:r>
      <w:r>
        <w:rPr>
          <w:rFonts w:ascii="Times New Roman" w:cs="Times New Roman" w:eastAsia="Times New Roman" w:hAnsi="Times New Roman"/>
          <w:sz w:val="19"/>
          <w:szCs w:val="19"/>
          <w:color w:val="auto"/>
        </w:rPr>
        <w:t>”) for the Lenders (as hereinafter defined), with U.S. BANK NATIONAL ASSOCIATION (“</w:t>
      </w:r>
      <w:r>
        <w:rPr>
          <w:rFonts w:ascii="Times New Roman" w:cs="Times New Roman" w:eastAsia="Times New Roman" w:hAnsi="Times New Roman"/>
          <w:sz w:val="19"/>
          <w:szCs w:val="19"/>
          <w:b w:val="1"/>
          <w:bCs w:val="1"/>
          <w:i w:val="1"/>
          <w:iCs w:val="1"/>
          <w:color w:val="auto"/>
        </w:rPr>
        <w:t>USBNA</w:t>
      </w:r>
      <w:r>
        <w:rPr>
          <w:rFonts w:ascii="Times New Roman" w:cs="Times New Roman" w:eastAsia="Times New Roman" w:hAnsi="Times New Roman"/>
          <w:sz w:val="19"/>
          <w:szCs w:val="19"/>
          <w:color w:val="auto"/>
        </w:rPr>
        <w:t>”) and TRUIST BANK, as syndication agents, and PNC CAPITAL MARKETS LLC (“</w:t>
      </w:r>
      <w:r>
        <w:rPr>
          <w:rFonts w:ascii="Times New Roman" w:cs="Times New Roman" w:eastAsia="Times New Roman" w:hAnsi="Times New Roman"/>
          <w:sz w:val="19"/>
          <w:szCs w:val="19"/>
          <w:b w:val="1"/>
          <w:bCs w:val="1"/>
          <w:i w:val="1"/>
          <w:iCs w:val="1"/>
          <w:color w:val="auto"/>
        </w:rPr>
        <w:t>PNCCM</w:t>
      </w:r>
      <w:r>
        <w:rPr>
          <w:rFonts w:ascii="Times New Roman" w:cs="Times New Roman" w:eastAsia="Times New Roman" w:hAnsi="Times New Roman"/>
          <w:sz w:val="19"/>
          <w:szCs w:val="19"/>
          <w:color w:val="auto"/>
        </w:rPr>
        <w:t>”), USBNA and TRUIST SECURITIES, INC., as joint lead arrangers and joint bookrunners (the “</w:t>
      </w:r>
      <w:r>
        <w:rPr>
          <w:rFonts w:ascii="Times New Roman" w:cs="Times New Roman" w:eastAsia="Times New Roman" w:hAnsi="Times New Roman"/>
          <w:sz w:val="19"/>
          <w:szCs w:val="19"/>
          <w:b w:val="1"/>
          <w:bCs w:val="1"/>
          <w:i w:val="1"/>
          <w:iCs w:val="1"/>
          <w:color w:val="auto"/>
        </w:rPr>
        <w:t>Arrangers</w:t>
      </w:r>
      <w:r>
        <w:rPr>
          <w:rFonts w:ascii="Times New Roman" w:cs="Times New Roman" w:eastAsia="Times New Roman" w:hAnsi="Times New Roman"/>
          <w:sz w:val="19"/>
          <w:szCs w:val="19"/>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DEFINITIONS AND ACCOUNTING TERMS</w:t>
      </w:r>
    </w:p>
    <w:p>
      <w:pPr>
        <w:spacing w:after="0" w:line="218" w:lineRule="exact"/>
        <w:rPr>
          <w:sz w:val="20"/>
          <w:szCs w:val="20"/>
          <w:color w:val="auto"/>
        </w:rPr>
      </w:pPr>
    </w:p>
    <w:p>
      <w:pPr>
        <w:jc w:val="both"/>
        <w:ind w:right="20" w:firstLine="1497"/>
        <w:spacing w:after="0" w:line="265" w:lineRule="auto"/>
        <w:rPr>
          <w:sz w:val="20"/>
          <w:szCs w:val="20"/>
          <w:color w:val="auto"/>
        </w:rPr>
      </w:pPr>
      <w:r>
        <w:rPr>
          <w:rFonts w:ascii="Times New Roman" w:cs="Times New Roman" w:eastAsia="Times New Roman" w:hAnsi="Times New Roman"/>
          <w:sz w:val="19"/>
          <w:szCs w:val="19"/>
          <w:color w:val="010000"/>
        </w:rPr>
        <w:t>Section 1.01</w:t>
      </w:r>
      <w:r>
        <w:rPr>
          <w:rFonts w:ascii="Times New Roman" w:cs="Times New Roman" w:eastAsia="Times New Roman" w:hAnsi="Times New Roman"/>
          <w:sz w:val="19"/>
          <w:szCs w:val="19"/>
          <w:u w:val="single" w:color="auto"/>
          <w:color w:val="000000"/>
        </w:rPr>
        <w:t>Certain Defined Terms</w:t>
      </w:r>
      <w:r>
        <w:rPr>
          <w:rFonts w:ascii="Times New Roman" w:cs="Times New Roman" w:eastAsia="Times New Roman" w:hAnsi="Times New Roman"/>
          <w:sz w:val="19"/>
          <w:szCs w:val="19"/>
          <w:color w:val="000000"/>
        </w:rPr>
        <w:t>. As used in this Agreement, the following terms shall have the following meanings (such</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meanings to be equally applicable to both the singular and plural forms of the terms defined):</w:t>
      </w:r>
    </w:p>
    <w:p>
      <w:pPr>
        <w:spacing w:after="0" w:line="160"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b w:val="1"/>
          <w:bCs w:val="1"/>
          <w:u w:val="single" w:color="auto"/>
          <w:color w:val="0000FF"/>
        </w:rPr>
        <w:t>“</w:t>
      </w:r>
      <w:r>
        <w:rPr>
          <w:rFonts w:ascii="Times New Roman" w:cs="Times New Roman" w:eastAsia="Times New Roman" w:hAnsi="Times New Roman"/>
          <w:sz w:val="19"/>
          <w:szCs w:val="19"/>
          <w:b w:val="1"/>
          <w:bCs w:val="1"/>
          <w:i w:val="1"/>
          <w:iCs w:val="1"/>
          <w:u w:val="single" w:color="auto"/>
          <w:color w:val="0000FF"/>
        </w:rPr>
        <w:t>2026 Term Loan Agreement</w:t>
      </w:r>
      <w:r>
        <w:rPr>
          <w:rFonts w:ascii="Times New Roman" w:cs="Times New Roman" w:eastAsia="Times New Roman" w:hAnsi="Times New Roman"/>
          <w:sz w:val="19"/>
          <w:szCs w:val="19"/>
          <w:b w:val="1"/>
          <w:bCs w:val="1"/>
          <w:u w:val="single" w:color="auto"/>
          <w:color w:val="0000FF"/>
        </w:rPr>
        <w:t>” means that certain Term Loan Agreement dated as of June __, 2026, between Borrower and PNC as administrative agent, and certain other parties thereto, as the same has been or may hereafter be, amended or otherwise modified, together with any replacement or successor term loan agreement that the Borrower may enter into (including, without limitation, any amendment and restatement of the Term Loan Agreement referred to above).</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Acceding Lender</w:t>
      </w:r>
      <w:r>
        <w:rPr>
          <w:rFonts w:ascii="Times New Roman" w:cs="Times New Roman" w:eastAsia="Times New Roman" w:hAnsi="Times New Roman"/>
          <w:sz w:val="19"/>
          <w:szCs w:val="19"/>
          <w:color w:val="auto"/>
        </w:rPr>
        <w:t>” has the meaning specified in Section 2.17(d).</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Accession Agreement</w:t>
      </w:r>
      <w:r>
        <w:rPr>
          <w:rFonts w:ascii="Times New Roman" w:cs="Times New Roman" w:eastAsia="Times New Roman" w:hAnsi="Times New Roman"/>
          <w:sz w:val="19"/>
          <w:szCs w:val="19"/>
          <w:color w:val="auto"/>
        </w:rPr>
        <w:t>” has the meaning specified in Section 2.17(d)(i).</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Additional Guarantor</w:t>
      </w:r>
      <w:r>
        <w:rPr>
          <w:rFonts w:ascii="Times New Roman" w:cs="Times New Roman" w:eastAsia="Times New Roman" w:hAnsi="Times New Roman"/>
          <w:sz w:val="19"/>
          <w:szCs w:val="19"/>
          <w:color w:val="auto"/>
        </w:rPr>
        <w:t>” has the meaning specified in Section 7.05.</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i w:val="1"/>
          <w:iCs w:val="1"/>
          <w:color w:val="FF0000"/>
          <w:strike w:val="1"/>
        </w:rPr>
        <w:t>“</w:t>
      </w:r>
      <w:r>
        <w:rPr>
          <w:rFonts w:ascii="Times New Roman" w:cs="Times New Roman" w:eastAsia="Times New Roman" w:hAnsi="Times New Roman"/>
          <w:sz w:val="19"/>
          <w:szCs w:val="19"/>
          <w:b w:val="1"/>
          <w:bCs w:val="1"/>
          <w:i w:val="1"/>
          <w:iCs w:val="1"/>
          <w:color w:val="FF0000"/>
          <w:strike w:val="1"/>
        </w:rPr>
        <w:t>Adjusted Daily Simple SOFR</w:t>
      </w:r>
      <w:r>
        <w:rPr>
          <w:rFonts w:ascii="Times New Roman" w:cs="Times New Roman" w:eastAsia="Times New Roman" w:hAnsi="Times New Roman"/>
          <w:sz w:val="19"/>
          <w:szCs w:val="19"/>
          <w:color w:val="FF0000"/>
          <w:strike w:val="1"/>
        </w:rPr>
        <w:t>” means, for any Daily RFR Business Day, an interest rate per annum equal to (a) Daily Simple</w:t>
      </w:r>
      <w:r>
        <w:rPr>
          <w:rFonts w:ascii="Times New Roman" w:cs="Times New Roman" w:eastAsia="Times New Roman" w:hAnsi="Times New Roman"/>
          <w:sz w:val="19"/>
          <w:szCs w:val="19"/>
          <w:i w:val="1"/>
          <w:iCs w:val="1"/>
          <w:color w:val="FF0000"/>
          <w:strike w:val="1"/>
        </w:rPr>
        <w:t xml:space="preserve"> </w:t>
      </w:r>
      <w:r>
        <w:rPr>
          <w:rFonts w:ascii="Times New Roman" w:cs="Times New Roman" w:eastAsia="Times New Roman" w:hAnsi="Times New Roman"/>
          <w:sz w:val="19"/>
          <w:szCs w:val="19"/>
          <w:color w:val="FF0000"/>
          <w:strike w:val="1"/>
        </w:rPr>
        <w:t xml:space="preserve">SOFR for such Daily RFR Business Day, plus (b) 0.10% (10 basis points); </w:t>
      </w:r>
      <w:r>
        <w:rPr>
          <w:rFonts w:ascii="Times New Roman" w:cs="Times New Roman" w:eastAsia="Times New Roman" w:hAnsi="Times New Roman"/>
          <w:sz w:val="19"/>
          <w:szCs w:val="19"/>
          <w:i w:val="1"/>
          <w:iCs w:val="1"/>
          <w:color w:val="FF0000"/>
          <w:strike w:val="1"/>
        </w:rPr>
        <w:t>provided, however</w:t>
      </w:r>
      <w:r>
        <w:rPr>
          <w:rFonts w:ascii="Times New Roman" w:cs="Times New Roman" w:eastAsia="Times New Roman" w:hAnsi="Times New Roman"/>
          <w:sz w:val="19"/>
          <w:szCs w:val="19"/>
          <w:color w:val="FF0000"/>
          <w:strike w:val="1"/>
        </w:rPr>
        <w:t>, that in no event shall Adjusted Daily Simple SOFR be less than the Floor.</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b w:val="1"/>
          <w:bCs w:val="1"/>
          <w:i w:val="1"/>
          <w:iCs w:val="1"/>
          <w:color w:val="FF0000"/>
          <w:strike w:val="1"/>
        </w:rPr>
        <w:t>Adjusted</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b w:val="1"/>
          <w:bCs w:val="1"/>
          <w:i w:val="1"/>
          <w:iCs w:val="1"/>
          <w:color w:val="008000"/>
          <w:strike w:val="1"/>
        </w:rPr>
        <w:t>DSS Advance</w:t>
      </w:r>
      <w:r>
        <w:rPr>
          <w:rFonts w:ascii="Times New Roman" w:cs="Times New Roman" w:eastAsia="Times New Roman" w:hAnsi="Times New Roman"/>
          <w:sz w:val="19"/>
          <w:szCs w:val="19"/>
          <w:color w:val="008000"/>
          <w:strike w:val="1"/>
        </w:rPr>
        <w:t>” means an Advance that bears interest at a rate based on</w:t>
      </w:r>
      <w:r>
        <w:rPr>
          <w:rFonts w:ascii="Times New Roman" w:cs="Times New Roman" w:eastAsia="Times New Roman" w:hAnsi="Times New Roman"/>
          <w:sz w:val="19"/>
          <w:szCs w:val="19"/>
          <w:color w:val="FF0000"/>
          <w:strike w:val="1"/>
        </w:rPr>
        <w:t xml:space="preserve"> Adjusted Daily Simple SOFR.</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Adjusted EBITDA</w:t>
      </w:r>
      <w:r>
        <w:rPr>
          <w:rFonts w:ascii="Times New Roman" w:cs="Times New Roman" w:eastAsia="Times New Roman" w:hAnsi="Times New Roman"/>
          <w:sz w:val="19"/>
          <w:szCs w:val="19"/>
          <w:color w:val="auto"/>
        </w:rPr>
        <w:t xml:space="preserve">” means an amount equal to (a) EBITDA for the fiscal quarter of the Parent most recently ended for which financial statements are required to be delivered to the Lenders pursuant to Section 5.03(b) or (c), as the case may be, multiplied by four, </w:t>
      </w:r>
      <w:r>
        <w:rPr>
          <w:rFonts w:ascii="Times New Roman" w:cs="Times New Roman" w:eastAsia="Times New Roman" w:hAnsi="Times New Roman"/>
          <w:sz w:val="19"/>
          <w:szCs w:val="19"/>
          <w:i w:val="1"/>
          <w:iCs w:val="1"/>
          <w:color w:val="auto"/>
        </w:rPr>
        <w:t>less</w:t>
      </w:r>
      <w:r>
        <w:rPr>
          <w:rFonts w:ascii="Times New Roman" w:cs="Times New Roman" w:eastAsia="Times New Roman" w:hAnsi="Times New Roman"/>
          <w:sz w:val="19"/>
          <w:szCs w:val="19"/>
          <w:color w:val="auto"/>
        </w:rPr>
        <w:t xml:space="preserve"> (b) the Capital Expenditure Reserve for all Assets for such fiscal quarter, other than any Asset owned by an Unrestricted Subsidiary.</w:t>
      </w:r>
    </w:p>
    <w:p>
      <w:pPr>
        <w:spacing w:after="0" w:line="170"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Adjusted Net Operating Income</w:t>
      </w:r>
      <w:r>
        <w:rPr>
          <w:rFonts w:ascii="Times New Roman" w:cs="Times New Roman" w:eastAsia="Times New Roman" w:hAnsi="Times New Roman"/>
          <w:sz w:val="19"/>
          <w:szCs w:val="19"/>
          <w:color w:val="auto"/>
        </w:rPr>
        <w:t xml:space="preserve">” means, with respect to any Asset, (a) Net Operating Income attributable to such Asset multiplied by four </w:t>
      </w:r>
      <w:r>
        <w:rPr>
          <w:rFonts w:ascii="Times New Roman" w:cs="Times New Roman" w:eastAsia="Times New Roman" w:hAnsi="Times New Roman"/>
          <w:sz w:val="19"/>
          <w:szCs w:val="19"/>
          <w:i w:val="1"/>
          <w:iCs w:val="1"/>
          <w:color w:val="auto"/>
        </w:rPr>
        <w:t>less</w:t>
      </w:r>
      <w:r>
        <w:rPr>
          <w:rFonts w:ascii="Times New Roman" w:cs="Times New Roman" w:eastAsia="Times New Roman" w:hAnsi="Times New Roman"/>
          <w:sz w:val="19"/>
          <w:szCs w:val="19"/>
          <w:color w:val="auto"/>
        </w:rPr>
        <w:t xml:space="preserve"> (b) the Management Fee Adjustment for such Asset </w:t>
      </w:r>
      <w:r>
        <w:rPr>
          <w:rFonts w:ascii="Times New Roman" w:cs="Times New Roman" w:eastAsia="Times New Roman" w:hAnsi="Times New Roman"/>
          <w:sz w:val="19"/>
          <w:szCs w:val="19"/>
          <w:i w:val="1"/>
          <w:iCs w:val="1"/>
          <w:color w:val="auto"/>
        </w:rPr>
        <w:t>less</w:t>
      </w:r>
      <w:r>
        <w:rPr>
          <w:rFonts w:ascii="Times New Roman" w:cs="Times New Roman" w:eastAsia="Times New Roman" w:hAnsi="Times New Roman"/>
          <w:sz w:val="19"/>
          <w:szCs w:val="19"/>
          <w:color w:val="auto"/>
        </w:rPr>
        <w:t xml:space="preserve"> (c) the Capital Expenditure Reserve for such Asset, in each case for the fiscal quarter most recently ended for which financial statements are required to be delivered to the Lenders pursuant to Section 5.03(b) or (c), as the case may be. In no event shall the Adjusted Net Operating Income for any Asset be less than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198" w:name="page199"/>
    <w:bookmarkEnd w:id="198"/>
    <w:p>
      <w:pPr>
        <w:jc w:val="both"/>
        <w:ind w:firstLine="1497"/>
        <w:spacing w:after="0" w:line="254" w:lineRule="auto"/>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b w:val="1"/>
          <w:bCs w:val="1"/>
          <w:i w:val="1"/>
          <w:iCs w:val="1"/>
          <w:color w:val="FF0000"/>
          <w:strike w:val="1"/>
        </w:rPr>
        <w:t>Adjusted Term SOFR</w:t>
      </w:r>
      <w:r>
        <w:rPr>
          <w:rFonts w:ascii="Times New Roman" w:cs="Times New Roman" w:eastAsia="Times New Roman" w:hAnsi="Times New Roman"/>
          <w:sz w:val="19"/>
          <w:szCs w:val="19"/>
          <w:color w:val="FF0000"/>
          <w:strike w:val="1"/>
        </w:rPr>
        <w:t>” means, for any Interest Period, an interest rate per annum equal to (a) Term SOFR for such Interest Period, plus (b) 0.10% (10 basis points) (the “</w:t>
      </w:r>
      <w:r>
        <w:rPr>
          <w:rFonts w:ascii="Times New Roman" w:cs="Times New Roman" w:eastAsia="Times New Roman" w:hAnsi="Times New Roman"/>
          <w:sz w:val="19"/>
          <w:szCs w:val="19"/>
          <w:b w:val="1"/>
          <w:bCs w:val="1"/>
          <w:i w:val="1"/>
          <w:iCs w:val="1"/>
          <w:color w:val="FF0000"/>
          <w:strike w:val="1"/>
        </w:rPr>
        <w:t>Term SOFR Adjustment</w:t>
      </w:r>
      <w:r>
        <w:rPr>
          <w:rFonts w:ascii="Times New Roman" w:cs="Times New Roman" w:eastAsia="Times New Roman" w:hAnsi="Times New Roman"/>
          <w:sz w:val="19"/>
          <w:szCs w:val="19"/>
          <w:color w:val="FF0000"/>
          <w:strike w:val="1"/>
        </w:rPr>
        <w:t>”); provided, however, that in no event shall Adjusted Term SOFR be less than the Floor.</w:t>
      </w:r>
    </w:p>
    <w:p>
      <w:pPr>
        <w:spacing w:after="0" w:line="130"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b w:val="1"/>
          <w:bCs w:val="1"/>
          <w:i w:val="1"/>
          <w:iCs w:val="1"/>
          <w:color w:val="FF0000"/>
          <w:strike w:val="1"/>
        </w:rPr>
        <w:t>Adjusted</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b w:val="1"/>
          <w:bCs w:val="1"/>
          <w:i w:val="1"/>
          <w:iCs w:val="1"/>
          <w:color w:val="008000"/>
          <w:strike w:val="1"/>
        </w:rPr>
        <w:t>Term SOFR Advance</w:t>
      </w:r>
      <w:r>
        <w:rPr>
          <w:rFonts w:ascii="Times New Roman" w:cs="Times New Roman" w:eastAsia="Times New Roman" w:hAnsi="Times New Roman"/>
          <w:sz w:val="19"/>
          <w:szCs w:val="19"/>
          <w:color w:val="008000"/>
          <w:strike w:val="1"/>
        </w:rPr>
        <w:t>” means an Advance that bears interest at a rate based on</w:t>
      </w:r>
      <w:r>
        <w:rPr>
          <w:rFonts w:ascii="Times New Roman" w:cs="Times New Roman" w:eastAsia="Times New Roman" w:hAnsi="Times New Roman"/>
          <w:sz w:val="19"/>
          <w:szCs w:val="19"/>
          <w:color w:val="FF0000"/>
          <w:strike w:val="1"/>
        </w:rPr>
        <w:t xml:space="preserve"> Adjusted Term </w:t>
      </w:r>
      <w:r>
        <w:rPr>
          <w:rFonts w:ascii="Times New Roman" w:cs="Times New Roman" w:eastAsia="Times New Roman" w:hAnsi="Times New Roman"/>
          <w:sz w:val="19"/>
          <w:szCs w:val="19"/>
          <w:color w:val="008000"/>
          <w:strike w:val="1"/>
        </w:rPr>
        <w:t>SOFR (other than</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8000"/>
          <w:strike w:val="1"/>
        </w:rPr>
        <w:t>pursuant to clause (c) of the definition of Base Rate).</w:t>
      </w:r>
    </w:p>
    <w:p>
      <w:pPr>
        <w:spacing w:after="0" w:line="1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Administrative Agent</w:t>
      </w:r>
      <w:r>
        <w:rPr>
          <w:rFonts w:ascii="Times New Roman" w:cs="Times New Roman" w:eastAsia="Times New Roman" w:hAnsi="Times New Roman"/>
          <w:sz w:val="19"/>
          <w:szCs w:val="19"/>
          <w:color w:val="auto"/>
        </w:rPr>
        <w:t>” has the meaning specified in the recital of parties to this Agreement.</w:t>
      </w:r>
    </w:p>
    <w:p>
      <w:pPr>
        <w:spacing w:after="0" w:line="214"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Administrative Agent’s Account</w:t>
      </w:r>
      <w:r>
        <w:rPr>
          <w:rFonts w:ascii="Times New Roman" w:cs="Times New Roman" w:eastAsia="Times New Roman" w:hAnsi="Times New Roman"/>
          <w:sz w:val="19"/>
          <w:szCs w:val="19"/>
          <w:color w:val="auto"/>
        </w:rPr>
        <w:t>” means the account of the Administrative Agent maintained by the Administrative Agent with PNC Bank, N.A., Pittsburgh, at its office at PNC Firstside Center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Floor, 500 First Avenue, Pittsburgh, PA 15219, ABA No. 034-000-096, Account No. 130760016803, Account Name: Commercial Loan Operations, Reference: Easterly Government Properties LP, Attention: Nicole Novak, or such other account as the Administrative Agent shall specify in writing to the Borrower and the Lenders.</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Advance</w:t>
      </w:r>
      <w:r>
        <w:rPr>
          <w:rFonts w:ascii="Times New Roman" w:cs="Times New Roman" w:eastAsia="Times New Roman" w:hAnsi="Times New Roman"/>
          <w:sz w:val="19"/>
          <w:szCs w:val="19"/>
          <w:color w:val="auto"/>
        </w:rPr>
        <w:t>” has the meaning specified in Section 2.01.</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Affected Financial Institution</w:t>
      </w:r>
      <w:r>
        <w:rPr>
          <w:rFonts w:ascii="Times New Roman" w:cs="Times New Roman" w:eastAsia="Times New Roman" w:hAnsi="Times New Roman"/>
          <w:sz w:val="19"/>
          <w:szCs w:val="19"/>
          <w:color w:val="auto"/>
        </w:rPr>
        <w:t>” means (a) any EEA Financial Institution or (b) any UK Financial Institution.</w:t>
      </w:r>
    </w:p>
    <w:p>
      <w:pPr>
        <w:spacing w:after="0" w:line="214"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Affiliate</w:t>
      </w:r>
      <w:r>
        <w:rPr>
          <w:rFonts w:ascii="Times New Roman" w:cs="Times New Roman" w:eastAsia="Times New Roman" w:hAnsi="Times New Roman"/>
          <w:sz w:val="19"/>
          <w:szCs w:val="19"/>
          <w:color w:val="auto"/>
        </w:rPr>
        <w:t>” means, as to any Person, any other Person that, directly or indirectly, controls, is controlled by or is under common control with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Interests, by contract or otherwise.</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has the meaning specified in the recital of parties to this Agreement.</w:t>
      </w:r>
    </w:p>
    <w:p>
      <w:pPr>
        <w:spacing w:after="0" w:line="214" w:lineRule="exact"/>
        <w:rPr>
          <w:sz w:val="20"/>
          <w:szCs w:val="20"/>
          <w:color w:val="auto"/>
        </w:rPr>
      </w:pPr>
    </w:p>
    <w:p>
      <w:pPr>
        <w:jc w:val="both"/>
        <w:ind w:firstLine="1497"/>
        <w:spacing w:after="0" w:line="221"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Agreement Value</w:t>
      </w:r>
      <w:r>
        <w:rPr>
          <w:rFonts w:ascii="Times New Roman" w:cs="Times New Roman" w:eastAsia="Times New Roman" w:hAnsi="Times New Roman"/>
          <w:sz w:val="19"/>
          <w:szCs w:val="19"/>
          <w:color w:val="auto"/>
        </w:rPr>
        <w:t>” means, the net amount in respect of all Hedge Agreements, determined, with respect to each Hedge Agreement, on any date of determination, reasonably and in good faith by the Administrative Agent equal to: (a) in the case of a Hedge Agreement documented pursuant to the Master Agreement (Multicurrency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Cross Border) published by the International Swap and Derivatives Association, Inc. (the “</w:t>
      </w:r>
      <w:r>
        <w:rPr>
          <w:rFonts w:ascii="Times New Roman" w:cs="Times New Roman" w:eastAsia="Times New Roman" w:hAnsi="Times New Roman"/>
          <w:sz w:val="19"/>
          <w:szCs w:val="19"/>
          <w:b w:val="1"/>
          <w:bCs w:val="1"/>
          <w:i w:val="1"/>
          <w:iCs w:val="1"/>
          <w:color w:val="auto"/>
        </w:rPr>
        <w:t>Master Agreement</w:t>
      </w:r>
      <w:r>
        <w:rPr>
          <w:rFonts w:ascii="Times New Roman" w:cs="Times New Roman" w:eastAsia="Times New Roman" w:hAnsi="Times New Roman"/>
          <w:sz w:val="19"/>
          <w:szCs w:val="19"/>
          <w:color w:val="auto"/>
        </w:rPr>
        <w:t>”), the amount, if any, that would be payable by or to any Loan Party or any of its Subsidiaries to or by its counterparty to such Hedge Agreement, as if (i) such Hedge Agreement was being terminated early on such date of determination, (ii) such Loan Party or Subsidiary was the sole “Affected Party”, and (iii) the Administrative Agent was the sole party determining such payment amount (with the Administrative Agent making such determination reasonably and in good faith pursuant to the provisions of the form of Master Agreement); or (b) in the case of a Hedge Agreement traded on an exchange, the mark</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to</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market value of such Hedge Agreement, which will be the unrealized loss or unrealized profit on such Hedge Agreement to the Loan Party or Subsidiary of a Loan Party to such Hedge Agreement determined reasonably and in good faith by the Administrative Agent based on the settlement price of such Hedge Agreement on such date of determination; or (c) in all other cases, the mark</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to</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market value of such Hedge Agreement, which will be the unrealized loss or unrealized profit on such Hedge Agreement to the Loan Party or Subsidiary of a Loan Party to such Hedge Agreement determined reasonably and in good faith by the Administrative Agent as the amount, if any, by which (i) the present value of the future cash flows to be paid by such Loan Party or Subsidiary exceeds (or is less than, as applicable) (ii) the present value of the future cash flows to be received by such Loan Party or Subsidiary pursuant to such Hedge Agreement; capitalized terms used and not otherwise defined in this definition shall have the respective meanings set forth in the above described Master Agreement.</w:t>
      </w:r>
    </w:p>
    <w:p>
      <w:pPr>
        <w:spacing w:after="0" w:line="164" w:lineRule="exact"/>
        <w:rPr>
          <w:sz w:val="20"/>
          <w:szCs w:val="20"/>
          <w:color w:val="auto"/>
        </w:rPr>
      </w:pPr>
    </w:p>
    <w:p>
      <w:pPr>
        <w:jc w:val="both"/>
        <w:ind w:right="20" w:firstLine="1497"/>
        <w:spacing w:after="0" w:line="240"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Anti</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b w:val="1"/>
          <w:bCs w:val="1"/>
          <w:i w:val="1"/>
          <w:iCs w:val="1"/>
          <w:color w:val="auto"/>
        </w:rPr>
        <w:t>Corruption Laws</w:t>
      </w:r>
      <w:r>
        <w:rPr>
          <w:rFonts w:ascii="Times New Roman" w:cs="Times New Roman" w:eastAsia="Times New Roman" w:hAnsi="Times New Roman"/>
          <w:sz w:val="19"/>
          <w:szCs w:val="19"/>
          <w:color w:val="auto"/>
        </w:rPr>
        <w:t>” shall mean all laws, rules, and regulations of any jurisdiction applicable to the Borrower, the Parent or their Subsidiaries from time to time concerning or relating to bribery, corruption or money laundering including, without limitation, the United States Foreign Corrupt Practices Act of 1977,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-363855</wp:posOffset>
            </wp:positionV>
            <wp:extent cx="66040" cy="400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6040" cy="40005"/>
                    </a:xfrm>
                    <a:prstGeom prst="rect">
                      <a:avLst/>
                    </a:prstGeom>
                    <a:noFill/>
                  </pic:spPr>
                </pic:pic>
              </a:graphicData>
            </a:graphic>
          </wp:anchor>
        </w:drawing>
      </w:r>
    </w:p>
    <w:p>
      <w:pPr>
        <w:spacing w:after="0" w:line="3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99" w:name="page200"/>
    <w:bookmarkEnd w:id="199"/>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Alternate Source</w:t>
      </w:r>
      <w:r>
        <w:rPr>
          <w:rFonts w:ascii="Times New Roman" w:cs="Times New Roman" w:eastAsia="Times New Roman" w:hAnsi="Times New Roman"/>
          <w:sz w:val="19"/>
          <w:szCs w:val="19"/>
          <w:color w:val="auto"/>
        </w:rPr>
        <w:t>” has the meaning set forth in the definition of “Federal Funds Open Rate”.</w:t>
      </w:r>
    </w:p>
    <w:p>
      <w:pPr>
        <w:spacing w:after="0" w:line="214" w:lineRule="exact"/>
        <w:rPr>
          <w:sz w:val="20"/>
          <w:szCs w:val="20"/>
          <w:color w:val="auto"/>
        </w:rPr>
      </w:pPr>
    </w:p>
    <w:p>
      <w:pPr>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Applicable Lending Office</w:t>
      </w:r>
      <w:r>
        <w:rPr>
          <w:rFonts w:ascii="Times New Roman" w:cs="Times New Roman" w:eastAsia="Times New Roman" w:hAnsi="Times New Roman"/>
          <w:sz w:val="19"/>
          <w:szCs w:val="19"/>
          <w:color w:val="auto"/>
        </w:rPr>
        <w:t xml:space="preserve">” means, with respect to each Lender, such Lender’s Domestic Lending Office in the case of a Base Rate Advance and such Lender’s SOFR Lending Office in the case of </w:t>
      </w:r>
      <w:r>
        <w:rPr>
          <w:rFonts w:ascii="Times New Roman" w:cs="Times New Roman" w:eastAsia="Times New Roman" w:hAnsi="Times New Roman"/>
          <w:sz w:val="19"/>
          <w:szCs w:val="19"/>
          <w:color w:val="FF0000"/>
          <w:strike w:val="1"/>
        </w:rPr>
        <w:t>an Adjusted</w:t>
      </w:r>
      <w:r>
        <w:rPr>
          <w:rFonts w:ascii="Times New Roman" w:cs="Times New Roman" w:eastAsia="Times New Roman" w:hAnsi="Times New Roman"/>
          <w:sz w:val="19"/>
          <w:szCs w:val="19"/>
          <w:b w:val="1"/>
          <w:bCs w:val="1"/>
          <w:u w:val="single" w:color="auto"/>
          <w:color w:val="0000FF"/>
        </w:rPr>
        <w:t>a</w:t>
      </w:r>
      <w:r>
        <w:rPr>
          <w:rFonts w:ascii="Times New Roman" w:cs="Times New Roman" w:eastAsia="Times New Roman" w:hAnsi="Times New Roman"/>
          <w:sz w:val="19"/>
          <w:szCs w:val="19"/>
          <w:color w:val="auto"/>
        </w:rPr>
        <w:t xml:space="preserve"> Term SOFR Advance or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DSS Advance.</w:t>
      </w:r>
    </w:p>
    <w:p>
      <w:pPr>
        <w:spacing w:after="0" w:line="166" w:lineRule="exact"/>
        <w:rPr>
          <w:sz w:val="20"/>
          <w:szCs w:val="20"/>
          <w:color w:val="auto"/>
        </w:rPr>
      </w:pPr>
    </w:p>
    <w:p>
      <w:pPr>
        <w:ind w:firstLine="1505"/>
        <w:spacing w:after="0" w:line="259" w:lineRule="auto"/>
        <w:tabs>
          <w:tab w:leader="none" w:pos="2036"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Applicable Margin</w:t>
      </w:r>
      <w:r>
        <w:rPr>
          <w:rFonts w:ascii="Times New Roman" w:cs="Times New Roman" w:eastAsia="Times New Roman" w:hAnsi="Times New Roman"/>
          <w:sz w:val="19"/>
          <w:szCs w:val="19"/>
          <w:color w:val="auto"/>
        </w:rPr>
        <w:t>” means, at any date of determination, (a) a percentage per annum determined by reference to the Leverage Ratio as set forth below, but subject to clause (b) below:</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2120" w:type="dxa"/>
            <w:vAlign w:val="bottom"/>
            <w:tcBorders>
              <w:top w:val="single" w:sz="8" w:color="auto"/>
              <w:left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rPr>
              <w:t>Pricing Level</w:t>
            </w:r>
          </w:p>
        </w:tc>
        <w:tc>
          <w:tcPr>
            <w:tcW w:w="2840" w:type="dxa"/>
            <w:vAlign w:val="bottom"/>
            <w:tcBorders>
              <w:top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8"/>
              </w:rPr>
              <w:t>Leverage Ratio</w:t>
            </w:r>
          </w:p>
        </w:tc>
        <w:tc>
          <w:tcPr>
            <w:tcW w:w="2260" w:type="dxa"/>
            <w:vAlign w:val="bottom"/>
            <w:tcBorders>
              <w:top w:val="single" w:sz="8" w:color="auto"/>
            </w:tcBorders>
            <w:gridSpan w:val="2"/>
          </w:tcPr>
          <w:p>
            <w:pPr>
              <w:ind w:left="320"/>
              <w:spacing w:after="0" w:line="219" w:lineRule="exact"/>
              <w:rPr>
                <w:sz w:val="20"/>
                <w:szCs w:val="20"/>
                <w:color w:val="auto"/>
              </w:rPr>
            </w:pPr>
            <w:r>
              <w:rPr>
                <w:rFonts w:ascii="Times New Roman" w:cs="Times New Roman" w:eastAsia="Times New Roman" w:hAnsi="Times New Roman"/>
                <w:sz w:val="20"/>
                <w:szCs w:val="20"/>
                <w:b w:val="1"/>
                <w:bCs w:val="1"/>
                <w:color w:val="auto"/>
                <w:w w:val="99"/>
              </w:rPr>
              <w:t>Applicable Margin for</w:t>
            </w:r>
          </w:p>
        </w:tc>
        <w:tc>
          <w:tcPr>
            <w:tcW w:w="1160" w:type="dxa"/>
            <w:vAlign w:val="bottom"/>
            <w:tcBorders>
              <w:top w:val="single" w:sz="8" w:color="auto"/>
              <w:right w:val="single" w:sz="8" w:color="auto"/>
            </w:tcBorders>
            <w:gridSpan w:val="2"/>
          </w:tcPr>
          <w:p>
            <w:pPr>
              <w:spacing w:after="0" w:line="219" w:lineRule="exact"/>
              <w:rPr>
                <w:sz w:val="20"/>
                <w:szCs w:val="20"/>
                <w:color w:val="auto"/>
              </w:rPr>
            </w:pPr>
            <w:r>
              <w:rPr>
                <w:rFonts w:ascii="Times New Roman" w:cs="Times New Roman" w:eastAsia="Times New Roman" w:hAnsi="Times New Roman"/>
                <w:sz w:val="20"/>
                <w:szCs w:val="20"/>
                <w:b w:val="1"/>
                <w:bCs w:val="1"/>
                <w:color w:val="FF0000"/>
                <w:strike w:val="1"/>
              </w:rPr>
              <w:t>Adjusted</w:t>
            </w:r>
          </w:p>
        </w:tc>
        <w:tc>
          <w:tcPr>
            <w:tcW w:w="2860" w:type="dxa"/>
            <w:vAlign w:val="bottom"/>
            <w:tcBorders>
              <w:top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Applicable Margin for Base</w:t>
            </w:r>
          </w:p>
        </w:tc>
      </w:tr>
      <w:tr>
        <w:trPr>
          <w:trHeight w:val="229"/>
        </w:trPr>
        <w:tc>
          <w:tcPr>
            <w:tcW w:w="2120" w:type="dxa"/>
            <w:vAlign w:val="bottom"/>
            <w:tcBorders>
              <w:left w:val="single" w:sz="8" w:color="auto"/>
              <w:right w:val="single" w:sz="8" w:color="auto"/>
            </w:tcBorders>
          </w:tcPr>
          <w:p>
            <w:pPr>
              <w:spacing w:after="0"/>
              <w:rPr>
                <w:sz w:val="19"/>
                <w:szCs w:val="19"/>
                <w:color w:val="auto"/>
              </w:rPr>
            </w:pPr>
          </w:p>
        </w:tc>
        <w:tc>
          <w:tcPr>
            <w:tcW w:w="2840" w:type="dxa"/>
            <w:vAlign w:val="bottom"/>
            <w:tcBorders>
              <w:right w:val="single" w:sz="8" w:color="auto"/>
            </w:tcBorders>
          </w:tcPr>
          <w:p>
            <w:pPr>
              <w:spacing w:after="0"/>
              <w:rPr>
                <w:sz w:val="19"/>
                <w:szCs w:val="19"/>
                <w:color w:val="auto"/>
              </w:rPr>
            </w:pPr>
          </w:p>
        </w:tc>
        <w:tc>
          <w:tcPr>
            <w:tcW w:w="182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Term SOFR and</w:t>
            </w:r>
          </w:p>
        </w:tc>
        <w:tc>
          <w:tcPr>
            <w:tcW w:w="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FF0000"/>
                <w:strike w:val="1"/>
              </w:rPr>
              <w:t>Adjusted</w:t>
            </w:r>
          </w:p>
        </w:tc>
        <w:tc>
          <w:tcPr>
            <w:tcW w:w="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DSS</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Rate Advances</w:t>
            </w:r>
          </w:p>
        </w:tc>
      </w:tr>
      <w:tr>
        <w:trPr>
          <w:trHeight w:val="273"/>
        </w:trPr>
        <w:tc>
          <w:tcPr>
            <w:tcW w:w="2120" w:type="dxa"/>
            <w:vAlign w:val="bottom"/>
            <w:tcBorders>
              <w:left w:val="single" w:sz="8" w:color="auto"/>
              <w:bottom w:val="single" w:sz="8" w:color="auto"/>
              <w:right w:val="single" w:sz="8" w:color="auto"/>
            </w:tcBorders>
          </w:tcPr>
          <w:p>
            <w:pPr>
              <w:spacing w:after="0"/>
              <w:rPr>
                <w:sz w:val="23"/>
                <w:szCs w:val="23"/>
                <w:color w:val="auto"/>
              </w:rPr>
            </w:pPr>
          </w:p>
        </w:tc>
        <w:tc>
          <w:tcPr>
            <w:tcW w:w="2840" w:type="dxa"/>
            <w:vAlign w:val="bottom"/>
            <w:tcBorders>
              <w:bottom w:val="single" w:sz="8" w:color="auto"/>
              <w:right w:val="single" w:sz="8" w:color="auto"/>
            </w:tcBorders>
          </w:tcPr>
          <w:p>
            <w:pPr>
              <w:spacing w:after="0"/>
              <w:rPr>
                <w:sz w:val="23"/>
                <w:szCs w:val="23"/>
                <w:color w:val="auto"/>
              </w:rPr>
            </w:pPr>
          </w:p>
        </w:tc>
        <w:tc>
          <w:tcPr>
            <w:tcW w:w="3420" w:type="dxa"/>
            <w:vAlign w:val="bottom"/>
            <w:tcBorders>
              <w:bottom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Advances</w:t>
            </w:r>
          </w:p>
        </w:tc>
        <w:tc>
          <w:tcPr>
            <w:tcW w:w="2860" w:type="dxa"/>
            <w:vAlign w:val="bottom"/>
            <w:tcBorders>
              <w:bottom w:val="single" w:sz="8" w:color="auto"/>
              <w:right w:val="single" w:sz="8" w:color="auto"/>
            </w:tcBorders>
          </w:tcPr>
          <w:p>
            <w:pPr>
              <w:spacing w:after="0"/>
              <w:rPr>
                <w:sz w:val="23"/>
                <w:szCs w:val="23"/>
                <w:color w:val="auto"/>
              </w:rPr>
            </w:pPr>
          </w:p>
        </w:tc>
      </w:tr>
      <w:tr>
        <w:trPr>
          <w:trHeight w:val="206"/>
        </w:trPr>
        <w:tc>
          <w:tcPr>
            <w:tcW w:w="2120" w:type="dxa"/>
            <w:vAlign w:val="bottom"/>
            <w:tcBorders>
              <w:left w:val="single" w:sz="8" w:color="auto"/>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89"/>
              </w:rPr>
              <w:t>I</w:t>
            </w:r>
          </w:p>
        </w:tc>
        <w:tc>
          <w:tcPr>
            <w:tcW w:w="2840" w:type="dxa"/>
            <w:vAlign w:val="bottom"/>
            <w:tcBorders>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&lt; 35%</w:t>
            </w:r>
          </w:p>
        </w:tc>
        <w:tc>
          <w:tcPr>
            <w:tcW w:w="2260" w:type="dxa"/>
            <w:vAlign w:val="bottom"/>
            <w:tcBorders>
              <w:bottom w:val="single" w:sz="8" w:color="auto"/>
            </w:tcBorders>
            <w:gridSpan w:val="2"/>
          </w:tcPr>
          <w:p>
            <w:pPr>
              <w:jc w:val="center"/>
              <w:ind w:left="1041"/>
              <w:spacing w:after="0" w:line="207" w:lineRule="exact"/>
              <w:rPr>
                <w:sz w:val="20"/>
                <w:szCs w:val="20"/>
                <w:color w:val="auto"/>
              </w:rPr>
            </w:pPr>
            <w:r>
              <w:rPr>
                <w:rFonts w:ascii="Times New Roman" w:cs="Times New Roman" w:eastAsia="Times New Roman" w:hAnsi="Times New Roman"/>
                <w:sz w:val="20"/>
                <w:szCs w:val="20"/>
                <w:color w:val="auto"/>
              </w:rPr>
              <w:t>1.20%</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2860" w:type="dxa"/>
            <w:vAlign w:val="bottom"/>
            <w:tcBorders>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rPr>
              <w:t>0.20%</w:t>
            </w:r>
          </w:p>
        </w:tc>
      </w:tr>
      <w:tr>
        <w:trPr>
          <w:trHeight w:val="223"/>
        </w:trPr>
        <w:tc>
          <w:tcPr>
            <w:tcW w:w="21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II</w:t>
            </w:r>
          </w:p>
        </w:tc>
        <w:tc>
          <w:tcPr>
            <w:tcW w:w="28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 35% but &lt; 40%</w:t>
            </w:r>
          </w:p>
        </w:tc>
        <w:tc>
          <w:tcPr>
            <w:tcW w:w="2260" w:type="dxa"/>
            <w:vAlign w:val="bottom"/>
            <w:tcBorders>
              <w:bottom w:val="single" w:sz="8" w:color="auto"/>
            </w:tcBorders>
            <w:gridSpan w:val="2"/>
          </w:tcPr>
          <w:p>
            <w:pPr>
              <w:jc w:val="center"/>
              <w:ind w:left="1041"/>
              <w:spacing w:after="0" w:line="223" w:lineRule="exact"/>
              <w:rPr>
                <w:sz w:val="20"/>
                <w:szCs w:val="20"/>
                <w:color w:val="auto"/>
              </w:rPr>
            </w:pPr>
            <w:r>
              <w:rPr>
                <w:rFonts w:ascii="Times New Roman" w:cs="Times New Roman" w:eastAsia="Times New Roman" w:hAnsi="Times New Roman"/>
                <w:sz w:val="20"/>
                <w:szCs w:val="20"/>
                <w:color w:val="auto"/>
              </w:rPr>
              <w:t>1.25%</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0.25%</w:t>
            </w:r>
          </w:p>
        </w:tc>
      </w:tr>
      <w:tr>
        <w:trPr>
          <w:trHeight w:val="223"/>
        </w:trPr>
        <w:tc>
          <w:tcPr>
            <w:tcW w:w="21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III</w:t>
            </w:r>
          </w:p>
        </w:tc>
        <w:tc>
          <w:tcPr>
            <w:tcW w:w="28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 40% but &lt; 45%</w:t>
            </w:r>
          </w:p>
        </w:tc>
        <w:tc>
          <w:tcPr>
            <w:tcW w:w="2260" w:type="dxa"/>
            <w:vAlign w:val="bottom"/>
            <w:tcBorders>
              <w:bottom w:val="single" w:sz="8" w:color="auto"/>
            </w:tcBorders>
            <w:gridSpan w:val="2"/>
          </w:tcPr>
          <w:p>
            <w:pPr>
              <w:jc w:val="center"/>
              <w:ind w:left="1041"/>
              <w:spacing w:after="0" w:line="223" w:lineRule="exact"/>
              <w:rPr>
                <w:sz w:val="20"/>
                <w:szCs w:val="20"/>
                <w:color w:val="auto"/>
              </w:rPr>
            </w:pPr>
            <w:r>
              <w:rPr>
                <w:rFonts w:ascii="Times New Roman" w:cs="Times New Roman" w:eastAsia="Times New Roman" w:hAnsi="Times New Roman"/>
                <w:sz w:val="20"/>
                <w:szCs w:val="20"/>
                <w:color w:val="auto"/>
              </w:rPr>
              <w:t>1.35%</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0.35%</w:t>
            </w:r>
          </w:p>
        </w:tc>
      </w:tr>
      <w:tr>
        <w:trPr>
          <w:trHeight w:val="223"/>
        </w:trPr>
        <w:tc>
          <w:tcPr>
            <w:tcW w:w="21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IV</w:t>
            </w:r>
          </w:p>
        </w:tc>
        <w:tc>
          <w:tcPr>
            <w:tcW w:w="28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 45% but &lt; 50%</w:t>
            </w:r>
          </w:p>
        </w:tc>
        <w:tc>
          <w:tcPr>
            <w:tcW w:w="2260" w:type="dxa"/>
            <w:vAlign w:val="bottom"/>
            <w:tcBorders>
              <w:bottom w:val="single" w:sz="8" w:color="auto"/>
            </w:tcBorders>
            <w:gridSpan w:val="2"/>
          </w:tcPr>
          <w:p>
            <w:pPr>
              <w:jc w:val="center"/>
              <w:ind w:left="1041"/>
              <w:spacing w:after="0" w:line="223" w:lineRule="exact"/>
              <w:rPr>
                <w:sz w:val="20"/>
                <w:szCs w:val="20"/>
                <w:color w:val="auto"/>
              </w:rPr>
            </w:pPr>
            <w:r>
              <w:rPr>
                <w:rFonts w:ascii="Times New Roman" w:cs="Times New Roman" w:eastAsia="Times New Roman" w:hAnsi="Times New Roman"/>
                <w:sz w:val="20"/>
                <w:szCs w:val="20"/>
                <w:color w:val="auto"/>
              </w:rPr>
              <w:t>1.40%</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0.40%</w:t>
            </w:r>
          </w:p>
        </w:tc>
      </w:tr>
      <w:tr>
        <w:trPr>
          <w:trHeight w:val="223"/>
        </w:trPr>
        <w:tc>
          <w:tcPr>
            <w:tcW w:w="21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V</w:t>
            </w:r>
          </w:p>
        </w:tc>
        <w:tc>
          <w:tcPr>
            <w:tcW w:w="28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 50% but &lt; 55%</w:t>
            </w:r>
          </w:p>
        </w:tc>
        <w:tc>
          <w:tcPr>
            <w:tcW w:w="2260" w:type="dxa"/>
            <w:vAlign w:val="bottom"/>
            <w:tcBorders>
              <w:bottom w:val="single" w:sz="8" w:color="auto"/>
            </w:tcBorders>
            <w:gridSpan w:val="2"/>
          </w:tcPr>
          <w:p>
            <w:pPr>
              <w:jc w:val="center"/>
              <w:ind w:left="1041"/>
              <w:spacing w:after="0" w:line="223" w:lineRule="exact"/>
              <w:rPr>
                <w:sz w:val="20"/>
                <w:szCs w:val="20"/>
                <w:color w:val="auto"/>
              </w:rPr>
            </w:pPr>
            <w:r>
              <w:rPr>
                <w:rFonts w:ascii="Times New Roman" w:cs="Times New Roman" w:eastAsia="Times New Roman" w:hAnsi="Times New Roman"/>
                <w:sz w:val="20"/>
                <w:szCs w:val="20"/>
                <w:color w:val="auto"/>
              </w:rPr>
              <w:t>1.50%</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0.50%</w:t>
            </w:r>
          </w:p>
        </w:tc>
      </w:tr>
      <w:tr>
        <w:trPr>
          <w:trHeight w:val="223"/>
        </w:trPr>
        <w:tc>
          <w:tcPr>
            <w:tcW w:w="21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VI</w:t>
            </w:r>
          </w:p>
        </w:tc>
        <w:tc>
          <w:tcPr>
            <w:tcW w:w="28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 55%</w:t>
            </w:r>
          </w:p>
        </w:tc>
        <w:tc>
          <w:tcPr>
            <w:tcW w:w="2260" w:type="dxa"/>
            <w:vAlign w:val="bottom"/>
            <w:tcBorders>
              <w:bottom w:val="single" w:sz="8" w:color="auto"/>
            </w:tcBorders>
            <w:gridSpan w:val="2"/>
          </w:tcPr>
          <w:p>
            <w:pPr>
              <w:jc w:val="center"/>
              <w:ind w:left="1041"/>
              <w:spacing w:after="0" w:line="223" w:lineRule="exact"/>
              <w:rPr>
                <w:sz w:val="20"/>
                <w:szCs w:val="20"/>
                <w:color w:val="auto"/>
              </w:rPr>
            </w:pPr>
            <w:r>
              <w:rPr>
                <w:rFonts w:ascii="Times New Roman" w:cs="Times New Roman" w:eastAsia="Times New Roman" w:hAnsi="Times New Roman"/>
                <w:sz w:val="20"/>
                <w:szCs w:val="20"/>
                <w:color w:val="auto"/>
              </w:rPr>
              <w:t>1.70%</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0.70%</w:t>
            </w:r>
          </w:p>
        </w:tc>
      </w:tr>
    </w:tbl>
    <w:p>
      <w:pPr>
        <w:spacing w:after="0" w:line="190"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9"/>
          <w:szCs w:val="19"/>
          <w:color w:val="auto"/>
        </w:rPr>
        <w:t xml:space="preserve">The Applicable Margin for each Base Rate Advance shall be determined by reference to the Leverage Ratio in effect from time to time and the Applicable Margin for any Interest Period for all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comprising part of the same Borrowing shall be determined by reference to the Leverage Ratio in effect on the first day of such Interest Period and the Applicable Margin for all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DSS Advances comprising part of the same Borrowing shall be determined by reference to the Leverage Ratio in effect on the applicable SOFR Rate Day;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 the Applicable Margin shall initially be at Pricing Level I on the Closing Date, (ii) no change in the Applicable Margin resulting from the Leverage Ratio shall be effective until the first Business Day after the date on which the Administrative Agent receives</w:t>
      </w:r>
    </w:p>
    <w:p>
      <w:pPr>
        <w:spacing w:after="0" w:line="5" w:lineRule="exact"/>
        <w:rPr>
          <w:sz w:val="20"/>
          <w:szCs w:val="20"/>
          <w:color w:val="auto"/>
        </w:rPr>
      </w:pPr>
    </w:p>
    <w:p>
      <w:pPr>
        <w:jc w:val="both"/>
        <w:ind w:firstLine="8"/>
        <w:spacing w:after="0" w:line="238" w:lineRule="auto"/>
        <w:tabs>
          <w:tab w:leader="none" w:pos="297"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financial statements required to be delivered pursuant to Section 5.03(b) or (c), as the case may be, and (y) a certificate of the Chief Financial Officer (or other Responsible Officer performing similar functions) of the Borrower demonstrating the Leverage Ratio, and (iii) the Applicable Margin shall be at Pricing Level V for so long as the Borrower has not submitted to the Administrative Agent as and when required under Section 5.03(b) or (c), as applicable, the information described in clause (ii) of this proviso and shall continue to apply until the first Business Day after the date on which the information described in clause (ii) of this proviso is delivered. If as a result of a restatement of the Borrower’s financial statements or other re-computation of the Leverage Ratio on which the Applicable Margin is based, the interest paid or accrued hereunder was paid or accrued at a rate lower than the interest that would have been payable had such Leverage Ratio been correctly computed, the Borrower shall pay to the Administrative Agent for the account of the Lenders promptly following demand therefor the difference between the amount that should have been paid or accrued and the amount actually paid or accrued.</w:t>
      </w:r>
    </w:p>
    <w:p>
      <w:pPr>
        <w:spacing w:after="0" w:line="203" w:lineRule="exact"/>
        <w:rPr>
          <w:rFonts w:ascii="Times New Roman" w:cs="Times New Roman" w:eastAsia="Times New Roman" w:hAnsi="Times New Roman"/>
          <w:sz w:val="19"/>
          <w:szCs w:val="19"/>
          <w:color w:val="auto"/>
        </w:rPr>
      </w:pPr>
    </w:p>
    <w:p>
      <w:pPr>
        <w:jc w:val="both"/>
        <w:ind w:firstLine="1505"/>
        <w:spacing w:after="0" w:line="225" w:lineRule="exact"/>
        <w:tabs>
          <w:tab w:leader="none" w:pos="2036"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In the event that the Borrower or the Parent achieves an Investment Grade Rating, the Borrower may, upon written notice to the Administrative Agent, make an irrevocable one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time written election (setting forth the date for such election to be effective) to exclusively use the ratings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based pricing grid set forth below (a “</w:t>
      </w:r>
      <w:r>
        <w:rPr>
          <w:rFonts w:ascii="Times New Roman" w:cs="Times New Roman" w:eastAsia="Times New Roman" w:hAnsi="Times New Roman"/>
          <w:sz w:val="19"/>
          <w:szCs w:val="19"/>
          <w:b w:val="1"/>
          <w:bCs w:val="1"/>
          <w:i w:val="1"/>
          <w:iCs w:val="1"/>
          <w:color w:val="auto"/>
        </w:rPr>
        <w:t>Ratings Grid Election</w:t>
      </w:r>
      <w:r>
        <w:rPr>
          <w:rFonts w:ascii="Times New Roman" w:cs="Times New Roman" w:eastAsia="Times New Roman" w:hAnsi="Times New Roman"/>
          <w:sz w:val="19"/>
          <w:szCs w:val="19"/>
          <w:color w:val="auto"/>
        </w:rPr>
        <w:t xml:space="preserve">”), in which case the Applicable Margin for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DSS Advances and Base Rate Advances will be determined, as per the pricing grid below, on the basis of the Debt Rating of the Borrower or the Parent (as applicable), as set forth below, notwithstanding any failure of the Borrower or the Parent (as applicable) to maintain an Investment Grade Rating:</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1560" w:type="dxa"/>
            <w:vAlign w:val="bottom"/>
            <w:tcBorders>
              <w:top w:val="single" w:sz="8" w:color="auto"/>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120" w:type="dxa"/>
            <w:vAlign w:val="bottom"/>
            <w:tcBorders>
              <w:top w:val="single" w:sz="8" w:color="auto"/>
              <w:right w:val="single" w:sz="8" w:color="auto"/>
            </w:tcBorders>
          </w:tcPr>
          <w:p>
            <w:pPr>
              <w:spacing w:after="0"/>
              <w:rPr>
                <w:sz w:val="19"/>
                <w:szCs w:val="19"/>
                <w:color w:val="auto"/>
              </w:rPr>
            </w:pPr>
          </w:p>
        </w:tc>
        <w:tc>
          <w:tcPr>
            <w:tcW w:w="2140" w:type="dxa"/>
            <w:vAlign w:val="bottom"/>
            <w:tcBorders>
              <w:top w:val="single" w:sz="8" w:color="auto"/>
            </w:tcBorders>
            <w:gridSpan w:val="3"/>
          </w:tcPr>
          <w:p>
            <w:pPr>
              <w:jc w:val="right"/>
              <w:spacing w:after="0" w:line="219" w:lineRule="exact"/>
              <w:rPr>
                <w:sz w:val="20"/>
                <w:szCs w:val="20"/>
                <w:color w:val="auto"/>
              </w:rPr>
            </w:pPr>
            <w:r>
              <w:rPr>
                <w:rFonts w:ascii="Times New Roman" w:cs="Times New Roman" w:eastAsia="Times New Roman" w:hAnsi="Times New Roman"/>
                <w:sz w:val="20"/>
                <w:szCs w:val="20"/>
                <w:b w:val="1"/>
                <w:bCs w:val="1"/>
                <w:color w:val="auto"/>
              </w:rPr>
              <w:t>Applicable Margin for</w:t>
            </w:r>
          </w:p>
        </w:tc>
        <w:tc>
          <w:tcPr>
            <w:tcW w:w="820" w:type="dxa"/>
            <w:vAlign w:val="bottom"/>
            <w:tcBorders>
              <w:top w:val="single" w:sz="8" w:color="auto"/>
            </w:tcBorders>
          </w:tcPr>
          <w:p>
            <w:pPr>
              <w:spacing w:after="0" w:line="219" w:lineRule="exact"/>
              <w:rPr>
                <w:sz w:val="20"/>
                <w:szCs w:val="20"/>
                <w:color w:val="auto"/>
              </w:rPr>
            </w:pPr>
            <w:r>
              <w:rPr>
                <w:rFonts w:ascii="Times New Roman" w:cs="Times New Roman" w:eastAsia="Times New Roman" w:hAnsi="Times New Roman"/>
                <w:sz w:val="20"/>
                <w:szCs w:val="20"/>
                <w:b w:val="1"/>
                <w:bCs w:val="1"/>
                <w:color w:val="FF0000"/>
                <w:strike w:val="1"/>
              </w:rPr>
              <w:t>Adjusted</w:t>
            </w:r>
          </w:p>
        </w:tc>
        <w:tc>
          <w:tcPr>
            <w:tcW w:w="760" w:type="dxa"/>
            <w:vAlign w:val="bottom"/>
            <w:tcBorders>
              <w:top w:val="single" w:sz="8" w:color="auto"/>
              <w:right w:val="single" w:sz="8" w:color="auto"/>
            </w:tcBorders>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Term</w:t>
            </w:r>
          </w:p>
        </w:tc>
        <w:tc>
          <w:tcPr>
            <w:tcW w:w="3740" w:type="dxa"/>
            <w:vAlign w:val="bottom"/>
            <w:tcBorders>
              <w:top w:val="single" w:sz="8" w:color="auto"/>
              <w:right w:val="single" w:sz="8" w:color="auto"/>
            </w:tcBorders>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Applicable Margin for Base Rate</w:t>
            </w:r>
          </w:p>
        </w:tc>
      </w:tr>
      <w:tr>
        <w:trPr>
          <w:trHeight w:val="273"/>
        </w:trPr>
        <w:tc>
          <w:tcPr>
            <w:tcW w:w="37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Debt Rating of Borrower or Parent</w:t>
            </w:r>
          </w:p>
        </w:tc>
        <w:tc>
          <w:tcPr>
            <w:tcW w:w="13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20"/>
                <w:szCs w:val="20"/>
                <w:b w:val="1"/>
                <w:bCs w:val="1"/>
                <w:color w:val="auto"/>
              </w:rPr>
              <w:t>SOFR and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95"/>
              </w:rPr>
              <w:t>Adjusted</w:t>
            </w:r>
          </w:p>
        </w:tc>
        <w:tc>
          <w:tcPr>
            <w:tcW w:w="16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rPr>
              <w:t>DSS Advances</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Advances</w:t>
            </w:r>
          </w:p>
        </w:tc>
      </w:tr>
      <w:tr>
        <w:trPr>
          <w:trHeight w:val="166"/>
        </w:trPr>
        <w:tc>
          <w:tcPr>
            <w:tcW w:w="3780" w:type="dxa"/>
            <w:vAlign w:val="bottom"/>
            <w:tcBorders>
              <w:left w:val="single" w:sz="8" w:color="auto"/>
              <w:right w:val="single" w:sz="8" w:color="auto"/>
            </w:tcBorders>
            <w:gridSpan w:val="3"/>
          </w:tcPr>
          <w:p>
            <w:pPr>
              <w:jc w:val="center"/>
              <w:spacing w:after="0" w:line="166" w:lineRule="exact"/>
              <w:rPr>
                <w:sz w:val="20"/>
                <w:szCs w:val="20"/>
                <w:color w:val="auto"/>
              </w:rPr>
            </w:pPr>
            <w:r>
              <w:rPr>
                <w:rFonts w:ascii="Times New Roman" w:cs="Times New Roman" w:eastAsia="Times New Roman" w:hAnsi="Times New Roman"/>
                <w:sz w:val="19"/>
                <w:szCs w:val="19"/>
                <w:color w:val="auto"/>
              </w:rPr>
              <w:t>&gt; A-/A3</w:t>
            </w:r>
          </w:p>
        </w:tc>
        <w:tc>
          <w:tcPr>
            <w:tcW w:w="212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9"/>
                <w:szCs w:val="19"/>
                <w:color w:val="auto"/>
              </w:rPr>
              <w:t>0.85%</w:t>
            </w: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3740" w:type="dxa"/>
            <w:vAlign w:val="bottom"/>
            <w:tcBorders>
              <w:right w:val="single" w:sz="8" w:color="auto"/>
            </w:tcBorders>
          </w:tcPr>
          <w:p>
            <w:pPr>
              <w:jc w:val="center"/>
              <w:spacing w:after="0" w:line="166" w:lineRule="exact"/>
              <w:rPr>
                <w:sz w:val="20"/>
                <w:szCs w:val="20"/>
                <w:color w:val="auto"/>
              </w:rPr>
            </w:pPr>
            <w:r>
              <w:rPr>
                <w:rFonts w:ascii="Times New Roman" w:cs="Times New Roman" w:eastAsia="Times New Roman" w:hAnsi="Times New Roman"/>
                <w:sz w:val="19"/>
                <w:szCs w:val="19"/>
                <w:color w:val="auto"/>
              </w:rPr>
              <w:t>0.00%</w:t>
            </w:r>
          </w:p>
        </w:tc>
      </w:tr>
      <w:tr>
        <w:trPr>
          <w:trHeight w:val="20"/>
        </w:trPr>
        <w:tc>
          <w:tcPr>
            <w:tcW w:w="1560" w:type="dxa"/>
            <w:vAlign w:val="bottom"/>
            <w:tcBorders>
              <w:left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3780" w:type="dxa"/>
            <w:vAlign w:val="bottom"/>
            <w:tcBorders>
              <w:left w:val="single" w:sz="8" w:color="auto"/>
              <w:bottom w:val="single" w:sz="8" w:color="auto"/>
              <w:right w:val="single" w:sz="8" w:color="auto"/>
            </w:tcBorders>
            <w:gridSpan w:val="3"/>
          </w:tcPr>
          <w:p>
            <w:pPr>
              <w:jc w:val="center"/>
              <w:ind w:right="20"/>
              <w:spacing w:after="0" w:line="223" w:lineRule="exact"/>
              <w:rPr>
                <w:sz w:val="20"/>
                <w:szCs w:val="20"/>
                <w:color w:val="auto"/>
              </w:rPr>
            </w:pPr>
            <w:r>
              <w:rPr>
                <w:rFonts w:ascii="Times New Roman" w:cs="Times New Roman" w:eastAsia="Times New Roman" w:hAnsi="Times New Roman"/>
                <w:sz w:val="20"/>
                <w:szCs w:val="20"/>
                <w:color w:val="auto"/>
                <w:w w:val="97"/>
              </w:rPr>
              <w:t>BBB+/Baa1</w:t>
            </w:r>
          </w:p>
        </w:tc>
        <w:tc>
          <w:tcPr>
            <w:tcW w:w="2120" w:type="dxa"/>
            <w:vAlign w:val="bottom"/>
            <w:tcBorders>
              <w:bottom w:val="single" w:sz="8" w:color="auto"/>
            </w:tcBorders>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0.90%</w:t>
            </w: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0.00%</w:t>
            </w:r>
          </w:p>
        </w:tc>
      </w:tr>
      <w:tr>
        <w:trPr>
          <w:trHeight w:val="346"/>
        </w:trPr>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058"/>
        </w:trPr>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00" w:name="page201"/>
    <w:bookmarkEnd w:id="200"/>
    <w:tbl>
      <w:tblPr>
        <w:tblLayout w:type="fixed"/>
        <w:tblInd w:w="10" w:type="dxa"/>
        <w:tblCellMar>
          <w:top w:w="0" w:type="dxa"/>
          <w:left w:w="0" w:type="dxa"/>
          <w:bottom w:w="0" w:type="dxa"/>
          <w:right w:w="0" w:type="dxa"/>
        </w:tblCellMar>
      </w:tblPr>
      <w:tr>
        <w:trPr>
          <w:trHeight w:val="263"/>
        </w:trPr>
        <w:tc>
          <w:tcPr>
            <w:tcW w:w="3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BBB/Baa2</w:t>
            </w:r>
          </w:p>
        </w:tc>
        <w:tc>
          <w:tcPr>
            <w:tcW w:w="3720" w:type="dxa"/>
            <w:vAlign w:val="bottom"/>
            <w:tcBorders>
              <w:top w:val="single" w:sz="8" w:color="auto"/>
              <w:bottom w:val="single" w:sz="8" w:color="auto"/>
              <w:right w:val="single" w:sz="8" w:color="auto"/>
            </w:tcBorders>
          </w:tcPr>
          <w:p>
            <w:pPr>
              <w:jc w:val="right"/>
              <w:ind w:right="1521"/>
              <w:spacing w:after="0"/>
              <w:rPr>
                <w:sz w:val="20"/>
                <w:szCs w:val="20"/>
                <w:color w:val="auto"/>
              </w:rPr>
            </w:pPr>
            <w:r>
              <w:rPr>
                <w:rFonts w:ascii="Times New Roman" w:cs="Times New Roman" w:eastAsia="Times New Roman" w:hAnsi="Times New Roman"/>
                <w:sz w:val="20"/>
                <w:szCs w:val="20"/>
                <w:color w:val="auto"/>
              </w:rPr>
              <w:t>1.00%</w:t>
            </w:r>
          </w:p>
        </w:tc>
        <w:tc>
          <w:tcPr>
            <w:tcW w:w="3740" w:type="dxa"/>
            <w:vAlign w:val="bottom"/>
            <w:tcBorders>
              <w:top w:val="single" w:sz="8" w:color="auto"/>
              <w:bottom w:val="single" w:sz="8" w:color="auto"/>
              <w:right w:val="single" w:sz="8" w:color="auto"/>
            </w:tcBorders>
          </w:tcPr>
          <w:p>
            <w:pPr>
              <w:jc w:val="right"/>
              <w:ind w:right="1521"/>
              <w:spacing w:after="0"/>
              <w:rPr>
                <w:sz w:val="20"/>
                <w:szCs w:val="20"/>
                <w:color w:val="auto"/>
              </w:rPr>
            </w:pPr>
            <w:r>
              <w:rPr>
                <w:rFonts w:ascii="Times New Roman" w:cs="Times New Roman" w:eastAsia="Times New Roman" w:hAnsi="Times New Roman"/>
                <w:sz w:val="20"/>
                <w:szCs w:val="20"/>
                <w:color w:val="auto"/>
              </w:rPr>
              <w:t>0.00%</w:t>
            </w:r>
          </w:p>
        </w:tc>
      </w:tr>
      <w:tr>
        <w:trPr>
          <w:trHeight w:val="206"/>
        </w:trPr>
        <w:tc>
          <w:tcPr>
            <w:tcW w:w="3780" w:type="dxa"/>
            <w:vAlign w:val="bottom"/>
            <w:tcBorders>
              <w:left w:val="single" w:sz="8" w:color="auto"/>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BBB-/Baa3</w:t>
            </w:r>
          </w:p>
        </w:tc>
        <w:tc>
          <w:tcPr>
            <w:tcW w:w="3720" w:type="dxa"/>
            <w:vAlign w:val="bottom"/>
            <w:tcBorders>
              <w:bottom w:val="single" w:sz="8" w:color="auto"/>
              <w:right w:val="single" w:sz="8" w:color="auto"/>
            </w:tcBorders>
          </w:tcPr>
          <w:p>
            <w:pPr>
              <w:jc w:val="right"/>
              <w:ind w:right="1521"/>
              <w:spacing w:after="0" w:line="207" w:lineRule="exact"/>
              <w:rPr>
                <w:sz w:val="20"/>
                <w:szCs w:val="20"/>
                <w:color w:val="auto"/>
              </w:rPr>
            </w:pPr>
            <w:r>
              <w:rPr>
                <w:rFonts w:ascii="Times New Roman" w:cs="Times New Roman" w:eastAsia="Times New Roman" w:hAnsi="Times New Roman"/>
                <w:sz w:val="20"/>
                <w:szCs w:val="20"/>
                <w:color w:val="auto"/>
              </w:rPr>
              <w:t>1.25%</w:t>
            </w:r>
          </w:p>
        </w:tc>
        <w:tc>
          <w:tcPr>
            <w:tcW w:w="3740" w:type="dxa"/>
            <w:vAlign w:val="bottom"/>
            <w:tcBorders>
              <w:bottom w:val="single" w:sz="8" w:color="auto"/>
              <w:right w:val="single" w:sz="8" w:color="auto"/>
            </w:tcBorders>
          </w:tcPr>
          <w:p>
            <w:pPr>
              <w:jc w:val="right"/>
              <w:ind w:right="1521"/>
              <w:spacing w:after="0" w:line="207" w:lineRule="exact"/>
              <w:rPr>
                <w:sz w:val="20"/>
                <w:szCs w:val="20"/>
                <w:color w:val="auto"/>
              </w:rPr>
            </w:pPr>
            <w:r>
              <w:rPr>
                <w:rFonts w:ascii="Times New Roman" w:cs="Times New Roman" w:eastAsia="Times New Roman" w:hAnsi="Times New Roman"/>
                <w:sz w:val="20"/>
                <w:szCs w:val="20"/>
                <w:color w:val="auto"/>
              </w:rPr>
              <w:t>0.25%</w:t>
            </w:r>
          </w:p>
        </w:tc>
      </w:tr>
      <w:tr>
        <w:trPr>
          <w:trHeight w:val="200"/>
        </w:trPr>
        <w:tc>
          <w:tcPr>
            <w:tcW w:w="3780" w:type="dxa"/>
            <w:vAlign w:val="bottom"/>
            <w:tcBorders>
              <w:left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&lt; BBB-/Baa3</w:t>
            </w:r>
          </w:p>
        </w:tc>
        <w:tc>
          <w:tcPr>
            <w:tcW w:w="3720" w:type="dxa"/>
            <w:vAlign w:val="bottom"/>
            <w:tcBorders>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r>
      <w:tr>
        <w:trPr>
          <w:trHeight w:val="252"/>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(or unrated)</w:t>
            </w:r>
          </w:p>
        </w:tc>
        <w:tc>
          <w:tcPr>
            <w:tcW w:w="3720" w:type="dxa"/>
            <w:vAlign w:val="bottom"/>
            <w:tcBorders>
              <w:bottom w:val="single" w:sz="8" w:color="auto"/>
              <w:right w:val="single" w:sz="8" w:color="auto"/>
            </w:tcBorders>
          </w:tcPr>
          <w:p>
            <w:pPr>
              <w:jc w:val="right"/>
              <w:ind w:right="1521"/>
              <w:spacing w:after="0"/>
              <w:rPr>
                <w:sz w:val="20"/>
                <w:szCs w:val="20"/>
                <w:color w:val="auto"/>
              </w:rPr>
            </w:pPr>
            <w:r>
              <w:rPr>
                <w:rFonts w:ascii="Times New Roman" w:cs="Times New Roman" w:eastAsia="Times New Roman" w:hAnsi="Times New Roman"/>
                <w:sz w:val="20"/>
                <w:szCs w:val="20"/>
                <w:color w:val="auto"/>
              </w:rPr>
              <w:t>1.65%</w:t>
            </w:r>
          </w:p>
        </w:tc>
        <w:tc>
          <w:tcPr>
            <w:tcW w:w="3740" w:type="dxa"/>
            <w:vAlign w:val="bottom"/>
            <w:tcBorders>
              <w:bottom w:val="single" w:sz="8" w:color="auto"/>
              <w:right w:val="single" w:sz="8" w:color="auto"/>
            </w:tcBorders>
          </w:tcPr>
          <w:p>
            <w:pPr>
              <w:jc w:val="right"/>
              <w:ind w:right="1521"/>
              <w:spacing w:after="0"/>
              <w:rPr>
                <w:sz w:val="20"/>
                <w:szCs w:val="20"/>
                <w:color w:val="auto"/>
              </w:rPr>
            </w:pPr>
            <w:r>
              <w:rPr>
                <w:rFonts w:ascii="Times New Roman" w:cs="Times New Roman" w:eastAsia="Times New Roman" w:hAnsi="Times New Roman"/>
                <w:sz w:val="20"/>
                <w:szCs w:val="20"/>
                <w:color w:val="auto"/>
              </w:rPr>
              <w:t>0.65%</w:t>
            </w:r>
          </w:p>
        </w:tc>
      </w:tr>
    </w:tbl>
    <w:p>
      <w:pPr>
        <w:spacing w:after="0" w:line="184"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Approved Electronic Communications</w:t>
      </w:r>
      <w:r>
        <w:rPr>
          <w:rFonts w:ascii="Times New Roman" w:cs="Times New Roman" w:eastAsia="Times New Roman" w:hAnsi="Times New Roman"/>
          <w:sz w:val="19"/>
          <w:szCs w:val="19"/>
          <w:color w:val="auto"/>
        </w:rPr>
        <w:t xml:space="preserve">” means each Communication that any Loan Party is obligated to, or otherwise chooses to, provide to the Administrative Agent pursuant to any Loan Document or the transactions contemplated therein, including any financial statement, financial and other report, notice, request, certificate and other information materials required to be delivered pursuant to Sections 5.03(b), (c), (e), (g), and (k);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solely with respect to delivery of any such Communication by any Loan Party to the Administrative Agent and without limiting or otherwise affecting either the Administrative Agent’s right to effect delivery of such Communication by posting such Communication to the Approved Electronic Platform or the protections afforded hereby to the Administrative Agent in connection with any such posting, “Approved Electronic Communication” shall exclude (i) any notice of borrowing, notice of Conversion or continuation, and any other notice, demand, communication, information, document and other material relating to a request for a new, or a Conversion of an existing, Borrowing, (ii) any notice pursuant to Section 2.06(a) and any other notice relating to the payment of any principal or other amount due under any Loan Document prior to the scheduled date therefor, (iii) all notices of any Default or Event of Default and (iv) any notice, demand, communication, information, document and other material required to be delivered to satisfy any of the conditions set forth in Article III or any other condition to any Borrowing or other extension of credit hereunder or any condition precedent to the effectiveness of this Agreement.</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Approved Electronic Platform</w:t>
      </w:r>
      <w:r>
        <w:rPr>
          <w:rFonts w:ascii="Times New Roman" w:cs="Times New Roman" w:eastAsia="Times New Roman" w:hAnsi="Times New Roman"/>
          <w:sz w:val="19"/>
          <w:szCs w:val="19"/>
          <w:color w:val="auto"/>
        </w:rPr>
        <w:t>” has the meaning specified in Section 9.02(c).</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Arrangers</w:t>
      </w:r>
      <w:r>
        <w:rPr>
          <w:rFonts w:ascii="Times New Roman" w:cs="Times New Roman" w:eastAsia="Times New Roman" w:hAnsi="Times New Roman"/>
          <w:sz w:val="19"/>
          <w:szCs w:val="19"/>
          <w:color w:val="auto"/>
        </w:rPr>
        <w:t>” has the meaning specified in the recital of parties to this Agreement.</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Assets</w:t>
      </w:r>
      <w:r>
        <w:rPr>
          <w:rFonts w:ascii="Times New Roman" w:cs="Times New Roman" w:eastAsia="Times New Roman" w:hAnsi="Times New Roman"/>
          <w:sz w:val="19"/>
          <w:szCs w:val="19"/>
          <w:color w:val="auto"/>
        </w:rPr>
        <w:t>” means Office Assets, Development Assets, Redevelopment Assets, Joint Venture Assets and Mixed Use Assets.</w:t>
      </w:r>
    </w:p>
    <w:p>
      <w:pPr>
        <w:spacing w:after="0" w:line="214"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Asset Value</w:t>
      </w:r>
      <w:r>
        <w:rPr>
          <w:rFonts w:ascii="Times New Roman" w:cs="Times New Roman" w:eastAsia="Times New Roman" w:hAnsi="Times New Roman"/>
          <w:sz w:val="19"/>
          <w:szCs w:val="19"/>
          <w:color w:val="auto"/>
        </w:rPr>
        <w:t xml:space="preserve">” means, at any date of determination, (a) in the case of any Office Asset or any Mixed Use Asset, the Capitalized Value of such Office Asset or Mixed Use Asset;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the Asset Value of each Office Asset or Mixed Use Asset, as the case may be (other than a Development Asset or Redevelopment Asset) shall be equal, during the first 24 months following acquisition thereof, to the greater of (i) the acquisition price of such Office Asset or Mixed Use Asset, as applicable and (ii) the Capitalized Value of such Office Asset or Mixed Use Asset, as applicable, (b) in the case of any Development Asset or Redevelopment Asset, the gross book value of such Asset as determined in accordance with GAAP, (c) in the case of any Joint Venture Asset that, but for such Asset being owned by a Joint Venture, would qualify as an Office Asset or a Mixed Use Asset under the applicable definition thereof, the JV Pro Rata Share of the Capitalized Value of such Joint Venture Asset;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Asset Value of each Joint Venture Asset shall be equal, during the first 24 months following acquisition thereof, to the JV Pro Rata Share of the greater of (x) the acquisition price of such Joint Venture Asset or (y) the Capitalized Value of such Joint Venture Asset, (d) in the case of any Joint Venture Asset that, but for such Asset being owned by a Joint Venture, would qualify as a Development Asset or Redevelopment Asset under the definition thereof, the JV Pro Rata Share of the gross book value of such Joint Venture Asset as determined in accordance with GAAP, and (e) in the case of any other asset of the Parent or any of its Subsidiaries that is not already referenced in clauses (a) through (d) above, the gross book value of such asset as determined in accordance with GAAP.</w:t>
      </w:r>
    </w:p>
    <w:p>
      <w:pPr>
        <w:spacing w:after="0" w:line="184"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Assignment and Acceptance</w:t>
      </w:r>
      <w:r>
        <w:rPr>
          <w:rFonts w:ascii="Times New Roman" w:cs="Times New Roman" w:eastAsia="Times New Roman" w:hAnsi="Times New Roman"/>
          <w:sz w:val="19"/>
          <w:szCs w:val="19"/>
          <w:color w:val="auto"/>
        </w:rPr>
        <w:t>” means an assignment and acceptance entered into by a Lender and an Eligible Assignee, and accepted by the Administrative Agent, in accordance with Section 9.07 and in substantially the form of Exhibit D hereto.</w:t>
      </w:r>
    </w:p>
    <w:p>
      <w:pPr>
        <w:spacing w:after="0" w:line="2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01" w:name="page202"/>
    <w:bookmarkEnd w:id="201"/>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Available Tenor</w:t>
      </w:r>
      <w:r>
        <w:rPr>
          <w:rFonts w:ascii="Times New Roman" w:cs="Times New Roman" w:eastAsia="Times New Roman" w:hAnsi="Times New Roman"/>
          <w:sz w:val="19"/>
          <w:szCs w:val="19"/>
          <w:color w:val="auto"/>
        </w:rPr>
        <w:t>” means, as of any date of determination and with respect to any then-current Benchmark that is a term rate, as applicable, any tenor for such Benchmark (or component thereof) that is or may be used for determining the length of an Interest Period pursuant to this Agreement as of such date.</w:t>
      </w:r>
    </w:p>
    <w:p>
      <w:pPr>
        <w:spacing w:after="0" w:line="130"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Bail-In Action</w:t>
      </w:r>
      <w:r>
        <w:rPr>
          <w:rFonts w:ascii="Times New Roman" w:cs="Times New Roman" w:eastAsia="Times New Roman" w:hAnsi="Times New Roman"/>
          <w:sz w:val="19"/>
          <w:szCs w:val="19"/>
          <w:color w:val="auto"/>
        </w:rPr>
        <w:t>” means the exercise of any Write-Down and Conversion Powers by the applicable Resolution Authority in respect of any liability of an Affected Financial Institution.</w:t>
      </w:r>
    </w:p>
    <w:p>
      <w:pPr>
        <w:spacing w:after="0" w:line="153"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Bail-In Legislation</w:t>
      </w:r>
      <w:r>
        <w:rPr>
          <w:rFonts w:ascii="Times New Roman" w:cs="Times New Roman" w:eastAsia="Times New Roman" w:hAnsi="Times New Roman"/>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UK Bail-In Legislation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Bankruptcy Law</w:t>
      </w:r>
      <w:r>
        <w:rPr>
          <w:rFonts w:ascii="Times New Roman" w:cs="Times New Roman" w:eastAsia="Times New Roman" w:hAnsi="Times New Roman"/>
          <w:sz w:val="19"/>
          <w:szCs w:val="19"/>
          <w:color w:val="auto"/>
        </w:rPr>
        <w:t>” means any applicable law governing a proceeding of the type referred to in Section 6.01(f) or Title 11, U.S.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Code, or any similar foreign, federal or state law for the relief of debtors.</w:t>
      </w:r>
    </w:p>
    <w:p>
      <w:pPr>
        <w:spacing w:after="0" w:line="188"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Base Rate</w:t>
      </w:r>
      <w:r>
        <w:rPr>
          <w:rFonts w:ascii="Times New Roman" w:cs="Times New Roman" w:eastAsia="Times New Roman" w:hAnsi="Times New Roman"/>
          <w:sz w:val="19"/>
          <w:szCs w:val="19"/>
          <w:color w:val="auto"/>
        </w:rPr>
        <w:t xml:space="preserve">” means, the greatest of (a) the interest rate per annum announced from time to time by the Administrative Agent at its Principal Office as its then prime rate, which rate may not be the lowest rate then being charged commercial borrowers by the Administrative Agent, (b) the Federal Funds Open Rate plus 0.5% per annum or (c)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for a one-month Interest Period in effect on such day plus 1% per annum (taking into account any floor set forth in the definition of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in no circumstance shall the Base Rate be less than the Floor. Any change in the Base Rate (or any component thereof) will take effect as of the opening of business on the day such change occurs. If the Base Rate is being used as an alternate rate of interest pursuant to Section 2.07(d) or 2.07(e), then the Base Rate shall be equal to the higher of (a) and (b) above and shall be determined without reference to clause (c) above.</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Base Rate Advance</w:t>
      </w:r>
      <w:r>
        <w:rPr>
          <w:rFonts w:ascii="Times New Roman" w:cs="Times New Roman" w:eastAsia="Times New Roman" w:hAnsi="Times New Roman"/>
          <w:sz w:val="19"/>
          <w:szCs w:val="19"/>
          <w:color w:val="auto"/>
        </w:rPr>
        <w:t>” means an Advance that bears interest as provided in Section 2.07(a)(i).</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Base Rate Term SOFR Determination Day</w:t>
      </w:r>
      <w:r>
        <w:rPr>
          <w:rFonts w:ascii="Times New Roman" w:cs="Times New Roman" w:eastAsia="Times New Roman" w:hAnsi="Times New Roman"/>
          <w:sz w:val="19"/>
          <w:szCs w:val="19"/>
          <w:color w:val="auto"/>
        </w:rPr>
        <w:t>” has the meaning set forth in the definition of Term SOFR.</w:t>
      </w:r>
    </w:p>
    <w:p>
      <w:pPr>
        <w:spacing w:after="0" w:line="187"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Benchmark</w:t>
      </w:r>
      <w:r>
        <w:rPr>
          <w:rFonts w:ascii="Times New Roman" w:cs="Times New Roman" w:eastAsia="Times New Roman" w:hAnsi="Times New Roman"/>
          <w:sz w:val="19"/>
          <w:szCs w:val="19"/>
          <w:color w:val="auto"/>
        </w:rPr>
        <w:t xml:space="preserve">” means, initially, the Term SOFR Reference Rate;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a replacement of the Benchmark has occurred pursuant to Section 2.07(e),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Benchmark Replacement</w:t>
      </w:r>
      <w:r>
        <w:rPr>
          <w:rFonts w:ascii="Times New Roman" w:cs="Times New Roman" w:eastAsia="Times New Roman" w:hAnsi="Times New Roman"/>
          <w:sz w:val="19"/>
          <w:szCs w:val="19"/>
          <w:color w:val="auto"/>
        </w:rPr>
        <w:t>” means, with respect to:</w:t>
      </w:r>
    </w:p>
    <w:p>
      <w:pPr>
        <w:spacing w:after="0" w:line="220" w:lineRule="exact"/>
        <w:rPr>
          <w:sz w:val="20"/>
          <w:szCs w:val="20"/>
          <w:color w:val="auto"/>
        </w:rPr>
      </w:pPr>
    </w:p>
    <w:p>
      <w:pPr>
        <w:ind w:left="1220" w:right="20" w:hanging="462"/>
        <w:spacing w:after="0" w:line="265" w:lineRule="auto"/>
        <w:tabs>
          <w:tab w:leader="none" w:pos="1131"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Benchmark Transition Event occurring while the Benchmark is Term SOFR, the first alternative set forth in the order below that can be determined by the Administrative Agent for the applicable Benchmark Replacement Date:</w:t>
      </w:r>
    </w:p>
    <w:p>
      <w:pPr>
        <w:spacing w:after="0" w:line="57" w:lineRule="exact"/>
        <w:rPr>
          <w:rFonts w:ascii="Times New Roman" w:cs="Times New Roman" w:eastAsia="Times New Roman" w:hAnsi="Times New Roman"/>
          <w:sz w:val="19"/>
          <w:szCs w:val="19"/>
          <w:color w:val="auto"/>
        </w:rPr>
      </w:pPr>
    </w:p>
    <w:p>
      <w:pPr>
        <w:ind w:left="1880" w:hanging="373"/>
        <w:spacing w:after="0"/>
        <w:tabs>
          <w:tab w:leader="none" w:pos="1880" w:val="left"/>
        </w:tabs>
        <w:numPr>
          <w:ilvl w:val="1"/>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Daily Simple SOFR; or</w:t>
      </w:r>
    </w:p>
    <w:p>
      <w:pPr>
        <w:spacing w:after="0" w:line="105" w:lineRule="exact"/>
        <w:rPr>
          <w:rFonts w:ascii="Times New Roman" w:cs="Times New Roman" w:eastAsia="Times New Roman" w:hAnsi="Times New Roman"/>
          <w:sz w:val="19"/>
          <w:szCs w:val="19"/>
          <w:color w:val="auto"/>
        </w:rPr>
      </w:pPr>
    </w:p>
    <w:p>
      <w:pPr>
        <w:ind w:left="2160" w:hanging="653"/>
        <w:spacing w:after="0" w:line="242" w:lineRule="auto"/>
        <w:tabs>
          <w:tab w:leader="none" w:pos="1884" w:val="left"/>
        </w:tabs>
        <w:numPr>
          <w:ilvl w:val="1"/>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sum of: (X)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for the applicable loan market at such time and (Y) the related Benchmark Replacement Adjustment;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if the Benchmark Replacement would be less than the Floor,</w:t>
      </w:r>
    </w:p>
    <w:p>
      <w:pPr>
        <w:spacing w:after="0" w:line="21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02" w:name="page203"/>
    <w:bookmarkEnd w:id="202"/>
    <w:p>
      <w:pPr>
        <w:ind w:left="2160"/>
        <w:spacing w:after="0" w:line="265" w:lineRule="auto"/>
        <w:rPr>
          <w:sz w:val="20"/>
          <w:szCs w:val="20"/>
          <w:color w:val="auto"/>
        </w:rPr>
      </w:pPr>
      <w:r>
        <w:rPr>
          <w:rFonts w:ascii="Times New Roman" w:cs="Times New Roman" w:eastAsia="Times New Roman" w:hAnsi="Times New Roman"/>
          <w:sz w:val="19"/>
          <w:szCs w:val="19"/>
          <w:color w:val="auto"/>
        </w:rPr>
        <w:t>the Benchmark Replacement will be deemed to be the Floor for the purposes of this Agreement and the other Loan Documents; or</w:t>
      </w:r>
    </w:p>
    <w:p>
      <w:pPr>
        <w:spacing w:after="0" w:line="58" w:lineRule="exact"/>
        <w:rPr>
          <w:sz w:val="20"/>
          <w:szCs w:val="20"/>
          <w:color w:val="auto"/>
        </w:rPr>
      </w:pPr>
    </w:p>
    <w:p>
      <w:pPr>
        <w:ind w:left="1220" w:right="40" w:hanging="462"/>
        <w:spacing w:after="0" w:line="265" w:lineRule="auto"/>
        <w:tabs>
          <w:tab w:leader="none" w:pos="1131"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Benchmark Transition Event occurring while the Benchmark is Daily Simple SOFR, the alternative set forth in clause (a)(2) above for the applicable Benchmark Replacement Date.</w:t>
      </w:r>
    </w:p>
    <w:p>
      <w:pPr>
        <w:spacing w:after="0" w:line="52"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Benchmark Replacement Adjustment</w:t>
      </w:r>
      <w:r>
        <w:rPr>
          <w:rFonts w:ascii="Times New Roman" w:cs="Times New Roman" w:eastAsia="Times New Roman" w:hAnsi="Times New Roman"/>
          <w:sz w:val="19"/>
          <w:szCs w:val="19"/>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for the applicable loan market.</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“Benchmark Replacement Date” </w:t>
      </w:r>
      <w:r>
        <w:rPr>
          <w:rFonts w:ascii="Times New Roman" w:cs="Times New Roman" w:eastAsia="Times New Roman" w:hAnsi="Times New Roman"/>
          <w:sz w:val="19"/>
          <w:szCs w:val="19"/>
          <w:color w:val="auto"/>
        </w:rPr>
        <w:t>means the earliest to occur of the following events with respect to the then-current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Benchmark:</w:t>
      </w:r>
    </w:p>
    <w:p>
      <w:pPr>
        <w:spacing w:after="0" w:line="194" w:lineRule="exact"/>
        <w:rPr>
          <w:sz w:val="20"/>
          <w:szCs w:val="20"/>
          <w:color w:val="auto"/>
        </w:rPr>
      </w:pPr>
    </w:p>
    <w:p>
      <w:pPr>
        <w:jc w:val="both"/>
        <w:ind w:left="1220" w:hanging="466"/>
        <w:spacing w:after="0" w:line="246" w:lineRule="auto"/>
        <w:rPr>
          <w:sz w:val="20"/>
          <w:szCs w:val="20"/>
          <w:color w:val="auto"/>
        </w:rPr>
      </w:pPr>
      <w:r>
        <w:rPr>
          <w:rFonts w:ascii="Times New Roman" w:cs="Times New Roman" w:eastAsia="Times New Roman" w:hAnsi="Times New Roman"/>
          <w:sz w:val="19"/>
          <w:szCs w:val="19"/>
          <w:color w:val="auto"/>
        </w:rPr>
        <w:t> (a)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component thereof) or, if such Benchmark is a term rate, all Available Tenors of such Benchmark (or such component thereof); or</w:t>
      </w:r>
    </w:p>
    <w:p>
      <w:pPr>
        <w:spacing w:after="0" w:line="76" w:lineRule="exact"/>
        <w:rPr>
          <w:sz w:val="20"/>
          <w:szCs w:val="20"/>
          <w:color w:val="auto"/>
        </w:rPr>
      </w:pPr>
    </w:p>
    <w:p>
      <w:pPr>
        <w:jc w:val="both"/>
        <w:ind w:left="1220" w:hanging="466"/>
        <w:spacing w:after="0" w:line="242" w:lineRule="auto"/>
        <w:rPr>
          <w:sz w:val="20"/>
          <w:szCs w:val="20"/>
          <w:color w:val="auto"/>
        </w:rPr>
      </w:pPr>
      <w:r>
        <w:rPr>
          <w:rFonts w:ascii="Times New Roman" w:cs="Times New Roman" w:eastAsia="Times New Roman" w:hAnsi="Times New Roman"/>
          <w:sz w:val="19"/>
          <w:szCs w:val="19"/>
          <w:color w:val="auto"/>
        </w:rPr>
        <w:t xml:space="preserve"> (b)    in the case of clause (c) of the definition of Benchmark Transition Event, the first date on which all Available Tenors of such Benchmark (or the published component used in the calculation thereof) or, if such Benchmark is a term rate, all Available Tenors of such Benchmark (or such component thereof), have been determined and announced by the regulatory supervisor for the administrator of such Benchmark (or such component thereof) to be non-representative;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such non-representativeness will be determined by reference to the most recent statement or publication referenced in such clause (c) and even if such Benchmark (or such component thereof) or, if such Benchmark is a term rate, any Available Tenor of such Benchmark (or such component thereof) continues to be provided on such date.</w:t>
      </w:r>
    </w:p>
    <w:p>
      <w:pPr>
        <w:spacing w:after="0" w:line="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For the avoidance of doubt, if such Benchmark is a term rate, a Benchmark Replacement Date will be deemed to have occurred in the case of clause (a) or (b) above with respect to any Benchmark upon the occurrence of the applicable event or events set forth therein with respect to all then-current Available Tenors of such Benchmark (or the published component used in the calculation thereof).</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Benchmark Transition Event</w:t>
      </w:r>
      <w:r>
        <w:rPr>
          <w:rFonts w:ascii="Times New Roman" w:cs="Times New Roman" w:eastAsia="Times New Roman" w:hAnsi="Times New Roman"/>
          <w:sz w:val="19"/>
          <w:szCs w:val="19"/>
          <w:color w:val="auto"/>
        </w:rPr>
        <w:t>” means the occurrence of one or more of the following events with respect to the then-current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Benchmark:</w:t>
      </w:r>
    </w:p>
    <w:p>
      <w:pPr>
        <w:spacing w:after="0" w:line="194" w:lineRule="exact"/>
        <w:rPr>
          <w:sz w:val="20"/>
          <w:szCs w:val="20"/>
          <w:color w:val="auto"/>
        </w:rPr>
      </w:pPr>
    </w:p>
    <w:p>
      <w:pPr>
        <w:ind w:left="1220" w:hanging="462"/>
        <w:spacing w:after="0" w:line="242" w:lineRule="auto"/>
        <w:tabs>
          <w:tab w:leader="none" w:pos="1131"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82" w:lineRule="exact"/>
        <w:rPr>
          <w:rFonts w:ascii="Times New Roman" w:cs="Times New Roman" w:eastAsia="Times New Roman" w:hAnsi="Times New Roman"/>
          <w:sz w:val="19"/>
          <w:szCs w:val="19"/>
          <w:color w:val="auto"/>
        </w:rPr>
      </w:pPr>
    </w:p>
    <w:p>
      <w:pPr>
        <w:ind w:left="1140" w:right="40" w:hanging="383"/>
        <w:spacing w:after="0" w:line="265" w:lineRule="auto"/>
        <w:tabs>
          <w:tab w:leader="none" w:pos="1144"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the Federal Reserve</w:t>
      </w:r>
    </w:p>
    <w:p>
      <w:pPr>
        <w:spacing w:after="0" w:line="19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03" w:name="page204"/>
    <w:bookmarkEnd w:id="203"/>
    <w:p>
      <w:pPr>
        <w:jc w:val="both"/>
        <w:ind w:left="1140"/>
        <w:spacing w:after="0" w:line="242" w:lineRule="auto"/>
        <w:rPr>
          <w:sz w:val="20"/>
          <w:szCs w:val="20"/>
          <w:color w:val="auto"/>
        </w:rPr>
      </w:pPr>
      <w:r>
        <w:rPr>
          <w:rFonts w:ascii="Times New Roman" w:cs="Times New Roman" w:eastAsia="Times New Roman" w:hAnsi="Times New Roman"/>
          <w:sz w:val="19"/>
          <w:szCs w:val="19"/>
          <w:color w:val="auto"/>
        </w:rPr>
        <w:t xml:space="preserve">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any Available Tenor of such Benchmark (or such component thereof); or</w:t>
      </w:r>
    </w:p>
    <w:p>
      <w:pPr>
        <w:spacing w:after="0" w:line="78" w:lineRule="exact"/>
        <w:rPr>
          <w:sz w:val="20"/>
          <w:szCs w:val="20"/>
          <w:color w:val="auto"/>
        </w:rPr>
      </w:pPr>
    </w:p>
    <w:p>
      <w:pPr>
        <w:jc w:val="both"/>
        <w:ind w:left="1140" w:hanging="383"/>
        <w:spacing w:after="0" w:line="246" w:lineRule="auto"/>
        <w:tabs>
          <w:tab w:leader="none" w:pos="1144"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1979930</wp:posOffset>
            </wp:positionH>
            <wp:positionV relativeFrom="paragraph">
              <wp:posOffset>-165735</wp:posOffset>
            </wp:positionV>
            <wp:extent cx="2984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9845" cy="8255"/>
                    </a:xfrm>
                    <a:prstGeom prst="rect">
                      <a:avLst/>
                    </a:prstGeom>
                    <a:noFill/>
                  </pic:spPr>
                </pic:pic>
              </a:graphicData>
            </a:graphic>
          </wp:anchor>
        </w:drawing>
        <w:drawing>
          <wp:anchor simplePos="0" relativeHeight="251657728" behindDoc="1" locked="0" layoutInCell="0" allowOverlap="1">
            <wp:simplePos x="0" y="0"/>
            <wp:positionH relativeFrom="column">
              <wp:posOffset>1979930</wp:posOffset>
            </wp:positionH>
            <wp:positionV relativeFrom="paragraph">
              <wp:posOffset>-148590</wp:posOffset>
            </wp:positionV>
            <wp:extent cx="2984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9845" cy="8255"/>
                    </a:xfrm>
                    <a:prstGeom prst="rect">
                      <a:avLst/>
                    </a:prstGeom>
                    <a:noFill/>
                  </pic:spPr>
                </pic:pic>
              </a:graphicData>
            </a:graphic>
          </wp:anchor>
        </w:drawing>
      </w:r>
    </w:p>
    <w:p>
      <w:pPr>
        <w:spacing w:after="0" w:line="164"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9"/>
          <w:szCs w:val="19"/>
          <w:color w:val="auto"/>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3"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Beneficial Ownership Certification</w:t>
      </w:r>
      <w:r>
        <w:rPr>
          <w:rFonts w:ascii="Times New Roman" w:cs="Times New Roman" w:eastAsia="Times New Roman" w:hAnsi="Times New Roman"/>
          <w:sz w:val="19"/>
          <w:szCs w:val="19"/>
          <w:color w:val="auto"/>
        </w:rPr>
        <w:t>” means, if the Borrower qualifies as a “legal entity customer” within the meaning of the Beneficial Ownership Regulation, a certification of beneficial ownership as required by the Beneficial Ownership Regulation.</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Beneficial Ownership Regulation</w:t>
      </w:r>
      <w:r>
        <w:rPr>
          <w:rFonts w:ascii="Times New Roman" w:cs="Times New Roman" w:eastAsia="Times New Roman" w:hAnsi="Times New Roman"/>
          <w:sz w:val="19"/>
          <w:szCs w:val="19"/>
          <w:color w:val="auto"/>
        </w:rPr>
        <w:t>” means 31 C.F.R. § 1010.230, as amended.</w:t>
      </w:r>
    </w:p>
    <w:p>
      <w:pPr>
        <w:spacing w:after="0" w:line="214" w:lineRule="exact"/>
        <w:rPr>
          <w:sz w:val="20"/>
          <w:szCs w:val="20"/>
          <w:color w:val="auto"/>
        </w:rPr>
      </w:pPr>
    </w:p>
    <w:p>
      <w:pPr>
        <w:jc w:val="both"/>
        <w:ind w:firstLine="1497"/>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Section 4975 of the Internal Revenue Code or (c) any Person whose assets include (for purposes of ERISA Section 3(42) or otherwise for purposes of Title I of ERISA or Section 4975 of the Internal Revenue Code) the assets of any such “employee benefit plan” or “plan”.</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BHC Act Affiliate</w:t>
      </w:r>
      <w:r>
        <w:rPr>
          <w:rFonts w:ascii="Times New Roman" w:cs="Times New Roman" w:eastAsia="Times New Roman" w:hAnsi="Times New Roman"/>
          <w:sz w:val="19"/>
          <w:szCs w:val="19"/>
          <w:color w:val="auto"/>
        </w:rPr>
        <w:t>” has the meaning specified in Section 9.21(b).</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Borrower</w:t>
      </w:r>
      <w:r>
        <w:rPr>
          <w:rFonts w:ascii="Times New Roman" w:cs="Times New Roman" w:eastAsia="Times New Roman" w:hAnsi="Times New Roman"/>
          <w:sz w:val="19"/>
          <w:szCs w:val="19"/>
          <w:color w:val="auto"/>
        </w:rPr>
        <w:t>” has the meaning specified in the recital of parties to this Agreement.</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Borrower Party or Borrower Parties</w:t>
      </w:r>
      <w:r>
        <w:rPr>
          <w:rFonts w:ascii="Times New Roman" w:cs="Times New Roman" w:eastAsia="Times New Roman" w:hAnsi="Times New Roman"/>
          <w:sz w:val="19"/>
          <w:szCs w:val="19"/>
          <w:color w:val="auto"/>
        </w:rPr>
        <w:t>” means the Loan Parties and the owners of the Unencumbered Assets, without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duplication.</w:t>
      </w:r>
    </w:p>
    <w:p>
      <w:pPr>
        <w:spacing w:after="0" w:line="188" w:lineRule="exact"/>
        <w:rPr>
          <w:sz w:val="20"/>
          <w:szCs w:val="20"/>
          <w:color w:val="auto"/>
        </w:rPr>
      </w:pPr>
    </w:p>
    <w:p>
      <w:pPr>
        <w:jc w:val="both"/>
        <w:ind w:firstLine="1497"/>
        <w:spacing w:after="0" w:line="23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Borrower’s Account</w:t>
      </w:r>
      <w:r>
        <w:rPr>
          <w:rFonts w:ascii="Times New Roman" w:cs="Times New Roman" w:eastAsia="Times New Roman" w:hAnsi="Times New Roman"/>
          <w:sz w:val="19"/>
          <w:szCs w:val="19"/>
          <w:color w:val="auto"/>
        </w:rPr>
        <w:t>” means the account of the Borrower maintained by the Borrower with Citibank N.A. at its office at 153 East 53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9"/>
          <w:szCs w:val="19"/>
          <w:color w:val="auto"/>
        </w:rPr>
        <w:t xml:space="preserve"> Street, 21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9"/>
          <w:szCs w:val="19"/>
          <w:color w:val="auto"/>
        </w:rPr>
        <w:t xml:space="preserve"> Floor, New York, New York 10022, ABA No. 021000089, Account No. 4991074200 or such other account as the Borrower shall specify in writing to the Administrative Agent.</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Borrowing</w:t>
      </w:r>
      <w:r>
        <w:rPr>
          <w:rFonts w:ascii="Times New Roman" w:cs="Times New Roman" w:eastAsia="Times New Roman" w:hAnsi="Times New Roman"/>
          <w:sz w:val="19"/>
          <w:szCs w:val="19"/>
          <w:color w:val="auto"/>
        </w:rPr>
        <w:t>” means a borrowing consisting of simultaneous Advances of the same Type made by the Lenders.</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Business Day</w:t>
      </w:r>
      <w:r>
        <w:rPr>
          <w:rFonts w:ascii="Times New Roman" w:cs="Times New Roman" w:eastAsia="Times New Roman" w:hAnsi="Times New Roman"/>
          <w:sz w:val="19"/>
          <w:szCs w:val="19"/>
          <w:color w:val="auto"/>
        </w:rPr>
        <w:t>” means a day of the year on which banks are not required or authorized by law to close in New York City.</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Capital Expenditure Reserve</w:t>
      </w:r>
      <w:r>
        <w:rPr>
          <w:rFonts w:ascii="Times New Roman" w:cs="Times New Roman" w:eastAsia="Times New Roman" w:hAnsi="Times New Roman"/>
          <w:sz w:val="19"/>
          <w:szCs w:val="19"/>
          <w:color w:val="auto"/>
        </w:rPr>
        <w:t xml:space="preserve">” means, with respect to any Asset at any date of determination, $0.25 </w:t>
      </w:r>
      <w:r>
        <w:rPr>
          <w:rFonts w:ascii="Times New Roman" w:cs="Times New Roman" w:eastAsia="Times New Roman" w:hAnsi="Times New Roman"/>
          <w:sz w:val="19"/>
          <w:szCs w:val="19"/>
          <w:i w:val="1"/>
          <w:iCs w:val="1"/>
          <w:color w:val="auto"/>
        </w:rPr>
        <w:t>times</w:t>
      </w:r>
      <w:r>
        <w:rPr>
          <w:rFonts w:ascii="Times New Roman" w:cs="Times New Roman" w:eastAsia="Times New Roman" w:hAnsi="Times New Roman"/>
          <w:sz w:val="19"/>
          <w:szCs w:val="19"/>
          <w:color w:val="auto"/>
        </w:rPr>
        <w:t xml:space="preserve"> the total number of rentable square feet of such Asset,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with respect to any Asset that is a Joint Venture Asset, the Capital Expenditure Reserve shall be equal to the JV Pro Rata Share of such amount.</w:t>
      </w:r>
    </w:p>
    <w:p>
      <w:pPr>
        <w:spacing w:after="0" w:line="3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04" w:name="page205"/>
    <w:bookmarkEnd w:id="204"/>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Capitalized Leases</w:t>
      </w:r>
      <w:r>
        <w:rPr>
          <w:rFonts w:ascii="Times New Roman" w:cs="Times New Roman" w:eastAsia="Times New Roman" w:hAnsi="Times New Roman"/>
          <w:sz w:val="19"/>
          <w:szCs w:val="19"/>
          <w:color w:val="auto"/>
        </w:rPr>
        <w:t>” means all leases that have been or should be, in accordance with GAAP, recorded as capitalized leases.</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Capitalized Value</w:t>
      </w:r>
      <w:r>
        <w:rPr>
          <w:rFonts w:ascii="Times New Roman" w:cs="Times New Roman" w:eastAsia="Times New Roman" w:hAnsi="Times New Roman"/>
          <w:sz w:val="19"/>
          <w:szCs w:val="19"/>
          <w:color w:val="auto"/>
        </w:rPr>
        <w:t>” means, in the case of any Asset, the Adjusted Net Operating Income of such Asset divided by 6.75%.</w:t>
      </w:r>
    </w:p>
    <w:p>
      <w:pPr>
        <w:spacing w:after="0" w:line="214" w:lineRule="exact"/>
        <w:rPr>
          <w:sz w:val="20"/>
          <w:szCs w:val="20"/>
          <w:color w:val="auto"/>
        </w:rPr>
      </w:pPr>
    </w:p>
    <w:p>
      <w:pPr>
        <w:jc w:val="both"/>
        <w:ind w:firstLine="1497"/>
        <w:spacing w:after="0" w:line="220"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Cash Equivalents</w:t>
      </w:r>
      <w:r>
        <w:rPr>
          <w:rFonts w:ascii="Times New Roman" w:cs="Times New Roman" w:eastAsia="Times New Roman" w:hAnsi="Times New Roman"/>
          <w:sz w:val="19"/>
          <w:szCs w:val="19"/>
          <w:color w:val="auto"/>
        </w:rPr>
        <w:t xml:space="preserve">” means any of the following: (a) readily marketable obligations issued or directly and fully guaranteed or insured by the Government of the United States or any agency or instrumentality thereof with maturities of not greater than 360 days from the date of acquisition thereof,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full faith and credit of the Government of the United States is pledged in support thereof, (b) certificates of deposit of or time deposits with any commercial bank that is a Lender or a member of the Federal Reserve System, issues (or the parent of which issues) commercial paper rated as described in clause (c) below, is organized under the laws of the United States or any State thereof (or the District of Columbia) and has combined capital and surplus of at least $1,000,000,000, in each case with maturities of not greater than 90 days from the date of acquisition thereof, (c) commercial paper issued by any corporation organized under the laws of any State of the United States and rated at least “Prime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(or the then equivalent grade) by Moody’s or “A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(or the then equivalent grade) by S&amp;P, in each case with maturities of not greater than 180 days from the date of acquisition thereof, or (d) investments classified in accordance with GAAP as current assets of the Borrower or any of its Subsidiaries, in money market investment programs registered under the Investment Company Act of 1940, which are administered by financial institutions that have the highest rating obtainable from either Moody’s or S&amp;P, in and the portfolios of which are limited solely to Investments of the character, quality and maturity described in clauses (a), (b) and (c) hereof.</w:t>
      </w:r>
    </w:p>
    <w:p>
      <w:pPr>
        <w:spacing w:after="0" w:line="1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CERCLA</w:t>
      </w:r>
      <w:r>
        <w:rPr>
          <w:rFonts w:ascii="Times New Roman" w:cs="Times New Roman" w:eastAsia="Times New Roman" w:hAnsi="Times New Roman"/>
          <w:sz w:val="19"/>
          <w:szCs w:val="19"/>
          <w:color w:val="auto"/>
        </w:rPr>
        <w:t>” means the Comprehensive Environmental Response, Compensation and Liability Act of 1980, as amended from</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time to time.</w:t>
      </w:r>
    </w:p>
    <w:p>
      <w:pPr>
        <w:spacing w:after="0" w:line="188"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CERCLIS</w:t>
      </w:r>
      <w:r>
        <w:rPr>
          <w:rFonts w:ascii="Times New Roman" w:cs="Times New Roman" w:eastAsia="Times New Roman" w:hAnsi="Times New Roman"/>
          <w:sz w:val="19"/>
          <w:szCs w:val="19"/>
          <w:color w:val="auto"/>
        </w:rPr>
        <w:t>” means the Comprehensive Environmental Response, Compensation and Liability Information System maintained by the U.S. Environmental Protection Agency.</w:t>
      </w:r>
    </w:p>
    <w:p>
      <w:pPr>
        <w:spacing w:after="0" w:line="153" w:lineRule="exact"/>
        <w:rPr>
          <w:sz w:val="20"/>
          <w:szCs w:val="20"/>
          <w:color w:val="auto"/>
        </w:rPr>
      </w:pPr>
    </w:p>
    <w:p>
      <w:pPr>
        <w:jc w:val="both"/>
        <w:ind w:firstLine="1497"/>
        <w:spacing w:after="0" w:line="221"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Change of Control</w:t>
      </w:r>
      <w:r>
        <w:rPr>
          <w:rFonts w:ascii="Times New Roman" w:cs="Times New Roman" w:eastAsia="Times New Roman" w:hAnsi="Times New Roman"/>
          <w:sz w:val="19"/>
          <w:szCs w:val="19"/>
          <w:color w:val="auto"/>
        </w:rPr>
        <w:t>” means the occurrence of any of the following: (a) any Person or two or more Persons acting in concert shall have acquired and shall continue to have following the date hereof beneficial ownership (within the meaning of Rule 13d</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3 of the Securities and Exchange Commission under the Securities Exchange Act of 1934), directly or indirectly, of Voting Interests of the Parent (or other securities convertible into such Voting Interests) representing 50% or more of the combined voting power of all Voting Interests of the Parent; or (b) there is a change in the composition of the Parent’s Board of Directors over a period of 12 consecutive months (or less) such that a majority of Board members (rounded up to the nearest whole number) ceases to be comprised of individuals who either (i) have been Board members continuously since the beginning of such period or (ii) have been elected or nominated for election as Board members during such period by at least a majority of the Board members described in clause (i) who were still in office at the time such election or nomination was approved by the Board; or (c) the execution of one or more management agreements by the Parent with a third party such that the Parent becomes a so-called “externally managed REIT”; or (d) the Parent ceases to be the direct legal and beneficial owner of all of the general partnership interests in the Borrower; or (e) the Parent shall create, incur, assume or suffer to exist any Lien on the Equity Interests in the Borrower owned by it.</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Closing Date</w:t>
      </w:r>
      <w:r>
        <w:rPr>
          <w:rFonts w:ascii="Times New Roman" w:cs="Times New Roman" w:eastAsia="Times New Roman" w:hAnsi="Times New Roman"/>
          <w:sz w:val="19"/>
          <w:szCs w:val="19"/>
          <w:color w:val="auto"/>
        </w:rPr>
        <w:t>” means September 29, 2016.</w:t>
      </w:r>
    </w:p>
    <w:p>
      <w:pPr>
        <w:spacing w:after="0" w:line="214"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Commitment</w:t>
      </w:r>
      <w:r>
        <w:rPr>
          <w:rFonts w:ascii="Times New Roman" w:cs="Times New Roman" w:eastAsia="Times New Roman" w:hAnsi="Times New Roman"/>
          <w:sz w:val="19"/>
          <w:szCs w:val="19"/>
          <w:color w:val="auto"/>
        </w:rPr>
        <w:t>” means, with respect to any Lender at any time, the amount (whether funded or unfunded) (a) set forth opposite such Lender’s name on Schedule I hereto under the caption “Commitment” or (b) if such Lender has entered into one or more Assignment and Acceptances, set forth for such Lender in the Register maintained by the Administrative Agent pursuant to Section 9.07(d) as such Lender’s “Commitment”, as such amount may be reduced at or prior to such time pursuant to Section 2.05.</w:t>
      </w:r>
    </w:p>
    <w:p>
      <w:pPr>
        <w:spacing w:after="0" w:line="3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05" w:name="page206"/>
    <w:bookmarkEnd w:id="205"/>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Commitment Date</w:t>
      </w:r>
      <w:r>
        <w:rPr>
          <w:rFonts w:ascii="Times New Roman" w:cs="Times New Roman" w:eastAsia="Times New Roman" w:hAnsi="Times New Roman"/>
          <w:sz w:val="19"/>
          <w:szCs w:val="19"/>
          <w:color w:val="auto"/>
        </w:rPr>
        <w:t>” has the meaning specified in Section 2.17(b).</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Commitment Increase</w:t>
      </w:r>
      <w:r>
        <w:rPr>
          <w:rFonts w:ascii="Times New Roman" w:cs="Times New Roman" w:eastAsia="Times New Roman" w:hAnsi="Times New Roman"/>
          <w:sz w:val="19"/>
          <w:szCs w:val="19"/>
          <w:color w:val="auto"/>
        </w:rPr>
        <w:t>” has the meaning specified in Section 2.17(a).</w:t>
      </w:r>
    </w:p>
    <w:p>
      <w:pPr>
        <w:spacing w:after="0" w:line="214"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Commodity Exchange Act</w:t>
      </w:r>
      <w:r>
        <w:rPr>
          <w:rFonts w:ascii="Times New Roman" w:cs="Times New Roman" w:eastAsia="Times New Roman" w:hAnsi="Times New Roman"/>
          <w:sz w:val="19"/>
          <w:szCs w:val="19"/>
          <w:color w:val="auto"/>
        </w:rPr>
        <w:t>” means the Commodity Exchange Act (7 U.S.C. § 1 et seq.), as amended from time to time, and any successor statute.</w:t>
      </w:r>
    </w:p>
    <w:p>
      <w:pPr>
        <w:spacing w:after="0" w:line="153"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Communications</w:t>
      </w:r>
      <w:r>
        <w:rPr>
          <w:rFonts w:ascii="Times New Roman" w:cs="Times New Roman" w:eastAsia="Times New Roman" w:hAnsi="Times New Roman"/>
          <w:sz w:val="19"/>
          <w:szCs w:val="19"/>
          <w:color w:val="auto"/>
        </w:rPr>
        <w:t>” means each notice, demand, communication, information, document and other material provided for hereunder or under any other Loan Document or otherwise transmitted between the parties hereto relating to this Agreement, the other Loan Documents, any Loan Party or its Affiliates, or the transactions contemplated by this Agreement or the other Loan Documents including, without limitation, all Approved Electronic Communications.</w:t>
      </w:r>
    </w:p>
    <w:p>
      <w:pPr>
        <w:spacing w:after="0" w:line="177"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Conforming Changes</w:t>
      </w:r>
      <w:r>
        <w:rPr>
          <w:rFonts w:ascii="Times New Roman" w:cs="Times New Roman" w:eastAsia="Times New Roman" w:hAnsi="Times New Roman"/>
          <w:sz w:val="19"/>
          <w:szCs w:val="19"/>
          <w:color w:val="auto"/>
        </w:rPr>
        <w:t>” means, with respect to either the use or administration of Term SOFR or Daily Simple SOFR or the use, administration, adoption or implementation of any Benchmark Replacement, any technical, administrative or operational changes (including changes to the definition of “Base Rate”,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but, for the avoidance of doubt, excluding any changes to material economic terms) that the Administrative Agent, in consultation with the Borrower,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in consultation with the Borrower, determines that no market practice for the administration of any such rate exists, in such other manner of administration as the Administrative Agent, in consultation with the Borrower, decides is reasonably necessary in connection with the administration of this Agreement and the other Loan Documents).</w:t>
      </w:r>
    </w:p>
    <w:p>
      <w:pPr>
        <w:spacing w:after="0" w:line="146" w:lineRule="exact"/>
        <w:rPr>
          <w:sz w:val="20"/>
          <w:szCs w:val="20"/>
          <w:color w:val="auto"/>
        </w:rPr>
      </w:pPr>
    </w:p>
    <w:p>
      <w:pPr>
        <w:jc w:val="both"/>
        <w:ind w:right="20"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Connection Income Taxes</w:t>
      </w:r>
      <w:r>
        <w:rPr>
          <w:rFonts w:ascii="Times New Roman" w:cs="Times New Roman" w:eastAsia="Times New Roman" w:hAnsi="Times New Roman"/>
          <w:sz w:val="19"/>
          <w:szCs w:val="19"/>
          <w:color w:val="auto"/>
        </w:rPr>
        <w:t>” means Other Connection Taxes imposed on or measured by net income (however denominated) or franchise Taxes or branch profits Taxes.</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Consent Request Date</w:t>
      </w:r>
      <w:r>
        <w:rPr>
          <w:rFonts w:ascii="Times New Roman" w:cs="Times New Roman" w:eastAsia="Times New Roman" w:hAnsi="Times New Roman"/>
          <w:sz w:val="19"/>
          <w:szCs w:val="19"/>
          <w:color w:val="auto"/>
        </w:rPr>
        <w:t>” has the meaning specified in Section 9.01(b).</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Consolidated</w:t>
      </w:r>
      <w:r>
        <w:rPr>
          <w:rFonts w:ascii="Times New Roman" w:cs="Times New Roman" w:eastAsia="Times New Roman" w:hAnsi="Times New Roman"/>
          <w:sz w:val="19"/>
          <w:szCs w:val="19"/>
          <w:color w:val="auto"/>
        </w:rPr>
        <w:t>” refers to the consolidation of accounts in accordance with GAAP.</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Consolidated Group</w:t>
      </w:r>
      <w:r>
        <w:rPr>
          <w:rFonts w:ascii="Times New Roman" w:cs="Times New Roman" w:eastAsia="Times New Roman" w:hAnsi="Times New Roman"/>
          <w:sz w:val="19"/>
          <w:szCs w:val="19"/>
          <w:color w:val="auto"/>
        </w:rPr>
        <w:t>” means the Borrower and the Parent, together with their Consolidated Subsidiaries.</w:t>
      </w:r>
    </w:p>
    <w:p>
      <w:pPr>
        <w:spacing w:after="0" w:line="214" w:lineRule="exact"/>
        <w:rPr>
          <w:sz w:val="20"/>
          <w:szCs w:val="20"/>
          <w:color w:val="auto"/>
        </w:rPr>
      </w:pPr>
    </w:p>
    <w:p>
      <w:pPr>
        <w:jc w:val="both"/>
        <w:ind w:firstLine="1497"/>
        <w:spacing w:after="0" w:line="223"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Contingent Obligation</w:t>
      </w:r>
      <w:r>
        <w:rPr>
          <w:rFonts w:ascii="Times New Roman" w:cs="Times New Roman" w:eastAsia="Times New Roman" w:hAnsi="Times New Roman"/>
          <w:sz w:val="19"/>
          <w:szCs w:val="19"/>
          <w:color w:val="auto"/>
        </w:rPr>
        <w:t>” means, with respect to any Person, any Obligation or arrangement of such Person to guarantee or intended to guarantee any Debt, leases, dividends or other payment Obligations (“</w:t>
      </w:r>
      <w:r>
        <w:rPr>
          <w:rFonts w:ascii="Times New Roman" w:cs="Times New Roman" w:eastAsia="Times New Roman" w:hAnsi="Times New Roman"/>
          <w:sz w:val="19"/>
          <w:szCs w:val="19"/>
          <w:b w:val="1"/>
          <w:bCs w:val="1"/>
          <w:i w:val="1"/>
          <w:iCs w:val="1"/>
          <w:color w:val="auto"/>
        </w:rPr>
        <w:t>primary obligations</w:t>
      </w:r>
      <w:r>
        <w:rPr>
          <w:rFonts w:ascii="Times New Roman" w:cs="Times New Roman" w:eastAsia="Times New Roman" w:hAnsi="Times New Roman"/>
          <w:sz w:val="19"/>
          <w:szCs w:val="19"/>
          <w:color w:val="auto"/>
        </w:rPr>
        <w:t>”) of any other Person (the “</w:t>
      </w:r>
      <w:r>
        <w:rPr>
          <w:rFonts w:ascii="Times New Roman" w:cs="Times New Roman" w:eastAsia="Times New Roman" w:hAnsi="Times New Roman"/>
          <w:sz w:val="19"/>
          <w:szCs w:val="19"/>
          <w:b w:val="1"/>
          <w:bCs w:val="1"/>
          <w:i w:val="1"/>
          <w:iCs w:val="1"/>
          <w:color w:val="auto"/>
        </w:rPr>
        <w:t>primary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obligor</w:t>
      </w:r>
      <w:r>
        <w:rPr>
          <w:rFonts w:ascii="Times New Roman" w:cs="Times New Roman" w:eastAsia="Times New Roman" w:hAnsi="Times New Roman"/>
          <w:sz w:val="19"/>
          <w:szCs w:val="19"/>
          <w:color w:val="auto"/>
        </w:rPr>
        <w:t>”) in any manner, whether directly or indirectly, including, without limitation (and without duplication) (a) the direct or indirect guarantee,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endorsement (other than for collection or deposit in the ordinary course of business), co</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making, discounting with recourse or sale with recourse by such Person of the Obligation of a primary obligor, (b) the Obligation to make take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pay or similar payments, if required, regardless of nonperformance by any other party or parties to an agreement or (c)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(iii) to purchase property, assets, securities or services primarily for the purpose of assuring the owner of any such primary obligation of the ability of the primary obligor to make payment of such primary obligation or (iv) otherwise to</w:t>
      </w:r>
    </w:p>
    <w:p>
      <w:pPr>
        <w:spacing w:after="0" w:line="3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06" w:name="page207"/>
    <w:bookmarkEnd w:id="206"/>
    <w:p>
      <w:pPr>
        <w:jc w:val="both"/>
        <w:spacing w:after="0" w:line="242" w:lineRule="auto"/>
        <w:rPr>
          <w:sz w:val="20"/>
          <w:szCs w:val="20"/>
          <w:color w:val="auto"/>
        </w:rPr>
      </w:pPr>
      <w:r>
        <w:rPr>
          <w:rFonts w:ascii="Times New Roman" w:cs="Times New Roman" w:eastAsia="Times New Roman" w:hAnsi="Times New Roman"/>
          <w:sz w:val="19"/>
          <w:szCs w:val="19"/>
          <w:color w:val="auto"/>
        </w:rPr>
        <w:t>assure or hold harmless the holder of such primary obligation against loss in respect thereof. The amount of any Contingent Obligation shall be deemed to be an amount equal to the stated or determinable amount of the primary obligation in respect of which such Contingent Obligation is made (or, if less, the maximum amount of such primary obligation for which such Person may be liable pursuant to the terms of the instrument evidencing such Contingent Obligation) or, if not stated or determinable, the maximum reasonably anticipated liability in respect thereof (assuming such Person is required to perform thereunder), as determined by such Person in good faith, all as recorded on the balance sheet or on the footnotes to the most recent financial statements of such Person in accordance with GAAP.</w:t>
      </w:r>
    </w:p>
    <w:p>
      <w:pPr>
        <w:spacing w:after="0" w:line="184"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Conversion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Convert</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i w:val="1"/>
          <w:iCs w:val="1"/>
          <w:color w:val="auto"/>
        </w:rPr>
        <w:t>Converted</w:t>
      </w:r>
      <w:r>
        <w:rPr>
          <w:rFonts w:ascii="Times New Roman" w:cs="Times New Roman" w:eastAsia="Times New Roman" w:hAnsi="Times New Roman"/>
          <w:sz w:val="19"/>
          <w:szCs w:val="19"/>
          <w:color w:val="auto"/>
        </w:rPr>
        <w:t>” each refer to a conversion of Advances of one Type into Advances of the other Type pursuant to Section 2.07(d), 2.07(e), 2.09 or 2.10.</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Covered Entity</w:t>
      </w:r>
      <w:r>
        <w:rPr>
          <w:rFonts w:ascii="Times New Roman" w:cs="Times New Roman" w:eastAsia="Times New Roman" w:hAnsi="Times New Roman"/>
          <w:sz w:val="19"/>
          <w:szCs w:val="19"/>
          <w:color w:val="auto"/>
        </w:rPr>
        <w:t>” has the meaning specified in Section 9.21(b).</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Covered Party</w:t>
      </w:r>
      <w:r>
        <w:rPr>
          <w:rFonts w:ascii="Times New Roman" w:cs="Times New Roman" w:eastAsia="Times New Roman" w:hAnsi="Times New Roman"/>
          <w:sz w:val="19"/>
          <w:szCs w:val="19"/>
          <w:color w:val="auto"/>
        </w:rPr>
        <w:t>” has the meaning specified in Section 9.21(a).</w:t>
      </w:r>
    </w:p>
    <w:p>
      <w:pPr>
        <w:spacing w:after="0" w:line="190" w:lineRule="exact"/>
        <w:rPr>
          <w:sz w:val="20"/>
          <w:szCs w:val="20"/>
          <w:color w:val="auto"/>
        </w:rPr>
      </w:pPr>
    </w:p>
    <w:p>
      <w:pPr>
        <w:ind w:left="1500"/>
        <w:spacing w:after="0" w:line="219"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Customary Carve</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b w:val="1"/>
          <w:bCs w:val="1"/>
          <w:i w:val="1"/>
          <w:iCs w:val="1"/>
          <w:color w:val="auto"/>
        </w:rPr>
        <w:t>Out Agreement</w:t>
      </w:r>
      <w:r>
        <w:rPr>
          <w:rFonts w:ascii="Times New Roman" w:cs="Times New Roman" w:eastAsia="Times New Roman" w:hAnsi="Times New Roman"/>
          <w:sz w:val="19"/>
          <w:szCs w:val="19"/>
          <w:color w:val="auto"/>
        </w:rPr>
        <w:t>” has the meaning specified in the definition of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Recourse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1871980</wp:posOffset>
            </wp:positionH>
            <wp:positionV relativeFrom="paragraph">
              <wp:posOffset>-46355</wp:posOffset>
            </wp:positionV>
            <wp:extent cx="66040" cy="400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6040" cy="40005"/>
                    </a:xfrm>
                    <a:prstGeom prst="rect">
                      <a:avLst/>
                    </a:prstGeom>
                    <a:noFill/>
                  </pic:spPr>
                </pic:pic>
              </a:graphicData>
            </a:graphic>
          </wp:anchor>
        </w:drawing>
      </w:r>
    </w:p>
    <w:p>
      <w:pPr>
        <w:spacing w:after="0" w:line="231"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Daily RFR Business Day</w:t>
      </w:r>
      <w:r>
        <w:rPr>
          <w:rFonts w:ascii="Times New Roman" w:cs="Times New Roman" w:eastAsia="Times New Roman" w:hAnsi="Times New Roman"/>
          <w:sz w:val="19"/>
          <w:szCs w:val="19"/>
          <w:color w:val="auto"/>
        </w:rPr>
        <w:t>” means, for any Obligations, interest, fees, commissions or other amounts denominated in, or calculated with respect to, Dollars, any U.S. Government Securities Business Day.</w:t>
      </w:r>
    </w:p>
    <w:p>
      <w:pPr>
        <w:spacing w:after="0" w:line="153"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Daily RFR Interest Payment Date</w:t>
      </w:r>
      <w:r>
        <w:rPr>
          <w:rFonts w:ascii="Times New Roman" w:cs="Times New Roman" w:eastAsia="Times New Roman" w:hAnsi="Times New Roman"/>
          <w:sz w:val="19"/>
          <w:szCs w:val="19"/>
          <w:color w:val="auto"/>
        </w:rPr>
        <w:t xml:space="preserve">” means, with respect to each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DSS Advance, the earlier of (a) the first Business Day of each month commencing with the month immediately after the month in which the applicable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DSS Advance occurred and (b) the Maturity Date.</w:t>
      </w:r>
    </w:p>
    <w:p>
      <w:pPr>
        <w:spacing w:after="0" w:line="13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Daily Simple SOFR</w:t>
      </w:r>
      <w:r>
        <w:rPr>
          <w:rFonts w:ascii="Times New Roman" w:cs="Times New Roman" w:eastAsia="Times New Roman" w:hAnsi="Times New Roman"/>
          <w:sz w:val="19"/>
          <w:szCs w:val="19"/>
          <w:color w:val="auto"/>
        </w:rPr>
        <w:t>” means, for any day (a “</w:t>
      </w:r>
      <w:r>
        <w:rPr>
          <w:rFonts w:ascii="Times New Roman" w:cs="Times New Roman" w:eastAsia="Times New Roman" w:hAnsi="Times New Roman"/>
          <w:sz w:val="19"/>
          <w:szCs w:val="19"/>
          <w:b w:val="1"/>
          <w:bCs w:val="1"/>
          <w:i w:val="1"/>
          <w:iCs w:val="1"/>
          <w:color w:val="auto"/>
        </w:rPr>
        <w:t>SOFR Rate Day</w:t>
      </w:r>
      <w:r>
        <w:rPr>
          <w:rFonts w:ascii="Times New Roman" w:cs="Times New Roman" w:eastAsia="Times New Roman" w:hAnsi="Times New Roman"/>
          <w:sz w:val="19"/>
          <w:szCs w:val="19"/>
          <w:color w:val="auto"/>
        </w:rPr>
        <w:t>”), a rate per annum equal to SOFR for the day (such day, a “</w:t>
      </w:r>
      <w:r>
        <w:rPr>
          <w:rFonts w:ascii="Times New Roman" w:cs="Times New Roman" w:eastAsia="Times New Roman" w:hAnsi="Times New Roman"/>
          <w:sz w:val="19"/>
          <w:szCs w:val="19"/>
          <w:b w:val="1"/>
          <w:bCs w:val="1"/>
          <w:i w:val="1"/>
          <w:iCs w:val="1"/>
          <w:color w:val="auto"/>
        </w:rPr>
        <w:t>SOFR Determination Day</w:t>
      </w:r>
      <w:r>
        <w:rPr>
          <w:rFonts w:ascii="Times New Roman" w:cs="Times New Roman" w:eastAsia="Times New Roman" w:hAnsi="Times New Roman"/>
          <w:sz w:val="19"/>
          <w:szCs w:val="19"/>
          <w:color w:val="auto"/>
        </w:rPr>
        <w:t>”) that is five (5) Daily RFR Business Days prior to (A) if such SOFR Rate Day is a Daily RFR Business Day, such SOFR Rate Day or (B) if such SOFR Rate Day is not a Daily RFR Business Day, the Daily RFR Business Day immediately preceding such SOFR Rate Day, in each case as published by the SOFR Administrator on the SOFR Administrator’s Website. If Daily Simple SOFR as determined above would be less than the Floor, then Daily Simple SOFR shall be deemed to be the Floor.</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If by 5:00 P.M. (Pittsburgh, Pennsylvania time) on the second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Daily RFR Business Day immediately following any SOFR Determination Day, Daily Simple SOFR in respect of such SOFR Determination Day has not been published on the SOFR Administrator’s Website and a Benchmark Replacement Date with respect to Daily Simple SOFR has not occurred, then Daily Simple SOFR for such SOFR Determination Day will be Daily Simple SOFR for the first Daily RFR Business Day preceding such SOFR Determination Day for which SOFR was published in accordance with the definition of “SOFR”;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SOFR determined pursuant to this sentence shall be utilized for purposes of calculation of Daily Simple SOFR for no more than three (3) consecutive SOFR Rate Days. If and when Daily Simple SOFR as determined above changes, any applicable rate of interest based on Daily Simple SOFR will change automatically without notice to the Borrower, effective on the date of any such change.</w:t>
      </w:r>
    </w:p>
    <w:p>
      <w:pPr>
        <w:spacing w:after="0" w:line="178"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Debt</w:t>
      </w:r>
      <w:r>
        <w:rPr>
          <w:rFonts w:ascii="Times New Roman" w:cs="Times New Roman" w:eastAsia="Times New Roman" w:hAnsi="Times New Roman"/>
          <w:sz w:val="19"/>
          <w:szCs w:val="19"/>
          <w:color w:val="auto"/>
        </w:rPr>
        <w:t>” of any Person means, without duplication for purposes of calculating financial ratios, (a) all Debt for borrowed money of such Person, (b) all Obligations of such Person for the deferred purchase price of property or services other than trade payables incurred in the ordinary course of business and not, unless subject to a Good Faith Contest, overdue by more than 60 days,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Capitalized Leases, (f) all Obligations of such Person under acceptance, letter of credit or similar facilities, (g) all Obligations of such</w:t>
      </w:r>
    </w:p>
    <w:p>
      <w:pPr>
        <w:spacing w:after="0" w:line="3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07" w:name="page208"/>
    <w:bookmarkEnd w:id="207"/>
    <w:p>
      <w:pPr>
        <w:jc w:val="both"/>
        <w:spacing w:after="0" w:line="218" w:lineRule="exact"/>
        <w:rPr>
          <w:sz w:val="20"/>
          <w:szCs w:val="20"/>
          <w:color w:val="auto"/>
        </w:rPr>
      </w:pPr>
      <w:r>
        <w:rPr>
          <w:rFonts w:ascii="Times New Roman" w:cs="Times New Roman" w:eastAsia="Times New Roman" w:hAnsi="Times New Roman"/>
          <w:sz w:val="19"/>
          <w:szCs w:val="19"/>
          <w:color w:val="auto"/>
        </w:rPr>
        <w:t>Person to purchase, redeem, retire, defease or otherwise make any payment (but excluding for the avoidance of doubt (i) regular quarterly dividends and (ii) special year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end dividends made in connection with maintaining the Parent’s status as a REIT) in respect of any Equity Interests in such Person or any other Person (other than Preferred Interests that are issued by any Loan Party or Subsidiary thereof and classified as either equity or minority interests pursuant to GAAP) or any warrants, rights or options to acquire such Equity Interests, (h) all Obligations of such Person in respect of Hedge Agreements, valued at the Agreement Value thereof, (i) all Contingent Obligations of such Person with respect to Debt for borrowed money and (j) all indebtedness and other payment Obligations referred to in clauses (a) through (i) above of another Person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indebtedness or other payment Obligations (valued, in the case of any such Debt as to which recourse for the payment thereof is expressly limited to the property or assets on which such Lien is granted, at the lesser of (1) the stated or determinable amount of the Debt that is so secured or, if not stated or determinable, the maximum reasonably anticipated liability in respect thereof (assuming such Person is required to perform thereunder) and (2) the fair market value of such property or assets);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in the case of the Parent and its Subsidiaries, “Debt” shall also include, without duplication, the JV Pro Rata Share of Debt for each Joint Venture;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(i) for purposes of computing the Leverage Ratio, the Secured </w:t>
      </w:r>
      <w:r>
        <w:rPr>
          <w:rFonts w:ascii="Times New Roman" w:cs="Times New Roman" w:eastAsia="Times New Roman" w:hAnsi="Times New Roman"/>
          <w:sz w:val="19"/>
          <w:szCs w:val="19"/>
          <w:b w:val="1"/>
          <w:bCs w:val="1"/>
          <w:u w:val="single" w:color="auto"/>
          <w:color w:val="0000FF"/>
        </w:rPr>
        <w:t>Debt</w:t>
      </w:r>
      <w:r>
        <w:rPr>
          <w:rFonts w:ascii="Times New Roman" w:cs="Times New Roman" w:eastAsia="Times New Roman" w:hAnsi="Times New Roman"/>
          <w:sz w:val="19"/>
          <w:szCs w:val="19"/>
          <w:color w:val="auto"/>
        </w:rPr>
        <w:t xml:space="preserve"> Leverage Ratio and the Unsecured Leverage Ratio, “Debt” shall be deemed to exclude redeemable </w:t>
      </w:r>
      <w:r>
        <w:rPr>
          <w:rFonts w:ascii="Times New Roman" w:cs="Times New Roman" w:eastAsia="Times New Roman" w:hAnsi="Times New Roman"/>
          <w:sz w:val="19"/>
          <w:szCs w:val="19"/>
          <w:color w:val="FF0000"/>
          <w:strike w:val="1"/>
        </w:rPr>
        <w:t>preferred equity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interests</w:t>
      </w:r>
      <w:r>
        <w:rPr>
          <w:rFonts w:ascii="Times New Roman" w:cs="Times New Roman" w:eastAsia="Times New Roman" w:hAnsi="Times New Roman"/>
          <w:sz w:val="19"/>
          <w:szCs w:val="19"/>
          <w:b w:val="1"/>
          <w:bCs w:val="1"/>
          <w:u w:val="single" w:color="auto"/>
          <w:color w:val="0000FF"/>
        </w:rPr>
        <w:t>Preferred Interests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issued as trust preferred securities by the Parent and the Borrower to the extent the same are by their terms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subordinated to the Facility and not redeemable until after the Maturity Date, as extended from time to time and (ii) “Debt” shall be deemed to exclude Debt of any Unrestricted Subsidiary for all purposes hereunder.</w:t>
      </w:r>
    </w:p>
    <w:p>
      <w:pPr>
        <w:spacing w:after="0" w:line="197" w:lineRule="exact"/>
        <w:rPr>
          <w:sz w:val="20"/>
          <w:szCs w:val="20"/>
          <w:color w:val="auto"/>
        </w:rPr>
      </w:pPr>
    </w:p>
    <w:p>
      <w:pPr>
        <w:jc w:val="both"/>
        <w:ind w:firstLine="1497"/>
        <w:spacing w:after="0" w:line="221"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Debt Rating</w:t>
      </w:r>
      <w:r>
        <w:rPr>
          <w:rFonts w:ascii="Times New Roman" w:cs="Times New Roman" w:eastAsia="Times New Roman" w:hAnsi="Times New Roman"/>
          <w:sz w:val="19"/>
          <w:szCs w:val="19"/>
          <w:color w:val="auto"/>
        </w:rPr>
        <w:t>” means, as of any date, with respect to either Moody’s or S&amp;P, the most recent credit rating assigned to the senior, unsecured,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credit enhanced, long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term debt of the Parent issued by such rating agency prior to such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(a) if the Debt Ratings issued by Moody’s and S&amp;P differ and such difference is less than two levels, the higher of such Debt Ratings shall apply and (b) if the Debt Ratings issued by Moody’s and S&amp;P differ and such difference is two or more levels, the Debt Rating one level below the higher of such Debt Ratings shall apply. At any time, if either of Moody’s or S&amp;P shall no longer perform the functions of a securities rating agency, then (x) the Borrower and the Administrative Agent shall promptly negotiate in good faith to agree upon a substitute rating agency or agencies (and to correlate the system of ratings of each substitute rating agency with that of the rating agency being replaced), and (y) pending such amendment, (i) the Debt Rating of the other rating agency described herein, if one has been provided, shall continue to apply and (ii) if such Debt Rating is one of the ratings identified in the definition of “Investment Grade Rating”, then the Borrower or the Parent (as applicable) will be deemed to have achieved an Investment Grade Rating during such time.</w:t>
      </w:r>
    </w:p>
    <w:p>
      <w:pPr>
        <w:spacing w:after="0" w:line="187"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Default</w:t>
      </w:r>
      <w:r>
        <w:rPr>
          <w:rFonts w:ascii="Times New Roman" w:cs="Times New Roman" w:eastAsia="Times New Roman" w:hAnsi="Times New Roman"/>
          <w:sz w:val="19"/>
          <w:szCs w:val="19"/>
          <w:color w:val="auto"/>
        </w:rPr>
        <w:t>” means any Event of Default or any event that would constitute an Event of Default but for the requirement that notice be given or time elapse or both.</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Default Right</w:t>
      </w:r>
      <w:r>
        <w:rPr>
          <w:rFonts w:ascii="Times New Roman" w:cs="Times New Roman" w:eastAsia="Times New Roman" w:hAnsi="Times New Roman"/>
          <w:sz w:val="19"/>
          <w:szCs w:val="19"/>
          <w:color w:val="auto"/>
        </w:rPr>
        <w:t>” has the meaning specified in Section 9.21(b).</w:t>
      </w:r>
    </w:p>
    <w:p>
      <w:pPr>
        <w:spacing w:after="0" w:line="214"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Defaulting Lender</w:t>
      </w:r>
      <w:r>
        <w:rPr>
          <w:rFonts w:ascii="Times New Roman" w:cs="Times New Roman" w:eastAsia="Times New Roman" w:hAnsi="Times New Roman"/>
          <w:sz w:val="19"/>
          <w:szCs w:val="19"/>
          <w:color w:val="auto"/>
        </w:rPr>
        <w:t>” means, subject to Section 2.18(d), (i) any Lender that has failed for two or more Business Days to comply with its obligations under this Agreement to make an Advance or any other payment, in each case when due hereunder (each, a “</w:t>
      </w:r>
      <w:r>
        <w:rPr>
          <w:rFonts w:ascii="Times New Roman" w:cs="Times New Roman" w:eastAsia="Times New Roman" w:hAnsi="Times New Roman"/>
          <w:sz w:val="19"/>
          <w:szCs w:val="19"/>
          <w:b w:val="1"/>
          <w:bCs w:val="1"/>
          <w:i w:val="1"/>
          <w:iCs w:val="1"/>
          <w:color w:val="auto"/>
        </w:rPr>
        <w:t>funding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obligation</w:t>
      </w:r>
      <w:r>
        <w:rPr>
          <w:rFonts w:ascii="Times New Roman" w:cs="Times New Roman" w:eastAsia="Times New Roman" w:hAnsi="Times New Roman"/>
          <w:sz w:val="19"/>
          <w:szCs w:val="19"/>
          <w:color w:val="auto"/>
        </w:rPr>
        <w:t>”), unless such Lender has notified the Administrative Agent and the Borrower in writing that such failure is the result of such Lender’s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determination that one or more conditions precedent to funding has not been satisfied (which conditions precedent, together with the applicable default, if any, shall be specifically identified in such notice), (ii) any Lender that has notified the Administrative Agent or the Borrower in writing, or has stated publicly, that it does not intend to comply with its funding obligations hereunder, unless such writing or statement states that such position is based on such Lender’s determination that one or more conditions precedent to funding cannot be satisfied (which conditions precedent, together with the applicable default, if any, shall be specifically identified in such notice or public statement), (iii) any Lender that has, for three or more Business Days after written request of the Administrative</w:t>
      </w:r>
    </w:p>
    <w:p>
      <w:pPr>
        <w:spacing w:after="0" w:line="3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08" w:name="page209"/>
    <w:bookmarkEnd w:id="208"/>
    <w:p>
      <w:pPr>
        <w:jc w:val="both"/>
        <w:spacing w:after="0" w:line="222" w:lineRule="exact"/>
        <w:rPr>
          <w:sz w:val="20"/>
          <w:szCs w:val="20"/>
          <w:color w:val="auto"/>
        </w:rPr>
      </w:pPr>
      <w:r>
        <w:rPr>
          <w:rFonts w:ascii="Times New Roman" w:cs="Times New Roman" w:eastAsia="Times New Roman" w:hAnsi="Times New Roman"/>
          <w:sz w:val="19"/>
          <w:szCs w:val="19"/>
          <w:color w:val="auto"/>
        </w:rPr>
        <w:t>Agent or the Borrower, failed to confirm in writing to the Administrative Agent and the Borrower that it will comply with its prospective funding obligations hereunder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Lender will cease to be a Defaulting Lender pursuant to this clause (iii) upon the Administrative Agent’s and the Borrower’s receipt of such written confirmation), (iv) any Lender with respect to which a Lender Insolvency Event has occurred and is continuing with respect to such Lender or its Parent Company or (v) any Lender with respect to which such Lender or its Parent Company has become the subject of a Bail-In Action,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each case, neither the reallocation of funding obligations provided for in Section 2.18(b) as a result of a Lender’s being a Defaulting Lender nor the performance by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Defaulting Lenders of such reallocated funding obligations will by themselves cause the relevant Defaulting Lender to become a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Defaulting Lender. Any determination by the Administrative Agent that a Lender is a Defaulting Lender under any of clauses (i) through (v) above will be conclusive and binding absent manifest error, and such Lender will be deemed to be a Defaulting Lender (subject to Section 2.18(d)) upon notification of such determination by the Administrative Agent to the Borrower and the Lenders.</w:t>
      </w:r>
    </w:p>
    <w:p>
      <w:pPr>
        <w:spacing w:after="0" w:line="185" w:lineRule="exact"/>
        <w:rPr>
          <w:sz w:val="20"/>
          <w:szCs w:val="20"/>
          <w:color w:val="auto"/>
        </w:rPr>
      </w:pPr>
    </w:p>
    <w:p>
      <w:pPr>
        <w:jc w:val="both"/>
        <w:ind w:right="20"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Delayed Draw Period</w:t>
      </w:r>
      <w:r>
        <w:rPr>
          <w:rFonts w:ascii="Times New Roman" w:cs="Times New Roman" w:eastAsia="Times New Roman" w:hAnsi="Times New Roman"/>
          <w:sz w:val="19"/>
          <w:szCs w:val="19"/>
          <w:color w:val="auto"/>
        </w:rPr>
        <w:t>” means the period commencing on the Closing Date and ending on the date occurring 180 days following the Closing Date.</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Departing Lender</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has the meaning specified in Section 2.19.</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Designation Notice</w:t>
      </w:r>
      <w:r>
        <w:rPr>
          <w:rFonts w:ascii="Times New Roman" w:cs="Times New Roman" w:eastAsia="Times New Roman" w:hAnsi="Times New Roman"/>
          <w:sz w:val="19"/>
          <w:szCs w:val="19"/>
          <w:color w:val="auto"/>
        </w:rPr>
        <w:t>” has the meaning specified in Section 5.01(n).</w:t>
      </w:r>
    </w:p>
    <w:p>
      <w:pPr>
        <w:spacing w:after="0" w:line="214"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Development Asset</w:t>
      </w:r>
      <w:r>
        <w:rPr>
          <w:rFonts w:ascii="Times New Roman" w:cs="Times New Roman" w:eastAsia="Times New Roman" w:hAnsi="Times New Roman"/>
          <w:sz w:val="19"/>
          <w:szCs w:val="19"/>
          <w:color w:val="auto"/>
        </w:rPr>
        <w:t>” means Real Property acquired for development into an Office Asset or a Mixed Use Asset, as applicable, that, in accordance with GAAP, would be classified as a development property on a Consolidated balance sheet of the Parent and its Subsidiaries. Upon the Borrower’s written election delivered to the Administrative Agent, any Development Asset set forth in such written election shall continue to be classified as a Development Asset hereunder until the end of the four complete consecutive fiscal quarters of the Parent following the achievement of Substantial Completion with respect to such Asset, following which such Asset shall be classified as an Office Asset or a Mixed Use Asset, as applicable, hereunder.</w:t>
      </w:r>
    </w:p>
    <w:p>
      <w:pPr>
        <w:spacing w:after="0" w:line="179"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Dividend</w:t>
      </w:r>
      <w:r>
        <w:rPr>
          <w:rFonts w:ascii="Times New Roman" w:cs="Times New Roman" w:eastAsia="Times New Roman" w:hAnsi="Times New Roman"/>
          <w:sz w:val="19"/>
          <w:szCs w:val="19"/>
          <w:color w:val="auto"/>
        </w:rPr>
        <w:t xml:space="preserve">” means, with respect to any Person for any measurement period, that such Person has during such measurement period declared or paid a dividend or distribution or returned any equity capital to its stockholders, partners, members or other holders of its Equity Interests or authorized or made any other distribution, payment or delivery of property or cash to holders of its Equity Interests as such, or redeemed, retired, purchased or otherwise acquired, directly or indirectly, for consideration any shares of any class of its Equity Interests (or any options or warrants issued by such Person with respect to its Equity Interests), or set aside any funds for any of the foregoing purposes, or has during such measurement period permitted any of its Subsidiaries to purchase or otherwise acquire for consideration any shares of any class of the Equity Interests in such Person (or any options or warrants issued by such Person with respect to its Equity Interests);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a dividend or distribution by such Person to the holders of one or more classes or series of its Equity Interests, shall not be deemed to be a dividend, if such dividend or distribution is payable solely in Equity Interests that are not Preferred Interests, or in rights, warrants or options to purchase such Equity Interests.</w:t>
      </w:r>
    </w:p>
    <w:p>
      <w:pPr>
        <w:spacing w:after="0" w:line="182"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Dividend Payout Ratio</w:t>
      </w:r>
      <w:r>
        <w:rPr>
          <w:rFonts w:ascii="Times New Roman" w:cs="Times New Roman" w:eastAsia="Times New Roman" w:hAnsi="Times New Roman"/>
          <w:sz w:val="19"/>
          <w:szCs w:val="19"/>
          <w:color w:val="auto"/>
        </w:rPr>
        <w:t>” means, at any date of determination, the ratio, expressed as a percentage, of (a) the sum of, without duplication, all Dividends paid by the Parent on account of any Equity Interests in the Parent, to (b) Funds From Operations, in each case for the fiscal quarter of the Parent most recently ended for which financial statements are required to be delivered to the Lenders pursuant to Section 5.03(b) or (c), as the case may be, multiplied by four.</w:t>
      </w:r>
    </w:p>
    <w:p>
      <w:pPr>
        <w:spacing w:after="0" w:line="177" w:lineRule="exact"/>
        <w:rPr>
          <w:sz w:val="20"/>
          <w:szCs w:val="20"/>
          <w:color w:val="auto"/>
        </w:rPr>
      </w:pPr>
    </w:p>
    <w:p>
      <w:pPr>
        <w:jc w:val="both"/>
        <w:ind w:right="20"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Division</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i w:val="1"/>
          <w:iCs w:val="1"/>
          <w:color w:val="auto"/>
        </w:rPr>
        <w:t>Divide</w:t>
      </w:r>
      <w:r>
        <w:rPr>
          <w:rFonts w:ascii="Times New Roman" w:cs="Times New Roman" w:eastAsia="Times New Roman" w:hAnsi="Times New Roman"/>
          <w:sz w:val="19"/>
          <w:szCs w:val="19"/>
          <w:color w:val="auto"/>
        </w:rPr>
        <w:t>” each refer to a division of a limited liability company into two or more newly formed or existing limited liability companies pursuant to a plan of division or otherwise.</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Dollars</w:t>
      </w:r>
      <w:r>
        <w:rPr>
          <w:rFonts w:ascii="Times New Roman" w:cs="Times New Roman" w:eastAsia="Times New Roman" w:hAnsi="Times New Roman"/>
          <w:sz w:val="19"/>
          <w:szCs w:val="19"/>
          <w:color w:val="auto"/>
        </w:rPr>
        <w:t>” and the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each means lawful currency of the United States of America.</w:t>
      </w:r>
    </w:p>
    <w:p>
      <w:pPr>
        <w:spacing w:after="0" w:line="35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09" w:name="page210"/>
    <w:bookmarkEnd w:id="209"/>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Domestic Lending Office</w:t>
      </w:r>
      <w:r>
        <w:rPr>
          <w:rFonts w:ascii="Times New Roman" w:cs="Times New Roman" w:eastAsia="Times New Roman" w:hAnsi="Times New Roman"/>
          <w:sz w:val="19"/>
          <w:szCs w:val="19"/>
          <w:color w:val="auto"/>
        </w:rPr>
        <w:t>” means, with respect to any Lender, the office of such Lender specified as its “Domestic Lending Office” opposite its name on Schedule I hereto or in the Assignment and Acceptance pursuant to which it became a Lender, as the case may be, or such other office of such Lender as such Lender may from time to time specify to the Borrower and the Administrative Agent.</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b w:val="1"/>
          <w:bCs w:val="1"/>
          <w:u w:val="single" w:color="auto"/>
          <w:color w:val="0000FF"/>
        </w:rPr>
        <w:t>“</w:t>
      </w:r>
      <w:r>
        <w:rPr>
          <w:rFonts w:ascii="Times New Roman" w:cs="Times New Roman" w:eastAsia="Times New Roman" w:hAnsi="Times New Roman"/>
          <w:sz w:val="19"/>
          <w:szCs w:val="19"/>
          <w:b w:val="1"/>
          <w:bCs w:val="1"/>
          <w:i w:val="1"/>
          <w:iCs w:val="1"/>
          <w:u w:val="single" w:color="auto"/>
          <w:color w:val="008000"/>
        </w:rPr>
        <w:t>DSS Advance</w:t>
      </w:r>
      <w:r>
        <w:rPr>
          <w:rFonts w:ascii="Times New Roman" w:cs="Times New Roman" w:eastAsia="Times New Roman" w:hAnsi="Times New Roman"/>
          <w:sz w:val="19"/>
          <w:szCs w:val="19"/>
          <w:u w:val="single" w:color="auto"/>
          <w:color w:val="008000"/>
        </w:rPr>
        <w:t>” means an Advance that bears interest at a rate based on</w:t>
      </w:r>
      <w:r>
        <w:rPr>
          <w:rFonts w:ascii="Times New Roman" w:cs="Times New Roman" w:eastAsia="Times New Roman" w:hAnsi="Times New Roman"/>
          <w:sz w:val="19"/>
          <w:szCs w:val="19"/>
          <w:b w:val="1"/>
          <w:bCs w:val="1"/>
          <w:u w:val="single" w:color="auto"/>
          <w:color w:val="0000FF"/>
        </w:rPr>
        <w:t xml:space="preserve"> Daily Simple SOFR.</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Early Release Request</w:t>
      </w:r>
      <w:r>
        <w:rPr>
          <w:rFonts w:ascii="Times New Roman" w:cs="Times New Roman" w:eastAsia="Times New Roman" w:hAnsi="Times New Roman"/>
          <w:sz w:val="19"/>
          <w:szCs w:val="19"/>
          <w:color w:val="auto"/>
        </w:rPr>
        <w:t>” has the meaning specified in Section 9.14(b).</w:t>
      </w:r>
    </w:p>
    <w:p>
      <w:pPr>
        <w:spacing w:after="0" w:line="214" w:lineRule="exact"/>
        <w:rPr>
          <w:sz w:val="20"/>
          <w:szCs w:val="20"/>
          <w:color w:val="auto"/>
        </w:rPr>
      </w:pPr>
    </w:p>
    <w:p>
      <w:pPr>
        <w:jc w:val="both"/>
        <w:ind w:firstLine="1497"/>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EBITDA</w:t>
      </w:r>
      <w:r>
        <w:rPr>
          <w:rFonts w:ascii="Times New Roman" w:cs="Times New Roman" w:eastAsia="Times New Roman" w:hAnsi="Times New Roman"/>
          <w:sz w:val="18"/>
          <w:szCs w:val="18"/>
          <w:color w:val="auto"/>
        </w:rPr>
        <w:t>” means, at any date of determination, the sum of the following items, in each case for the fiscal quarter of the Parent most recently ended for which financial statements are required to be delivered to the Lenders pursuant to Section 5.03(b) or (c), as the case may be:</w:t>
      </w:r>
    </w:p>
    <w:p>
      <w:pPr>
        <w:spacing w:after="0" w:line="1" w:lineRule="exact"/>
        <w:rPr>
          <w:sz w:val="20"/>
          <w:szCs w:val="20"/>
          <w:color w:val="auto"/>
        </w:rPr>
      </w:pPr>
    </w:p>
    <w:p>
      <w:pPr>
        <w:jc w:val="both"/>
        <w:ind w:firstLine="8"/>
        <w:spacing w:after="0" w:line="219" w:lineRule="exact"/>
        <w:tabs>
          <w:tab w:leader="none" w:pos="265"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(i) net income (or net loss) (excluding gains (or losses) from extraordinary and unusual items), (ii) interest expense, (iii) income tax expense, (iv) depreciation expense, (v) amortization expense, (vi) non-cash compensation expense as reported in the publicly filed financial statements of the Parent and (vii) to the extent subtracted in computing net income, expenses incurred in connection with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recurring items of the Parent and its Subsidiaries determined on a Consolidated basis and in accordance with GAAP for such recently ended fiscal quarter,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with respect to each Joint Venture, the JV Pro Rata Share of the sum of (i) net income (or net loss) (excluding gains (or losses) from extraordinary and unusual items), (ii) interest expense, (iii) income tax expense, (iv) depreciation expense, (v) amortization expense, and (vi) to the extent subtracted in computing net income of such Joint Venture,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recurring items, in each case of such Joint Venture determined on a Consolidated basis and in accordance with GAAP for such recently ended fiscal quarter,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(c) the portions of the amounts calculated pursuant to clauses (a) and (b) that are attributable to any Unrestricted Subsidiary;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for purposes of this definition, in the case of any acquisition or disposition of any direct or indirect interest in any asset (including through the acquisition or disposition of Equity Interests) by the Parent or any of its Subsidiaries (other than an Unrestricted Subsidiary) during such recently ended fiscal quarter, EBITDA will be adjusted (1) in the case of an acquisition, by adding thereto an amount equal to the acquired asset’s actual EBITDA (computed as if such asset was owned by the Parent or one of its Subsidiaries for the entirety of such recently ended fiscal quarter) generated during the portion of such recently ended fiscal quarter that such asset was not owned by the Parent or such Subsidiary, and (2) in the case of a disposition, by subtracting therefrom an amount equal to the actual EBITDA generated by the asset so disposed of during such recently ended fiscal quarter. Straight-line rent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leveling adjustments (excluding adjustments of rental credits (i.e., free rent)) required under GAAP, and amortization of lease inducements into rental income shall be disregarded when computing EBITDA.</w:t>
      </w:r>
    </w:p>
    <w:p>
      <w:pPr>
        <w:spacing w:after="0" w:line="1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ECP</w:t>
      </w:r>
      <w:r>
        <w:rPr>
          <w:rFonts w:ascii="Times New Roman" w:cs="Times New Roman" w:eastAsia="Times New Roman" w:hAnsi="Times New Roman"/>
          <w:sz w:val="19"/>
          <w:szCs w:val="19"/>
          <w:color w:val="auto"/>
        </w:rPr>
        <w:t>” means an eligible contract participant as defined in the Commodity Exchange Act.</w:t>
      </w:r>
    </w:p>
    <w:p>
      <w:pPr>
        <w:spacing w:after="0" w:line="214"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EEA Financial Institution</w:t>
      </w:r>
      <w:r>
        <w:rPr>
          <w:rFonts w:ascii="Times New Roman" w:cs="Times New Roman" w:eastAsia="Times New Roman" w:hAnsi="Times New Roman"/>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EEA Member Country</w:t>
      </w:r>
      <w:r>
        <w:rPr>
          <w:rFonts w:ascii="Times New Roman" w:cs="Times New Roman" w:eastAsia="Times New Roman" w:hAnsi="Times New Roman"/>
          <w:sz w:val="19"/>
          <w:szCs w:val="19"/>
          <w:color w:val="auto"/>
        </w:rPr>
        <w:t>” means any of the member states of the European Union, Iceland, Liechtenstein, and Norway.</w:t>
      </w:r>
    </w:p>
    <w:p>
      <w:pPr>
        <w:spacing w:after="0" w:line="214"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EEA Resolution Authority</w:t>
      </w:r>
      <w:r>
        <w:rPr>
          <w:rFonts w:ascii="Times New Roman" w:cs="Times New Roman" w:eastAsia="Times New Roman" w:hAnsi="Times New Roman"/>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means the first date on which the conditions set forth in Article III shall be satisfied.</w:t>
      </w:r>
    </w:p>
    <w:p>
      <w:pPr>
        <w:spacing w:after="0" w:line="35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10" w:name="page211"/>
    <w:bookmarkEnd w:id="210"/>
    <w:p>
      <w:pPr>
        <w:jc w:val="both"/>
        <w:ind w:firstLine="1497"/>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Eligible Assignee</w:t>
      </w:r>
      <w:r>
        <w:rPr>
          <w:rFonts w:ascii="Times New Roman" w:cs="Times New Roman" w:eastAsia="Times New Roman" w:hAnsi="Times New Roman"/>
          <w:sz w:val="19"/>
          <w:szCs w:val="19"/>
          <w:color w:val="auto"/>
        </w:rPr>
        <w:t xml:space="preserve">” means (i) a Lender; (ii) an Affiliate or Fund Affiliate of a Lender; (iii) a commercial bank organized under the laws of the United States, or any State thereof, respectively, and having, when considered together with any corporation controlling such commercial bank or the bank holding company (as defined in Federal Reserve Board Regulation Y) of such commercial bank, total combined capital and surplus of $2,500,000,000 or more; (iv) a savings and loan association or savings bank organized under the laws of the United States or any State thereof (A) that is in the business of lending money and extending credit under credit facilities similar to those extended under this Agreement, (B) that is operationally and procedurally able to meet the obligations of a Lender hereunder, and (C) that has a net worth of $500,000,000 or more; (v) a commercial bank organized under the laws of any other country that is a member of the OECD or has concluded special lending arrangements with the International Monetary Fund associated with its General Arrangements to Borrow, or a political subdivision of any such country, and having, when considered together with any corporation controlling such commercial bank or the bank holding company (as defined in Federal Reserve Board Regulation Y) of such commercial bank, total assets of $2,500,000,000 or more, so long as such bank is acting through a branch or agency located in the United States; (vi) the central bank of any country that is a member of the OECD; (vii) a finance company, insurance company or other financial institution or fund (whether a corporation, partnership, trust or other entity) having total assets of $500,000,000 or more and which meets the requirements set forth in subclauses (A) and (B) of clause (iv) above; and (viii) any other Person approved by the Administrative Agent and, unless a Default has occurred and is continuing at the time any assignment is effected pursuant to Section 9.07, approved by the Borrower, each such approval not to be unreasonably withheld, conditioned or delayed (and in the case of the Borrower, such approval shall be deemed given if not denied in writing within ten (10) Business Days following a request therefor);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in no circumstances shall any Loan Party, any Affiliate of a Loan Party, any natural person (or holding company, investment vehicle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trust for, or owned and operated for the primary benefit of, a natural person) or any Defaulting Lender qualify as an Eligible Assignee under this definition.</w:t>
      </w:r>
    </w:p>
    <w:p>
      <w:pPr>
        <w:spacing w:after="0" w:line="186" w:lineRule="exact"/>
        <w:rPr>
          <w:sz w:val="20"/>
          <w:szCs w:val="20"/>
          <w:color w:val="auto"/>
        </w:rPr>
      </w:pPr>
    </w:p>
    <w:p>
      <w:pPr>
        <w:jc w:val="both"/>
        <w:ind w:firstLine="1497"/>
        <w:spacing w:after="0" w:line="226"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Environmental Action</w:t>
      </w:r>
      <w:r>
        <w:rPr>
          <w:rFonts w:ascii="Times New Roman" w:cs="Times New Roman" w:eastAsia="Times New Roman" w:hAnsi="Times New Roman"/>
          <w:sz w:val="19"/>
          <w:szCs w:val="19"/>
          <w:color w:val="auto"/>
        </w:rPr>
        <w:t>” means any enforcement action, litigation, demand, demand letter, claim of liability, notice of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compliance or violation, notice of liability or potential liability, investigation, enforcement proceeding, consent order or consent agreement in each case of any Governmental Authority and relating in any way to any Environmental Law, any Environmental Permit or Hazardous Material or arising from alleged injury or threat to health or safety from exposure to Hazardous Materials or to the environment, including, without limitation,</w:t>
      </w:r>
    </w:p>
    <w:p>
      <w:pPr>
        <w:ind w:right="20" w:firstLine="8"/>
        <w:spacing w:after="0" w:line="243" w:lineRule="auto"/>
        <w:tabs>
          <w:tab w:leader="none" w:pos="265"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any governmental or regulatory authority for enforcement, cleanup, removal, response, remedial or other actions or damages and (b) by any governmental or regulatory authority or third party for damages, contribution, indemnification, cost recovery, compensation or injunctive relief.</w:t>
      </w:r>
    </w:p>
    <w:p>
      <w:pPr>
        <w:spacing w:after="0" w:line="18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Environmental Law</w:t>
      </w:r>
      <w:r>
        <w:rPr>
          <w:rFonts w:ascii="Times New Roman" w:cs="Times New Roman" w:eastAsia="Times New Roman" w:hAnsi="Times New Roman"/>
          <w:sz w:val="19"/>
          <w:szCs w:val="19"/>
          <w:color w:val="auto"/>
        </w:rPr>
        <w:t>” means any Federal, state, local or foreign statute, law, ordinance, rule, regulation, code, order, writ, judgment, injunction, decree or judicial or agency interpretation, policy or guidance relating to pollution or protection of the environment, health, safety or natural resources, including, without limitation, those relating to the use, handling, transportation, treatment, storage, disposal, release or discharge of Hazardous Materials in each case to the extent the foregoing are applicable to any Loan Party or any of their Subsidiaries or any assets of such Person.</w:t>
      </w:r>
    </w:p>
    <w:p>
      <w:pPr>
        <w:spacing w:after="0" w:line="176"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Environmental Permit</w:t>
      </w:r>
      <w:r>
        <w:rPr>
          <w:rFonts w:ascii="Times New Roman" w:cs="Times New Roman" w:eastAsia="Times New Roman" w:hAnsi="Times New Roman"/>
          <w:sz w:val="19"/>
          <w:szCs w:val="19"/>
          <w:color w:val="auto"/>
        </w:rPr>
        <w:t>” means any permit, approval, identification number, license or other authorization required under any Environmental Law.</w:t>
      </w:r>
    </w:p>
    <w:p>
      <w:pPr>
        <w:spacing w:after="0" w:line="153"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Equity Interests</w:t>
      </w:r>
      <w:r>
        <w:rPr>
          <w:rFonts w:ascii="Times New Roman" w:cs="Times New Roman" w:eastAsia="Times New Roman" w:hAnsi="Times New Roman"/>
          <w:sz w:val="19"/>
          <w:szCs w:val="19"/>
          <w:color w:val="auto"/>
        </w:rPr>
        <w:t>” means, with respect to any Person, shares of capital stock of (or other ownership or profit interests in) such Person, warrants, options or other rights for the purchase or other acquisition from such Person of shares of capital stock of (or other ownership or profit interests in) such Person, securities convertible into or exchangeable for shares of capital stock of (or other ownership or profit interests in) such Person or warrants, rights or options for the purchase or other acquisition from such Person of such shares (or such other interests), and other ownership or profit interests in such Person (including, without limitation, partnership, member or trust interests therein), whether voting or nonvoting, and whether or not such shares, warrants, options, rights or other interests are authorized or otherwise existing on any date of determination.</w:t>
      </w:r>
    </w:p>
    <w:p>
      <w:pPr>
        <w:spacing w:after="0" w:line="3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11" w:name="page212"/>
    <w:bookmarkEnd w:id="211"/>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ERISA</w:t>
      </w:r>
      <w:r>
        <w:rPr>
          <w:rFonts w:ascii="Times New Roman" w:cs="Times New Roman" w:eastAsia="Times New Roman" w:hAnsi="Times New Roman"/>
          <w:sz w:val="19"/>
          <w:szCs w:val="19"/>
          <w:color w:val="auto"/>
        </w:rPr>
        <w:t>” means the Employee Retirement Income Security Act of 1974, as amended from time to time, and the regulations promulgated and rulings issued thereunder.</w:t>
      </w:r>
    </w:p>
    <w:p>
      <w:pPr>
        <w:spacing w:after="0" w:line="153"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ERISA Affiliate</w:t>
      </w:r>
      <w:r>
        <w:rPr>
          <w:rFonts w:ascii="Times New Roman" w:cs="Times New Roman" w:eastAsia="Times New Roman" w:hAnsi="Times New Roman"/>
          <w:sz w:val="19"/>
          <w:szCs w:val="19"/>
          <w:color w:val="auto"/>
        </w:rPr>
        <w:t>” means any Person that for purposes of Title IV of ERISA is a member of the controlled group of any Loan Party, or under common control with any Loan Party, within the meaning of Section 414 of the Internal Revenue Code.</w:t>
      </w:r>
    </w:p>
    <w:p>
      <w:pPr>
        <w:spacing w:after="0" w:line="153" w:lineRule="exact"/>
        <w:rPr>
          <w:sz w:val="20"/>
          <w:szCs w:val="20"/>
          <w:color w:val="auto"/>
        </w:rPr>
      </w:pPr>
    </w:p>
    <w:p>
      <w:pPr>
        <w:jc w:val="both"/>
        <w:ind w:firstLine="1497"/>
        <w:spacing w:after="0" w:line="220"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ERISA Event</w:t>
      </w:r>
      <w:r>
        <w:rPr>
          <w:rFonts w:ascii="Times New Roman" w:cs="Times New Roman" w:eastAsia="Times New Roman" w:hAnsi="Times New Roman"/>
          <w:sz w:val="19"/>
          <w:szCs w:val="19"/>
          <w:color w:val="auto"/>
        </w:rPr>
        <w:t>” means (a)(i) the occurrence of a reportable event, within the meaning of Section 4043 of ERISA, with respect to any Plan unless the 30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day notice requirement with respect to such event has been waived by the PBGC or (ii) the requirements of Section 4043(b) of ERISA apply with respect to a contributing sponsor, as defined in Section 4001(a)(13) of ERISA, of a Plan, and an event described in paragraph (9), (10), (11), (12) or (13) 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any Loan Party or any ERISA Affiliate in the circumstances described in Section 4062(e) of ERISA; (e) the withdrawal by any Loan Party or any ERISA Affiliate from a Multiple Employer Plan during a plan year for which it was a substantial employer, as defined in Section 4001(a)(2) of ERISA; (f) the conditions for imposition of a lien under Section 303(k) of ERISA shall have been met with respect to any Plan; or (g) the institution by the PBGC of proceedings to terminate a Plan pursuant to Section 4042 of ERISA, or the occurrence of any event or condition described in Section 4042 of ERISA that constitutes grounds for the termination of, or the appointment of a trustee to administer, such Plan.</w:t>
      </w:r>
    </w:p>
    <w:p>
      <w:pPr>
        <w:spacing w:after="0" w:line="1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Erroneous Payment</w:t>
      </w:r>
      <w:r>
        <w:rPr>
          <w:rFonts w:ascii="Times New Roman" w:cs="Times New Roman" w:eastAsia="Times New Roman" w:hAnsi="Times New Roman"/>
          <w:sz w:val="19"/>
          <w:szCs w:val="19"/>
          <w:color w:val="auto"/>
        </w:rPr>
        <w:t>” has the meaning specified in Section 8.09(a).</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Erroneous Payment Deficiency Assignment</w:t>
      </w:r>
      <w:r>
        <w:rPr>
          <w:rFonts w:ascii="Times New Roman" w:cs="Times New Roman" w:eastAsia="Times New Roman" w:hAnsi="Times New Roman"/>
          <w:sz w:val="19"/>
          <w:szCs w:val="19"/>
          <w:color w:val="auto"/>
        </w:rPr>
        <w:t>” has the meaning specified in Section 8.09(d).</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Erroneous Payment Return Deficiency</w:t>
      </w:r>
      <w:r>
        <w:rPr>
          <w:rFonts w:ascii="Times New Roman" w:cs="Times New Roman" w:eastAsia="Times New Roman" w:hAnsi="Times New Roman"/>
          <w:sz w:val="19"/>
          <w:szCs w:val="19"/>
          <w:color w:val="auto"/>
        </w:rPr>
        <w:t>” has the meaning specified in Section 8.09(d).</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Erroneous Payment Subrogation Rights</w:t>
      </w:r>
      <w:r>
        <w:rPr>
          <w:rFonts w:ascii="Times New Roman" w:cs="Times New Roman" w:eastAsia="Times New Roman" w:hAnsi="Times New Roman"/>
          <w:sz w:val="19"/>
          <w:szCs w:val="19"/>
          <w:color w:val="auto"/>
        </w:rPr>
        <w:t>” has the meaning specified in Section 8.09(d).</w:t>
      </w:r>
    </w:p>
    <w:p>
      <w:pPr>
        <w:spacing w:after="0" w:line="214"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EU Bail-In Legislation Schedule</w:t>
      </w:r>
      <w:r>
        <w:rPr>
          <w:rFonts w:ascii="Times New Roman" w:cs="Times New Roman" w:eastAsia="Times New Roman" w:hAnsi="Times New Roman"/>
          <w:sz w:val="19"/>
          <w:szCs w:val="19"/>
          <w:color w:val="auto"/>
        </w:rPr>
        <w:t>” means the EU Bail-In Legislation Schedule published by the Loan Market Association (or any successor Person), as in effect from time to time.</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Events of Default</w:t>
      </w:r>
      <w:r>
        <w:rPr>
          <w:rFonts w:ascii="Times New Roman" w:cs="Times New Roman" w:eastAsia="Times New Roman" w:hAnsi="Times New Roman"/>
          <w:sz w:val="19"/>
          <w:szCs w:val="19"/>
          <w:color w:val="auto"/>
        </w:rPr>
        <w:t>” has the meaning specified in Section 6.01.</w:t>
      </w:r>
    </w:p>
    <w:p>
      <w:pPr>
        <w:spacing w:after="0" w:line="214"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Excluded Swap Obligation</w:t>
      </w:r>
      <w:r>
        <w:rPr>
          <w:rFonts w:ascii="Times New Roman" w:cs="Times New Roman" w:eastAsia="Times New Roman" w:hAnsi="Times New Roman"/>
          <w:sz w:val="19"/>
          <w:szCs w:val="19"/>
          <w:color w:val="auto"/>
        </w:rPr>
        <w:t>” means, with respect to any Guarantor,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Guaranty of such Guarantor or the grant of such security interest becomes effective with respect to such related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8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Excluded Taxes</w:t>
      </w:r>
      <w:r>
        <w:rPr>
          <w:rFonts w:ascii="Times New Roman" w:cs="Times New Roman" w:eastAsia="Times New Roman" w:hAnsi="Times New Roman"/>
          <w:sz w:val="19"/>
          <w:szCs w:val="19"/>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w:t>
      </w:r>
    </w:p>
    <w:p>
      <w:pPr>
        <w:spacing w:after="0" w:line="31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12" w:name="page213"/>
    <w:bookmarkEnd w:id="212"/>
    <w:p>
      <w:pPr>
        <w:jc w:val="both"/>
        <w:spacing w:after="0" w:line="242" w:lineRule="auto"/>
        <w:rPr>
          <w:sz w:val="20"/>
          <w:szCs w:val="20"/>
          <w:color w:val="auto"/>
        </w:rPr>
      </w:pPr>
      <w:r>
        <w:rPr>
          <w:rFonts w:ascii="Times New Roman" w:cs="Times New Roman" w:eastAsia="Times New Roman" w:hAnsi="Times New Roman"/>
          <w:sz w:val="19"/>
          <w:szCs w:val="19"/>
          <w:color w:val="auto"/>
        </w:rPr>
        <w:t>amounts payable to or for the account of such Lender with respect to an applicable interest in an Advance or Commitment pursuant to a law in effect on the date on which (i) such Lender acquires such interest in the Advance or Commitment (other than pursuant to an assignment request by the Borrower under Section 2.19 or Section 9.01(b)) or (ii) such Lender changes its lending office except in each case to the extent that, pursuant to Section 2.12, amounts with respect to such Taxes were payable either to such Lender’s assignor immediately before such Lender became a party hereto or to such Lender immediately before it changed its lending office, (c) Taxes attributable to such Recipient’s failure to comply with Section 2.12(f) and Section 2.12(g) and (d) any U.S. federal withholding Taxes imposed under FATCA.</w:t>
      </w:r>
    </w:p>
    <w:p>
      <w:pPr>
        <w:spacing w:after="0" w:line="184"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Existing Credit Agreement</w:t>
      </w:r>
      <w:r>
        <w:rPr>
          <w:rFonts w:ascii="Times New Roman" w:cs="Times New Roman" w:eastAsia="Times New Roman" w:hAnsi="Times New Roman"/>
          <w:sz w:val="19"/>
          <w:szCs w:val="19"/>
          <w:color w:val="auto"/>
        </w:rPr>
        <w:t xml:space="preserve">” means that certain </w:t>
      </w:r>
      <w:r>
        <w:rPr>
          <w:rFonts w:ascii="Times New Roman" w:cs="Times New Roman" w:eastAsia="Times New Roman" w:hAnsi="Times New Roman"/>
          <w:sz w:val="19"/>
          <w:szCs w:val="19"/>
          <w:b w:val="1"/>
          <w:bCs w:val="1"/>
          <w:u w:val="single" w:color="auto"/>
          <w:color w:val="0000FF"/>
        </w:rPr>
        <w:t>Second</w:t>
      </w:r>
      <w:r>
        <w:rPr>
          <w:rFonts w:ascii="Times New Roman" w:cs="Times New Roman" w:eastAsia="Times New Roman" w:hAnsi="Times New Roman"/>
          <w:sz w:val="19"/>
          <w:szCs w:val="19"/>
          <w:color w:val="auto"/>
        </w:rPr>
        <w:t xml:space="preserve"> Amended and Restated Credit Agreement dated as of </w:t>
      </w:r>
      <w:r>
        <w:rPr>
          <w:rFonts w:ascii="Times New Roman" w:cs="Times New Roman" w:eastAsia="Times New Roman" w:hAnsi="Times New Roman"/>
          <w:sz w:val="19"/>
          <w:szCs w:val="19"/>
          <w:color w:val="FF0000"/>
          <w:strike w:val="1"/>
        </w:rPr>
        <w:t>June 18,</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2018</w:t>
      </w:r>
      <w:r>
        <w:rPr>
          <w:rFonts w:ascii="Times New Roman" w:cs="Times New Roman" w:eastAsia="Times New Roman" w:hAnsi="Times New Roman"/>
          <w:sz w:val="19"/>
          <w:szCs w:val="19"/>
          <w:b w:val="1"/>
          <w:bCs w:val="1"/>
          <w:u w:val="single" w:color="auto"/>
          <w:color w:val="0000FF"/>
        </w:rPr>
        <w:t>July 23, 2021</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between Borrower and Citibank, N.A. as administrative agent, and certain other parties thereto, as the same has been or may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hereafter be, amended or otherwise modified, together with any replacement or successor credit facility that Borrower may enter into (including</w:t>
      </w:r>
      <w:r>
        <w:rPr>
          <w:rFonts w:ascii="Times New Roman" w:cs="Times New Roman" w:eastAsia="Times New Roman" w:hAnsi="Times New Roman"/>
          <w:sz w:val="19"/>
          <w:szCs w:val="19"/>
          <w:b w:val="1"/>
          <w:bCs w:val="1"/>
          <w:u w:val="single" w:color="auto"/>
          <w:color w:val="0000FF"/>
        </w:rPr>
        <w:t>,</w:t>
      </w:r>
      <w:r>
        <w:rPr>
          <w:rFonts w:ascii="Times New Roman" w:cs="Times New Roman" w:eastAsia="Times New Roman" w:hAnsi="Times New Roman"/>
          <w:sz w:val="19"/>
          <w:szCs w:val="19"/>
          <w:color w:val="000000"/>
        </w:rPr>
        <w:t xml:space="preserve"> without limitation, any amendment and restatement of the Credit Agreement referred to above).</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Existing Credit Agreement Provisions</w:t>
      </w:r>
      <w:r>
        <w:rPr>
          <w:rFonts w:ascii="Times New Roman" w:cs="Times New Roman" w:eastAsia="Times New Roman" w:hAnsi="Times New Roman"/>
          <w:sz w:val="19"/>
          <w:szCs w:val="19"/>
          <w:color w:val="auto"/>
        </w:rPr>
        <w:t>” has the meaning specified in Section 9.01(e).</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Existing Debt</w:t>
      </w:r>
      <w:r>
        <w:rPr>
          <w:rFonts w:ascii="Times New Roman" w:cs="Times New Roman" w:eastAsia="Times New Roman" w:hAnsi="Times New Roman"/>
          <w:sz w:val="19"/>
          <w:szCs w:val="19"/>
          <w:color w:val="auto"/>
        </w:rPr>
        <w:t>” means Debt for borrowed money of each Loan Party and its Subsidiaries outstanding immediately prior to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Closing Date.</w:t>
      </w:r>
    </w:p>
    <w:p>
      <w:pPr>
        <w:spacing w:after="0" w:line="188"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Existing Revolving Credit Agreement</w:t>
      </w:r>
      <w:r>
        <w:rPr>
          <w:rFonts w:ascii="Times New Roman" w:cs="Times New Roman" w:eastAsia="Times New Roman" w:hAnsi="Times New Roman"/>
          <w:sz w:val="19"/>
          <w:szCs w:val="19"/>
          <w:color w:val="auto"/>
        </w:rPr>
        <w:t>” means that certain Credit Agreement dated as of June 3, 2024 among the Borrower, the Parent, the other guarantors party thereto, the lenders party thereto and Citibank, N.A. as administrative agent, as the same has been or may hereafter be, amended or otherwise modified, together with any replacement or successor facility that Borrower may enter into (including</w:t>
      </w:r>
      <w:r>
        <w:rPr>
          <w:rFonts w:ascii="Times New Roman" w:cs="Times New Roman" w:eastAsia="Times New Roman" w:hAnsi="Times New Roman"/>
          <w:sz w:val="19"/>
          <w:szCs w:val="19"/>
          <w:b w:val="1"/>
          <w:bCs w:val="1"/>
          <w:u w:val="single" w:color="auto"/>
          <w:color w:val="0000FF"/>
        </w:rPr>
        <w:t>,</w:t>
      </w:r>
      <w:r>
        <w:rPr>
          <w:rFonts w:ascii="Times New Roman" w:cs="Times New Roman" w:eastAsia="Times New Roman" w:hAnsi="Times New Roman"/>
          <w:sz w:val="19"/>
          <w:szCs w:val="19"/>
          <w:color w:val="auto"/>
        </w:rPr>
        <w:t xml:space="preserve"> without limitation, any amendment and restatement of the Credit Agreement referred to above).</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Extension Date</w:t>
      </w:r>
      <w:r>
        <w:rPr>
          <w:rFonts w:ascii="Times New Roman" w:cs="Times New Roman" w:eastAsia="Times New Roman" w:hAnsi="Times New Roman"/>
          <w:sz w:val="19"/>
          <w:szCs w:val="19"/>
          <w:color w:val="auto"/>
        </w:rPr>
        <w:t>” has the meaning specified in Section 2.16.</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Extension Fee</w:t>
      </w:r>
      <w:r>
        <w:rPr>
          <w:rFonts w:ascii="Times New Roman" w:cs="Times New Roman" w:eastAsia="Times New Roman" w:hAnsi="Times New Roman"/>
          <w:sz w:val="19"/>
          <w:szCs w:val="19"/>
          <w:color w:val="auto"/>
        </w:rPr>
        <w:t>” has the meaning specified in Section 2.08(d).</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Extension Request</w:t>
      </w:r>
      <w:r>
        <w:rPr>
          <w:rFonts w:ascii="Times New Roman" w:cs="Times New Roman" w:eastAsia="Times New Roman" w:hAnsi="Times New Roman"/>
          <w:sz w:val="19"/>
          <w:szCs w:val="19"/>
          <w:color w:val="auto"/>
        </w:rPr>
        <w:t>” has the meaning specified in Section 2.16.</w:t>
      </w:r>
    </w:p>
    <w:p>
      <w:pPr>
        <w:spacing w:after="0" w:line="214"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Facility</w:t>
      </w:r>
      <w:r>
        <w:rPr>
          <w:rFonts w:ascii="Times New Roman" w:cs="Times New Roman" w:eastAsia="Times New Roman" w:hAnsi="Times New Roman"/>
          <w:sz w:val="19"/>
          <w:szCs w:val="19"/>
          <w:color w:val="auto"/>
        </w:rPr>
        <w:t>” means, at any time, the aggregate amount of the Lenders’ Commitments and, without duplication, Advances outstanding at such time.</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Facility Exposure</w:t>
      </w:r>
      <w:r>
        <w:rPr>
          <w:rFonts w:ascii="Times New Roman" w:cs="Times New Roman" w:eastAsia="Times New Roman" w:hAnsi="Times New Roman"/>
          <w:sz w:val="19"/>
          <w:szCs w:val="19"/>
          <w:color w:val="auto"/>
        </w:rPr>
        <w:t>” means, at any time, the aggregate principal amount of all outstanding Advances.</w:t>
      </w:r>
    </w:p>
    <w:p>
      <w:pPr>
        <w:spacing w:after="0" w:line="21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FATCA</w:t>
      </w:r>
      <w:r>
        <w:rPr>
          <w:rFonts w:ascii="Times New Roman" w:cs="Times New Roman" w:eastAsia="Times New Roman" w:hAnsi="Times New Roman"/>
          <w:sz w:val="19"/>
          <w:szCs w:val="19"/>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 or application thereof and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w:t>
      </w:r>
    </w:p>
    <w:p>
      <w:pPr>
        <w:spacing w:after="0" w:line="176"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Federal Funds Open Rate</w:t>
      </w:r>
      <w:r>
        <w:rPr>
          <w:rFonts w:ascii="Times New Roman" w:cs="Times New Roman" w:eastAsia="Times New Roman" w:hAnsi="Times New Roman"/>
          <w:sz w:val="19"/>
          <w:szCs w:val="19"/>
          <w:color w:val="auto"/>
        </w:rPr>
        <w:t>” means, for any day, the rate per annum (based on a year of 360 days and actual days elapsed) which is the daily federal funds open rate as quoted by ICAP North America, Inc. (or any successor) as set forth on the Bloomberg Screen BTMM for that day opposite the caption “OPEN” (or on such other substitute Bloomberg Screen that displays such rate), or as set forth on such other recognized electronic source used for the purpose of displaying such rate as selected by the Administrative Agent (an “</w:t>
      </w:r>
      <w:r>
        <w:rPr>
          <w:rFonts w:ascii="Times New Roman" w:cs="Times New Roman" w:eastAsia="Times New Roman" w:hAnsi="Times New Roman"/>
          <w:sz w:val="19"/>
          <w:szCs w:val="19"/>
          <w:b w:val="1"/>
          <w:bCs w:val="1"/>
          <w:i w:val="1"/>
          <w:iCs w:val="1"/>
          <w:color w:val="auto"/>
        </w:rPr>
        <w:t>Alternate Source</w:t>
      </w:r>
      <w:r>
        <w:rPr>
          <w:rFonts w:ascii="Times New Roman" w:cs="Times New Roman" w:eastAsia="Times New Roman" w:hAnsi="Times New Roman"/>
          <w:sz w:val="19"/>
          <w:szCs w:val="19"/>
          <w:color w:val="auto"/>
        </w:rPr>
        <w:t>”) (or if such rate for such day does not appear on the Bloomberg Screen BTMM (or any substitute screen) or on any Alternate Source, or if at any time, for any reason, a Bloomberg Screen BTMM (or any substitute screen) or any Alternate Source does not exist, a comparable replacement rate determined by</w:t>
      </w:r>
    </w:p>
    <w:p>
      <w:pPr>
        <w:spacing w:after="0" w:line="3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3" w:name="page214"/>
    <w:bookmarkEnd w:id="213"/>
    <w:p>
      <w:pPr>
        <w:jc w:val="both"/>
        <w:spacing w:after="0" w:line="245" w:lineRule="auto"/>
        <w:rPr>
          <w:sz w:val="20"/>
          <w:szCs w:val="20"/>
          <w:color w:val="auto"/>
        </w:rPr>
      </w:pPr>
      <w:r>
        <w:rPr>
          <w:rFonts w:ascii="Times New Roman" w:cs="Times New Roman" w:eastAsia="Times New Roman" w:hAnsi="Times New Roman"/>
          <w:sz w:val="19"/>
          <w:szCs w:val="19"/>
          <w:color w:val="auto"/>
        </w:rPr>
        <w:t xml:space="preserve">Agent at such time (which determination is conclusive absent manifest error));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if such day is not a Business Day, the Federal Funds Open Rate for such day will be the “open” rate on the immediately preceding Business Day. The rate of interest charged will be adjusted as of each Business Day based on changes in the Federal Funds Open Rate without notice to the Borrower. Notwithstanding the foregoing, if the Federal Funds Open Rate as determined under any method above would be less than the Floor, such rate shall be deemed to be the Floor for purposes of this Agreement.</w:t>
      </w:r>
    </w:p>
    <w:p>
      <w:pPr>
        <w:spacing w:after="0" w:line="179"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Fee Letter</w:t>
      </w:r>
      <w:r>
        <w:rPr>
          <w:rFonts w:ascii="Times New Roman" w:cs="Times New Roman" w:eastAsia="Times New Roman" w:hAnsi="Times New Roman"/>
          <w:sz w:val="19"/>
          <w:szCs w:val="19"/>
          <w:color w:val="auto"/>
        </w:rPr>
        <w:t>” means any separate letter agreement executed and delivered by the Borrower or an Affiliate of the Borrower and to which the Administrative Agent or an Arranger is a party, as the same may be amended, restated or replaced from time to time.</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Fiscal Year</w:t>
      </w:r>
      <w:r>
        <w:rPr>
          <w:rFonts w:ascii="Times New Roman" w:cs="Times New Roman" w:eastAsia="Times New Roman" w:hAnsi="Times New Roman"/>
          <w:sz w:val="19"/>
          <w:szCs w:val="19"/>
          <w:color w:val="auto"/>
        </w:rPr>
        <w:t>” means a fiscal year of the Parent and its Consolidated Subsidiaries ending on December 31 in any calendar year.</w:t>
      </w:r>
    </w:p>
    <w:p>
      <w:pPr>
        <w:spacing w:after="0" w:line="214"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Fixed Charge Coverage Ratio</w:t>
      </w:r>
      <w:r>
        <w:rPr>
          <w:rFonts w:ascii="Times New Roman" w:cs="Times New Roman" w:eastAsia="Times New Roman" w:hAnsi="Times New Roman"/>
          <w:sz w:val="19"/>
          <w:szCs w:val="19"/>
          <w:color w:val="auto"/>
        </w:rPr>
        <w:t xml:space="preserve">” means, at any date of determination, the ratio of (a) Adjusted EBITDA, to (b) the sum of (i) interest (including capitalized interest) payable in cash on all Debt for borrowed money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(ii) scheduled amortization of principal amounts of all Debt for borrowed money payable (not including balloon maturity amounts), in each case not attributable to an Unrestricted Subsidiary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(iii) all cash dividends payable on any </w:t>
      </w:r>
      <w:r>
        <w:rPr>
          <w:rFonts w:ascii="Times New Roman" w:cs="Times New Roman" w:eastAsia="Times New Roman" w:hAnsi="Times New Roman"/>
          <w:sz w:val="19"/>
          <w:szCs w:val="19"/>
          <w:color w:val="FF0000"/>
          <w:strike w:val="1"/>
        </w:rPr>
        <w:t>preferred Equity</w:t>
      </w:r>
      <w:r>
        <w:rPr>
          <w:rFonts w:ascii="Times New Roman" w:cs="Times New Roman" w:eastAsia="Times New Roman" w:hAnsi="Times New Roman"/>
          <w:sz w:val="19"/>
          <w:szCs w:val="19"/>
          <w:b w:val="1"/>
          <w:bCs w:val="1"/>
          <w:u w:val="single" w:color="auto"/>
          <w:color w:val="0000FF"/>
        </w:rPr>
        <w:t>Preferred</w:t>
      </w:r>
      <w:r>
        <w:rPr>
          <w:rFonts w:ascii="Times New Roman" w:cs="Times New Roman" w:eastAsia="Times New Roman" w:hAnsi="Times New Roman"/>
          <w:sz w:val="19"/>
          <w:szCs w:val="19"/>
          <w:color w:val="auto"/>
        </w:rPr>
        <w:t xml:space="preserve"> Interests, (which, for the avoidance of doubt, shall include </w:t>
      </w:r>
      <w:r>
        <w:rPr>
          <w:rFonts w:ascii="Times New Roman" w:cs="Times New Roman" w:eastAsia="Times New Roman" w:hAnsi="Times New Roman"/>
          <w:sz w:val="19"/>
          <w:szCs w:val="19"/>
          <w:color w:val="FF0000"/>
          <w:strike w:val="1"/>
        </w:rPr>
        <w:t>preferred Equity</w:t>
      </w:r>
      <w:r>
        <w:rPr>
          <w:rFonts w:ascii="Times New Roman" w:cs="Times New Roman" w:eastAsia="Times New Roman" w:hAnsi="Times New Roman"/>
          <w:sz w:val="19"/>
          <w:szCs w:val="19"/>
          <w:b w:val="1"/>
          <w:bCs w:val="1"/>
          <w:u w:val="single" w:color="auto"/>
          <w:color w:val="0000FF"/>
        </w:rPr>
        <w:t>Preferred</w:t>
      </w:r>
      <w:r>
        <w:rPr>
          <w:rFonts w:ascii="Times New Roman" w:cs="Times New Roman" w:eastAsia="Times New Roman" w:hAnsi="Times New Roman"/>
          <w:sz w:val="19"/>
          <w:szCs w:val="19"/>
          <w:color w:val="auto"/>
        </w:rPr>
        <w:t xml:space="preserve"> Interests structured as trust preferred securities) and not attributable to an Unrestricted Subsidiary but excluding redemption payments or charges in connection with the redemption of </w:t>
      </w:r>
      <w:r>
        <w:rPr>
          <w:rFonts w:ascii="Times New Roman" w:cs="Times New Roman" w:eastAsia="Times New Roman" w:hAnsi="Times New Roman"/>
          <w:sz w:val="19"/>
          <w:szCs w:val="19"/>
          <w:color w:val="FF0000"/>
          <w:strike w:val="1"/>
        </w:rPr>
        <w:t>preferred Equity</w:t>
      </w:r>
      <w:r>
        <w:rPr>
          <w:rFonts w:ascii="Times New Roman" w:cs="Times New Roman" w:eastAsia="Times New Roman" w:hAnsi="Times New Roman"/>
          <w:sz w:val="19"/>
          <w:szCs w:val="19"/>
          <w:b w:val="1"/>
          <w:bCs w:val="1"/>
          <w:u w:val="single" w:color="auto"/>
          <w:color w:val="0000FF"/>
        </w:rPr>
        <w:t>Preferred</w:t>
      </w:r>
      <w:r>
        <w:rPr>
          <w:rFonts w:ascii="Times New Roman" w:cs="Times New Roman" w:eastAsia="Times New Roman" w:hAnsi="Times New Roman"/>
          <w:sz w:val="19"/>
          <w:szCs w:val="19"/>
          <w:color w:val="auto"/>
        </w:rPr>
        <w:t xml:space="preserve"> Interests, in the case of each of clauses (a) and (b), of or by the Parent and its Consolidated Subsidiaries and in the case of clause (b), for the fiscal quarter of the Parent most recently ended for which financial statements are required to be delivered to the Lenders pursuant to Section 5.03(b) or (c), as the case may, be multiplied by four.</w:t>
      </w:r>
    </w:p>
    <w:p>
      <w:pPr>
        <w:spacing w:after="0" w:line="182"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Floor</w:t>
      </w:r>
      <w:r>
        <w:rPr>
          <w:rFonts w:ascii="Times New Roman" w:cs="Times New Roman" w:eastAsia="Times New Roman" w:hAnsi="Times New Roman"/>
          <w:sz w:val="19"/>
          <w:szCs w:val="19"/>
          <w:color w:val="auto"/>
        </w:rPr>
        <w:t xml:space="preserve">” means, with respect to (a)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Daily Simple SOFR and the Federal Funds Rate, zero percent (0.00%) per annum and (b) the Base Rate, one percent (1.00%) per annum.</w:t>
      </w:r>
    </w:p>
    <w:p>
      <w:pPr>
        <w:spacing w:after="0" w:line="1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Foreign Lender</w:t>
      </w:r>
      <w:r>
        <w:rPr>
          <w:rFonts w:ascii="Times New Roman" w:cs="Times New Roman" w:eastAsia="Times New Roman" w:hAnsi="Times New Roman"/>
          <w:sz w:val="19"/>
          <w:szCs w:val="19"/>
          <w:color w:val="auto"/>
        </w:rPr>
        <w:t>” has the meaning specified in Section 2.12(g)(ii).</w:t>
      </w:r>
    </w:p>
    <w:p>
      <w:pPr>
        <w:spacing w:after="0" w:line="214"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Fund Affiliate</w:t>
      </w:r>
      <w:r>
        <w:rPr>
          <w:rFonts w:ascii="Times New Roman" w:cs="Times New Roman" w:eastAsia="Times New Roman" w:hAnsi="Times New Roman"/>
          <w:sz w:val="19"/>
          <w:szCs w:val="19"/>
          <w:color w:val="auto"/>
        </w:rPr>
        <w:t>” means, with respect to any Lender that is a fund that invests in bank loans, any other fund that invests in bank loans and is advised or managed by the same investment advisor as such Lender or by an Affiliate of such investment advisor.</w:t>
      </w:r>
    </w:p>
    <w:p>
      <w:pPr>
        <w:spacing w:after="0" w:line="15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Funds From Operations</w:t>
      </w:r>
      <w:r>
        <w:rPr>
          <w:rFonts w:ascii="Times New Roman" w:cs="Times New Roman" w:eastAsia="Times New Roman" w:hAnsi="Times New Roman"/>
          <w:sz w:val="19"/>
          <w:szCs w:val="19"/>
          <w:color w:val="auto"/>
        </w:rPr>
        <w:t>” means, with respect to the Parent, net income (computed in accordance with GAAP), excluding from such amount (i) gains (or losses) from sales of property and extraordinary and unusual items, (ii) the amortization of lease inducements into rental income, (iii) non-cash compensation expense as reported in the publicly filed financial statements of the Parent, (iv) to the extent subtracted in computing net income, non-recurring items of the Parent and its Subsidiaries determined on a consolidated basis and in accordance with GAAP and (v) depreciation and amortization, and after adjustments for unconsolidated Joint Ventures. Adjustments for unconsolidated Joint Ventures will be calculated to reflect funds from operations on the same basis.</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GAAP</w:t>
      </w:r>
      <w:r>
        <w:rPr>
          <w:rFonts w:ascii="Times New Roman" w:cs="Times New Roman" w:eastAsia="Times New Roman" w:hAnsi="Times New Roman"/>
          <w:sz w:val="19"/>
          <w:szCs w:val="19"/>
          <w:color w:val="auto"/>
        </w:rPr>
        <w:t>” has the meaning specified in Section 1.03.</w:t>
      </w:r>
    </w:p>
    <w:p>
      <w:pPr>
        <w:spacing w:after="0" w:line="214"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Good Faith Contest</w:t>
      </w:r>
      <w:r>
        <w:rPr>
          <w:rFonts w:ascii="Times New Roman" w:cs="Times New Roman" w:eastAsia="Times New Roman" w:hAnsi="Times New Roman"/>
          <w:sz w:val="19"/>
          <w:szCs w:val="19"/>
          <w:color w:val="auto"/>
        </w:rPr>
        <w:t>” means the contest of an item as to which: (a) such item is contested in good faith, by appropriate proceedings, (b) reserves that are adequate are established with respect to such contested item in accordance with GAAP (unless the applicable Borrower Parties have assets that are reasonably sufficient to satisfy such contested item, if applicable) and (c) the failure to pay or comply with such contested item during the period of such contest could not reasonably be expected to result in a Material Adverse Effect.</w:t>
      </w:r>
    </w:p>
    <w:p>
      <w:pPr>
        <w:spacing w:after="0" w:line="3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214" w:name="page215"/>
    <w:bookmarkEnd w:id="214"/>
    <w:p>
      <w:pPr>
        <w:jc w:val="both"/>
        <w:ind w:firstLine="1497"/>
        <w:spacing w:after="0" w:line="225"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Governmental Authority</w:t>
      </w:r>
      <w:r>
        <w:rPr>
          <w:rFonts w:ascii="Times New Roman" w:cs="Times New Roman" w:eastAsia="Times New Roman" w:hAnsi="Times New Roman"/>
          <w:sz w:val="19"/>
          <w:szCs w:val="19"/>
          <w:color w:val="auto"/>
        </w:rPr>
        <w:t>” means the government of the United States of America or any other nation, or of any political subdivision thereof, whether state or local, and any Federal, state, municipal, national, local or other governmental department, agency, authority, commission, instrumentality, board, bureau, regulatory body, court, central bank or other entity or officer exercising executive, legislative, judicial, taxing, regulatory or administrative powers or functions of or pertaining to government (including any supra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national bodies such as the European Union or the European Central Bank).</w:t>
      </w:r>
    </w:p>
    <w:p>
      <w:pPr>
        <w:spacing w:after="0" w:line="185"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Guaranteed Hedge Agreement</w:t>
      </w:r>
      <w:r>
        <w:rPr>
          <w:rFonts w:ascii="Times New Roman" w:cs="Times New Roman" w:eastAsia="Times New Roman" w:hAnsi="Times New Roman"/>
          <w:sz w:val="19"/>
          <w:szCs w:val="19"/>
          <w:color w:val="auto"/>
        </w:rPr>
        <w:t>” means any Hedge Agreement permitted under Article V that is entered into by and between any Loan Party and any Hedge Bank.</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Guaranteed Obligations</w:t>
      </w:r>
      <w:r>
        <w:rPr>
          <w:rFonts w:ascii="Times New Roman" w:cs="Times New Roman" w:eastAsia="Times New Roman" w:hAnsi="Times New Roman"/>
          <w:sz w:val="19"/>
          <w:szCs w:val="19"/>
          <w:color w:val="auto"/>
        </w:rPr>
        <w:t>” has the meaning specified in Section 7.01.</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Guarantors</w:t>
      </w:r>
      <w:r>
        <w:rPr>
          <w:rFonts w:ascii="Times New Roman" w:cs="Times New Roman" w:eastAsia="Times New Roman" w:hAnsi="Times New Roman"/>
          <w:sz w:val="19"/>
          <w:szCs w:val="19"/>
          <w:color w:val="auto"/>
        </w:rPr>
        <w:t>” has the meaning specified in the recital of parties to this Agreement.</w:t>
      </w:r>
    </w:p>
    <w:p>
      <w:pPr>
        <w:spacing w:after="0" w:line="214"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Guaranty</w:t>
      </w:r>
      <w:r>
        <w:rPr>
          <w:rFonts w:ascii="Times New Roman" w:cs="Times New Roman" w:eastAsia="Times New Roman" w:hAnsi="Times New Roman"/>
          <w:sz w:val="19"/>
          <w:szCs w:val="19"/>
          <w:color w:val="auto"/>
        </w:rPr>
        <w:t>” means the Guaranty by the Guarantors pursuant to Article VII, together with any and all Guaranty Supplements, if any, delivered pursuant to Section 5.01(j) or Section 7.05.</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Guaranty Supplement</w:t>
      </w:r>
      <w:r>
        <w:rPr>
          <w:rFonts w:ascii="Times New Roman" w:cs="Times New Roman" w:eastAsia="Times New Roman" w:hAnsi="Times New Roman"/>
          <w:sz w:val="19"/>
          <w:szCs w:val="19"/>
          <w:color w:val="auto"/>
        </w:rPr>
        <w:t>” means a supplement entered into by an Additional Guarantor in substantially the form of Exhibit 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hereto.</w:t>
      </w:r>
    </w:p>
    <w:p>
      <w:pPr>
        <w:spacing w:after="0" w:line="164" w:lineRule="exact"/>
        <w:rPr>
          <w:sz w:val="20"/>
          <w:szCs w:val="20"/>
          <w:color w:val="auto"/>
        </w:rPr>
      </w:pPr>
    </w:p>
    <w:p>
      <w:pPr>
        <w:jc w:val="both"/>
        <w:ind w:right="20" w:firstLine="1497"/>
        <w:spacing w:after="0" w:line="244"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Hazardous Materials</w:t>
      </w:r>
      <w:r>
        <w:rPr>
          <w:rFonts w:ascii="Times New Roman" w:cs="Times New Roman" w:eastAsia="Times New Roman" w:hAnsi="Times New Roman"/>
          <w:sz w:val="19"/>
          <w:szCs w:val="19"/>
          <w:color w:val="auto"/>
        </w:rPr>
        <w:t>” means (a) petroleum or petroleum products, by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products or breakdown products, radioactive materials, asbestos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containing materials, polychlorinated biphenyls, radon gas and mold and (b) any other chemicals, materials or substances designated, classified or regulated as hazardous or toxic or as a pollutant or contaminant under any Environmental Law.</w:t>
      </w:r>
    </w:p>
    <w:p>
      <w:pPr>
        <w:spacing w:after="0" w:line="183"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Hedge Agreements</w:t>
      </w:r>
      <w:r>
        <w:rPr>
          <w:rFonts w:ascii="Times New Roman" w:cs="Times New Roman" w:eastAsia="Times New Roman" w:hAnsi="Times New Roman"/>
          <w:sz w:val="19"/>
          <w:szCs w:val="19"/>
          <w:color w:val="auto"/>
        </w:rPr>
        <w:t>” means interest rate swap, cap or collar agreements, interest rate future or option contracts, currency swap agreements, currency future or option contracts and other hedging agreements.</w:t>
      </w:r>
    </w:p>
    <w:p>
      <w:pPr>
        <w:spacing w:after="0" w:line="153"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Hedge Bank</w:t>
      </w:r>
      <w:r>
        <w:rPr>
          <w:rFonts w:ascii="Times New Roman" w:cs="Times New Roman" w:eastAsia="Times New Roman" w:hAnsi="Times New Roman"/>
          <w:sz w:val="19"/>
          <w:szCs w:val="19"/>
          <w:color w:val="auto"/>
        </w:rPr>
        <w:t xml:space="preserve">” means any Lender or an Affiliate of a Lender in its capacity as a party to a Guaranteed Hedge Agreement, but only for so long as the applicable Lender continues to be a Lender after entering into such Guaranteed Hedge Agreement;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so long as any Lender is a Defaulting Lender, neither such Lender nor any Affiliate of such Lender will be a Hedge Bank with respect to any Hedge Agreement.</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Increase Date</w:t>
      </w:r>
      <w:r>
        <w:rPr>
          <w:rFonts w:ascii="Times New Roman" w:cs="Times New Roman" w:eastAsia="Times New Roman" w:hAnsi="Times New Roman"/>
          <w:sz w:val="19"/>
          <w:szCs w:val="19"/>
          <w:color w:val="auto"/>
        </w:rPr>
        <w:t>” has the meaning specified in Section 2.17(a).</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Increasing Lender</w:t>
      </w:r>
      <w:r>
        <w:rPr>
          <w:rFonts w:ascii="Times New Roman" w:cs="Times New Roman" w:eastAsia="Times New Roman" w:hAnsi="Times New Roman"/>
          <w:sz w:val="19"/>
          <w:szCs w:val="19"/>
          <w:color w:val="auto"/>
        </w:rPr>
        <w:t>” has the meaning specified in Section 2.17(d).</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Indemnified Costs</w:t>
      </w:r>
      <w:r>
        <w:rPr>
          <w:rFonts w:ascii="Times New Roman" w:cs="Times New Roman" w:eastAsia="Times New Roman" w:hAnsi="Times New Roman"/>
          <w:sz w:val="19"/>
          <w:szCs w:val="19"/>
          <w:color w:val="auto"/>
        </w:rPr>
        <w:t>” has the meaning specified in Section 8.05(a).</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Indemnified Party</w:t>
      </w:r>
      <w:r>
        <w:rPr>
          <w:rFonts w:ascii="Times New Roman" w:cs="Times New Roman" w:eastAsia="Times New Roman" w:hAnsi="Times New Roman"/>
          <w:sz w:val="19"/>
          <w:szCs w:val="19"/>
          <w:color w:val="auto"/>
        </w:rPr>
        <w:t>” has the meaning specified in Section 7.06(a).</w:t>
      </w:r>
    </w:p>
    <w:p>
      <w:pPr>
        <w:spacing w:after="0" w:line="214" w:lineRule="exact"/>
        <w:rPr>
          <w:sz w:val="20"/>
          <w:szCs w:val="20"/>
          <w:color w:val="auto"/>
        </w:rPr>
      </w:pPr>
    </w:p>
    <w:p>
      <w:pPr>
        <w:jc w:val="both"/>
        <w:ind w:right="20"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Indemnified Taxes</w:t>
      </w:r>
      <w:r>
        <w:rPr>
          <w:rFonts w:ascii="Times New Roman" w:cs="Times New Roman" w:eastAsia="Times New Roman" w:hAnsi="Times New Roman"/>
          <w:sz w:val="19"/>
          <w:szCs w:val="19"/>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Information</w:t>
      </w:r>
      <w:r>
        <w:rPr>
          <w:rFonts w:ascii="Times New Roman" w:cs="Times New Roman" w:eastAsia="Times New Roman" w:hAnsi="Times New Roman"/>
          <w:sz w:val="19"/>
          <w:szCs w:val="19"/>
          <w:color w:val="auto"/>
        </w:rPr>
        <w:t>” has the meaning specified in Section 9.13.</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Initial Borrowing</w:t>
      </w:r>
      <w:r>
        <w:rPr>
          <w:rFonts w:ascii="Times New Roman" w:cs="Times New Roman" w:eastAsia="Times New Roman" w:hAnsi="Times New Roman"/>
          <w:sz w:val="19"/>
          <w:szCs w:val="19"/>
          <w:color w:val="auto"/>
        </w:rPr>
        <w:t>” means the initial Borrowing hereunder pursuant to Section 2.01.</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Initial Lenders</w:t>
      </w:r>
      <w:r>
        <w:rPr>
          <w:rFonts w:ascii="Times New Roman" w:cs="Times New Roman" w:eastAsia="Times New Roman" w:hAnsi="Times New Roman"/>
          <w:sz w:val="19"/>
          <w:szCs w:val="19"/>
          <w:color w:val="auto"/>
        </w:rPr>
        <w:t>” has the meaning specified in the recital of parties to this Agreement.</w:t>
      </w:r>
    </w:p>
    <w:p>
      <w:pPr>
        <w:spacing w:after="0" w:line="35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15" w:name="page216"/>
    <w:bookmarkEnd w:id="215"/>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Insufficiency</w:t>
      </w:r>
      <w:r>
        <w:rPr>
          <w:rFonts w:ascii="Times New Roman" w:cs="Times New Roman" w:eastAsia="Times New Roman" w:hAnsi="Times New Roman"/>
          <w:sz w:val="19"/>
          <w:szCs w:val="19"/>
          <w:color w:val="auto"/>
        </w:rPr>
        <w:t>” means, with respect to any Plan, the amount, if any, of its unfunded benefit liabilities, as defined in Section 4001(a)(18) of ERISA.</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Intellectual Property</w:t>
      </w:r>
      <w:r>
        <w:rPr>
          <w:rFonts w:ascii="Times New Roman" w:cs="Times New Roman" w:eastAsia="Times New Roman" w:hAnsi="Times New Roman"/>
          <w:sz w:val="19"/>
          <w:szCs w:val="19"/>
          <w:color w:val="auto"/>
        </w:rPr>
        <w:t>” has the meaning specified in Section 4.01(aa).</w:t>
      </w:r>
    </w:p>
    <w:p>
      <w:pPr>
        <w:spacing w:after="0" w:line="214"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Interest Period</w:t>
      </w:r>
      <w:r>
        <w:rPr>
          <w:rFonts w:ascii="Times New Roman" w:cs="Times New Roman" w:eastAsia="Times New Roman" w:hAnsi="Times New Roman"/>
          <w:sz w:val="19"/>
          <w:szCs w:val="19"/>
          <w:color w:val="auto"/>
        </w:rPr>
        <w:t xml:space="preserve">” means, for each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 comprising part of the same Borrowing, the period commencing on the date of such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 or the date of the Conversion of any Base Rate Advance into such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 and ending on the last day of the period selected by the Borrower pursuant to the provisions below and, thereafter, each subsequent period commencing on the last day of the immediately preceding Interest Period and ending on the last day of the period selected by the Borrower pursuant to the provisions below. The duration of each such Interest Period shall be one, three or six months; in each case subject to availability and as the Borrower may, upon notice received by the Administrative Agent not later than 12:00 Noon (New York City time) on the third Business Day prior to the first day of such Interest Period, select;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w:t>
      </w:r>
    </w:p>
    <w:p>
      <w:pPr>
        <w:spacing w:after="0" w:line="186" w:lineRule="exact"/>
        <w:rPr>
          <w:sz w:val="20"/>
          <w:szCs w:val="20"/>
          <w:color w:val="auto"/>
        </w:rPr>
      </w:pPr>
    </w:p>
    <w:p>
      <w:pPr>
        <w:ind w:left="2040" w:hanging="535"/>
        <w:spacing w:after="0"/>
        <w:tabs>
          <w:tab w:leader="none" w:pos="2040" w:val="left"/>
        </w:tabs>
        <w:numPr>
          <w:ilvl w:val="0"/>
          <w:numId w:val="16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Borrower may not select any Interest Period with respect to any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 that ends after the</w:t>
      </w:r>
    </w:p>
    <w:p>
      <w:pPr>
        <w:spacing w:after="0" w:line="17" w:lineRule="exact"/>
        <w:rPr>
          <w:rFonts w:ascii="Times New Roman" w:cs="Times New Roman" w:eastAsia="Times New Roman" w:hAnsi="Times New Roman"/>
          <w:sz w:val="19"/>
          <w:szCs w:val="19"/>
          <w:color w:val="010000"/>
        </w:rPr>
      </w:pPr>
    </w:p>
    <w:p>
      <w:pPr>
        <w:ind w:left="760"/>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Maturity Date;</w:t>
      </w:r>
    </w:p>
    <w:p>
      <w:pPr>
        <w:spacing w:after="0" w:line="193" w:lineRule="exact"/>
        <w:rPr>
          <w:rFonts w:ascii="Times New Roman" w:cs="Times New Roman" w:eastAsia="Times New Roman" w:hAnsi="Times New Roman"/>
          <w:sz w:val="19"/>
          <w:szCs w:val="19"/>
          <w:color w:val="010000"/>
        </w:rPr>
      </w:pPr>
    </w:p>
    <w:p>
      <w:pPr>
        <w:jc w:val="both"/>
        <w:ind w:left="760" w:firstLine="745"/>
        <w:spacing w:after="0" w:line="246" w:lineRule="auto"/>
        <w:tabs>
          <w:tab w:leader="none" w:pos="2048" w:val="left"/>
        </w:tabs>
        <w:numPr>
          <w:ilvl w:val="0"/>
          <w:numId w:val="16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whenever the last day of any Interest Period would otherwise occur on a day other than a Business Day, the last day of such Interest Period shall be extended to occur on the next succeeding Business Day;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if such extension would cause the last day of such Interest Period to occur in the next following calendar month, the last day of such Interest Period shall occur on the next preceding Business Day; and</w:t>
      </w:r>
    </w:p>
    <w:p>
      <w:pPr>
        <w:spacing w:after="0" w:line="184" w:lineRule="exact"/>
        <w:rPr>
          <w:rFonts w:ascii="Times New Roman" w:cs="Times New Roman" w:eastAsia="Times New Roman" w:hAnsi="Times New Roman"/>
          <w:sz w:val="19"/>
          <w:szCs w:val="19"/>
          <w:color w:val="010000"/>
        </w:rPr>
      </w:pPr>
    </w:p>
    <w:p>
      <w:pPr>
        <w:jc w:val="both"/>
        <w:ind w:left="760" w:firstLine="745"/>
        <w:spacing w:after="0" w:line="251" w:lineRule="auto"/>
        <w:tabs>
          <w:tab w:leader="none" w:pos="2048" w:val="left"/>
        </w:tabs>
        <w:numPr>
          <w:ilvl w:val="0"/>
          <w:numId w:val="16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173"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Internal Revenue Code</w:t>
      </w:r>
      <w:r>
        <w:rPr>
          <w:rFonts w:ascii="Times New Roman" w:cs="Times New Roman" w:eastAsia="Times New Roman" w:hAnsi="Times New Roman"/>
          <w:sz w:val="19"/>
          <w:szCs w:val="19"/>
          <w:color w:val="auto"/>
        </w:rPr>
        <w:t>” means the Internal Revenue Code of 1986, as amended from time to time, and the regulations promulgated and rulings issued thereunder.</w:t>
      </w:r>
    </w:p>
    <w:p>
      <w:pPr>
        <w:spacing w:after="0" w:line="153"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Investment</w:t>
      </w:r>
      <w:r>
        <w:rPr>
          <w:rFonts w:ascii="Times New Roman" w:cs="Times New Roman" w:eastAsia="Times New Roman" w:hAnsi="Times New Roman"/>
          <w:sz w:val="19"/>
          <w:szCs w:val="19"/>
          <w:color w:val="auto"/>
        </w:rPr>
        <w:t>” means, with respect to any Person, any acquisition or investment (whether or not of a controlling interest) by such Person, by means of any of the following: (a) the purchase or other acquisition of any Equity Interest in another Person, (b) a loan, advance or extension of credit to, capital contribution to, guaranty of Debt of, or purchase or other acquisition of any Debt of, another Person, including any partnership or joint venture interest in such other Person, (c) the purchase or other acquisition (in one transaction or a series of transactions) of assets of another Person that constitute the business or a division or operating unit of another Person, or (d) the purchase or other acquisition of any Real Property. Except as expressly provided otherwise, for purposes of determining compliance with any covenant contained in a Loan Document, the amount of any Investment shall be the amount actually invested, without adjustment for subsequent increases or decreases in the value of such Investment.</w:t>
      </w:r>
    </w:p>
    <w:p>
      <w:pPr>
        <w:spacing w:after="0" w:line="158" w:lineRule="exact"/>
        <w:rPr>
          <w:sz w:val="20"/>
          <w:szCs w:val="20"/>
          <w:color w:val="auto"/>
        </w:rPr>
      </w:pPr>
    </w:p>
    <w:p>
      <w:pPr>
        <w:ind w:left="1500"/>
        <w:spacing w:after="0" w:line="219"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Investment Grade Rating</w:t>
      </w:r>
      <w:r>
        <w:rPr>
          <w:rFonts w:ascii="Times New Roman" w:cs="Times New Roman" w:eastAsia="Times New Roman" w:hAnsi="Times New Roman"/>
          <w:sz w:val="19"/>
          <w:szCs w:val="19"/>
          <w:color w:val="auto"/>
        </w:rPr>
        <w:t>” shall mean a Debt Rating of BBB</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or better from S&amp;P or a Debt Rating of Baa3 or better from</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Moody’s.</w:t>
      </w:r>
    </w:p>
    <w:p>
      <w:pPr>
        <w:spacing w:after="0" w:line="188"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Joint Venture</w:t>
      </w:r>
      <w:r>
        <w:rPr>
          <w:rFonts w:ascii="Times New Roman" w:cs="Times New Roman" w:eastAsia="Times New Roman" w:hAnsi="Times New Roman"/>
          <w:sz w:val="19"/>
          <w:szCs w:val="19"/>
          <w:color w:val="auto"/>
        </w:rPr>
        <w:t>” means any joint venture or other Person (a) in which the Parent or any of its Subsidiaries holds any Equity Interest, (b) that is not a wholly-owned Subsidiary (directly or indirectly) of the Parent and (c) the accounts of which would not appear on the Consolidated financial statements of the Parent.</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Joint Venture Assets</w:t>
      </w:r>
      <w:r>
        <w:rPr>
          <w:rFonts w:ascii="Times New Roman" w:cs="Times New Roman" w:eastAsia="Times New Roman" w:hAnsi="Times New Roman"/>
          <w:sz w:val="19"/>
          <w:szCs w:val="19"/>
          <w:color w:val="auto"/>
        </w:rPr>
        <w:t>” means, with respect to any Joint Venture at any time, the assets owned by such Joint Venture at such</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time.</w:t>
      </w:r>
    </w:p>
    <w:p>
      <w:pPr>
        <w:spacing w:after="0" w:line="3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16" w:name="page217"/>
    <w:bookmarkEnd w:id="216"/>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JV Pro Rata Share</w:t>
      </w:r>
      <w:r>
        <w:rPr>
          <w:rFonts w:ascii="Times New Roman" w:cs="Times New Roman" w:eastAsia="Times New Roman" w:hAnsi="Times New Roman"/>
          <w:sz w:val="19"/>
          <w:szCs w:val="19"/>
          <w:color w:val="auto"/>
        </w:rPr>
        <w:t>” means, with respect to any Joint Venture (other than a Joint Venture held by an Unrestricted Subsidiary) at any time, the fraction, expressed as a percentage, obtained by dividing (a) the total book value of all Equity Interests in such Joint Venture directly or indirectly held by the Parent and any of its Wholly-Owned Subsidiaries by (b) the total book value of all outstanding Equity Interests in such Joint Venture at such time.</w:t>
      </w:r>
    </w:p>
    <w:p>
      <w:pPr>
        <w:spacing w:after="0" w:line="177"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Lender Insolvency Event</w:t>
      </w:r>
      <w:r>
        <w:rPr>
          <w:rFonts w:ascii="Times New Roman" w:cs="Times New Roman" w:eastAsia="Times New Roman" w:hAnsi="Times New Roman"/>
          <w:sz w:val="19"/>
          <w:szCs w:val="19"/>
          <w:color w:val="auto"/>
        </w:rPr>
        <w:t>” means that, other than in connection with an Undisclosed Administration, (i) the Lender or its Parent Company is insolvent, or is generally unable to pay its debts as they become due, or admits in writing its inability to pay its debts as they become due, or makes a general assignment for the benefit of its creditors, (ii) such Lender or its Parent Company is the subject of a bankruptcy, insolvency, reorganization, liquidation or similar proceeding, or a receiver, trustee, conservator, intervenor or sequestrator or the like has been appointed for such Lender or its Parent Company, or such Lender or its Parent Company has taken any action in furtherance of or indicating its consent to or acquiescence in any such proceeding or appointment, or (iii) such Lender or its Parent Company has become the subject of a Bail-In Action. Notwithstanding the above, a Lender Insolvency Event shall not occur solely by virtue of the ownership or acquisition of any Equity Interest in the applicable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189"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Lenders</w:t>
      </w:r>
      <w:r>
        <w:rPr>
          <w:rFonts w:ascii="Times New Roman" w:cs="Times New Roman" w:eastAsia="Times New Roman" w:hAnsi="Times New Roman"/>
          <w:sz w:val="19"/>
          <w:szCs w:val="19"/>
          <w:color w:val="auto"/>
        </w:rPr>
        <w:t>” means the Initial Lenders, each Acceding Lender that shall become a party hereto pursuant to Section 2.17 and each Person that shall become a Lender hereunder pursuant to Section 9.07 for so long as such Initial Lender, Acceding Lender or Person, as the case may be, shall be a party to this Agreement.</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Leverage Increase Period</w:t>
      </w:r>
      <w:r>
        <w:rPr>
          <w:rFonts w:ascii="Times New Roman" w:cs="Times New Roman" w:eastAsia="Times New Roman" w:hAnsi="Times New Roman"/>
          <w:sz w:val="19"/>
          <w:szCs w:val="19"/>
          <w:color w:val="auto"/>
        </w:rPr>
        <w:t>” has the meaning specified in Section 5.04(a)(i).</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Leverage Ratio</w:t>
      </w:r>
      <w:r>
        <w:rPr>
          <w:rFonts w:ascii="Times New Roman" w:cs="Times New Roman" w:eastAsia="Times New Roman" w:hAnsi="Times New Roman"/>
          <w:sz w:val="19"/>
          <w:szCs w:val="19"/>
          <w:color w:val="auto"/>
        </w:rPr>
        <w:t xml:space="preserve">” means, at any date of determination, the ratio, expressed as a percentage, of (a) Total Debt of the Parent and its Subsidiaries </w:t>
      </w:r>
      <w:r>
        <w:rPr>
          <w:rFonts w:ascii="Times New Roman" w:cs="Times New Roman" w:eastAsia="Times New Roman" w:hAnsi="Times New Roman"/>
          <w:sz w:val="19"/>
          <w:szCs w:val="19"/>
          <w:i w:val="1"/>
          <w:iCs w:val="1"/>
          <w:color w:val="auto"/>
        </w:rPr>
        <w:t>less</w:t>
      </w:r>
      <w:r>
        <w:rPr>
          <w:rFonts w:ascii="Times New Roman" w:cs="Times New Roman" w:eastAsia="Times New Roman" w:hAnsi="Times New Roman"/>
          <w:sz w:val="19"/>
          <w:szCs w:val="19"/>
          <w:color w:val="auto"/>
        </w:rPr>
        <w:t xml:space="preserve"> the amount by which the aggregate Unrestricted Cash and Cash Equivalents of the Parent and its Subsidiaries at such time exceeds $10,000,000 to (b) Total Asset Value.</w:t>
      </w:r>
    </w:p>
    <w:p>
      <w:pPr>
        <w:spacing w:after="0" w:line="17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Lien</w:t>
      </w:r>
      <w:r>
        <w:rPr>
          <w:rFonts w:ascii="Times New Roman" w:cs="Times New Roman" w:eastAsia="Times New Roman" w:hAnsi="Times New Roman"/>
          <w:sz w:val="19"/>
          <w:szCs w:val="19"/>
          <w:color w:val="auto"/>
        </w:rPr>
        <w:t>”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 For the avoidance of doubt, limitations on the ability of the Parent or any Subsidiary thereof to transfer property to the Parent, Borrower or any Subsidiary of either of them contained in documentation evidencing or governing Pari Passu Obligations, which limitations are not, taken as a whole, materially more restrictive than those contained in Section 5.02(n), shall not constitute a Lien.</w:t>
      </w:r>
    </w:p>
    <w:p>
      <w:pPr>
        <w:spacing w:after="0" w:line="17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Loan Documents</w:t>
      </w:r>
      <w:r>
        <w:rPr>
          <w:rFonts w:ascii="Times New Roman" w:cs="Times New Roman" w:eastAsia="Times New Roman" w:hAnsi="Times New Roman"/>
          <w:sz w:val="19"/>
          <w:szCs w:val="19"/>
          <w:color w:val="auto"/>
        </w:rPr>
        <w:t>” means (a) this Agreement, (b) the Notes, (c) the Fee Letter, (d) each Guaranty Supplement, (e) each Guaranteed Hedge Agreement and (f) each other document or instrument now or hereafter executed and delivered by a Loan Party in connection with, pursuant to or relating to this Agreement, in each case, as amended.</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Loan Parties</w:t>
      </w:r>
      <w:r>
        <w:rPr>
          <w:rFonts w:ascii="Times New Roman" w:cs="Times New Roman" w:eastAsia="Times New Roman" w:hAnsi="Times New Roman"/>
          <w:sz w:val="19"/>
          <w:szCs w:val="19"/>
          <w:color w:val="auto"/>
        </w:rPr>
        <w:t>” means the Parent, the Borrower and the Guarantors.</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Management Fee Adjustment</w:t>
      </w:r>
      <w:r>
        <w:rPr>
          <w:rFonts w:ascii="Times New Roman" w:cs="Times New Roman" w:eastAsia="Times New Roman" w:hAnsi="Times New Roman"/>
          <w:sz w:val="19"/>
          <w:szCs w:val="19"/>
          <w:color w:val="auto"/>
        </w:rPr>
        <w:t xml:space="preserve">” means, with respect to any Asset for any fiscal period, the amount, if any, by which (i) two percent (2.0%) of all rental and other income from the operation of such Asset multiplied by four </w:t>
      </w:r>
      <w:r>
        <w:rPr>
          <w:rFonts w:ascii="Times New Roman" w:cs="Times New Roman" w:eastAsia="Times New Roman" w:hAnsi="Times New Roman"/>
          <w:sz w:val="19"/>
          <w:szCs w:val="19"/>
          <w:i w:val="1"/>
          <w:iCs w:val="1"/>
          <w:color w:val="auto"/>
        </w:rPr>
        <w:t>exceeds</w:t>
      </w:r>
      <w:r>
        <w:rPr>
          <w:rFonts w:ascii="Times New Roman" w:cs="Times New Roman" w:eastAsia="Times New Roman" w:hAnsi="Times New Roman"/>
          <w:sz w:val="19"/>
          <w:szCs w:val="19"/>
          <w:color w:val="auto"/>
        </w:rPr>
        <w:t xml:space="preserve"> (ii) all actual management fees payable in respect of such Asset multiplied by four.</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Margin Stock</w:t>
      </w:r>
      <w:r>
        <w:rPr>
          <w:rFonts w:ascii="Times New Roman" w:cs="Times New Roman" w:eastAsia="Times New Roman" w:hAnsi="Times New Roman"/>
          <w:sz w:val="19"/>
          <w:szCs w:val="19"/>
          <w:color w:val="auto"/>
        </w:rPr>
        <w:t>” has the meaning specified in Regulation U.</w:t>
      </w:r>
    </w:p>
    <w:p>
      <w:pPr>
        <w:spacing w:after="0" w:line="35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17" w:name="page218"/>
    <w:bookmarkEnd w:id="217"/>
    <w:p>
      <w:pPr>
        <w:jc w:val="both"/>
        <w:ind w:firstLine="1497"/>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Material Acquisition</w:t>
      </w:r>
      <w:r>
        <w:rPr>
          <w:rFonts w:ascii="Times New Roman" w:cs="Times New Roman" w:eastAsia="Times New Roman" w:hAnsi="Times New Roman"/>
          <w:sz w:val="19"/>
          <w:szCs w:val="19"/>
          <w:color w:val="auto"/>
        </w:rPr>
        <w:t>” means the acquisition by the Borrower directly or indirectly through any Restricted Subsidiary or by any of its Restricted Subsidiaries, in a single transaction or in a series of related transactions, of any of (a) all or any substantial portion of the property of, or a line of business or division of, or any other property of, another Person, (b) one or more properties from another Person, or (c) at least a majority of the voting Equity Interests of another Person, in any such case whether or not involving a merger or consolidation with such other Person or a Division of such Person, in which the value of the assets acquired in such acquisition is greater than or equal to 5% of Total Asset Value at such time.</w:t>
      </w:r>
    </w:p>
    <w:p>
      <w:pPr>
        <w:spacing w:after="0" w:line="179"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Material Adverse Change</w:t>
      </w:r>
      <w:r>
        <w:rPr>
          <w:rFonts w:ascii="Times New Roman" w:cs="Times New Roman" w:eastAsia="Times New Roman" w:hAnsi="Times New Roman"/>
          <w:sz w:val="19"/>
          <w:szCs w:val="19"/>
          <w:color w:val="auto"/>
        </w:rPr>
        <w:t>” means a material adverse change in the business, condition (financial or otherwise), results of operations or prospects of the Parent and its Restricted Subsidiaries, taken as a whole.</w:t>
      </w:r>
    </w:p>
    <w:p>
      <w:pPr>
        <w:spacing w:after="0" w:line="153" w:lineRule="exact"/>
        <w:rPr>
          <w:sz w:val="20"/>
          <w:szCs w:val="20"/>
          <w:color w:val="auto"/>
        </w:rPr>
      </w:pPr>
    </w:p>
    <w:p>
      <w:pPr>
        <w:jc w:val="both"/>
        <w:ind w:firstLine="1497"/>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means a material adverse effect on (a) the business, condition (financial or otherwise) or operations of the Parent and its Restricted Subsidiaries, taken as a whole, (b) the validity or enforceability of any of the Loan Documents or (c) the ability of the Borrower, the Parent or the Guarantors taken as a whole to perform their Obligations under any Loan Document to which it is or is to be a party.</w:t>
      </w:r>
    </w:p>
    <w:p>
      <w:pPr>
        <w:spacing w:after="0" w:line="152"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Material Contract</w:t>
      </w:r>
      <w:r>
        <w:rPr>
          <w:rFonts w:ascii="Times New Roman" w:cs="Times New Roman" w:eastAsia="Times New Roman" w:hAnsi="Times New Roman"/>
          <w:sz w:val="19"/>
          <w:szCs w:val="19"/>
          <w:color w:val="auto"/>
        </w:rPr>
        <w:t>” means each Qualified Ground Lease and each other contract that is material to the business, condition (financial or otherwise), operations, performance, properties or prospects of the Parent and its Subsidiaries, taken as a whole.</w:t>
      </w:r>
    </w:p>
    <w:p>
      <w:pPr>
        <w:spacing w:after="0" w:line="153"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Material Debt</w:t>
      </w:r>
      <w:r>
        <w:rPr>
          <w:rFonts w:ascii="Times New Roman" w:cs="Times New Roman" w:eastAsia="Times New Roman" w:hAnsi="Times New Roman"/>
          <w:sz w:val="19"/>
          <w:szCs w:val="19"/>
          <w:color w:val="auto"/>
        </w:rPr>
        <w:t>” means (a) Debt for borrowed money that is recourse to the Borrower or the Parent that is outstanding in a principal amount of $50,000,000 or more, (b) Debt under any Hedge Agreement having an Agreement Value of $50,000,000 or more, or (c) only prior to the date that the Borrower or the Parent achieves an Investment Grade Rating and the Borrower has made a Ratings Grid Election, any other Debt for borrowed money of any Loan Party or any Subsidiary of a Loan Party that is outstanding in a principal amount of $100,000,000 or more or Debt under any Hedge Agreement having an Agreement Value of $100,000,000 or more; in each case (i) whether the subject of one or more separate debt instruments or agreements, and (ii) exclusive of Debt outstanding under this Agreement. For the avoidance of doubt, Material Debt may include Refinancing Debt to the extent comprising Material Debt as defined herein.</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Material Litigation</w:t>
      </w:r>
      <w:r>
        <w:rPr>
          <w:rFonts w:ascii="Times New Roman" w:cs="Times New Roman" w:eastAsia="Times New Roman" w:hAnsi="Times New Roman"/>
          <w:sz w:val="19"/>
          <w:szCs w:val="19"/>
          <w:color w:val="auto"/>
        </w:rPr>
        <w:t>” has the meaning specified in Section 3.01(e).</w:t>
      </w:r>
    </w:p>
    <w:p>
      <w:pPr>
        <w:spacing w:after="0" w:line="214" w:lineRule="exact"/>
        <w:rPr>
          <w:sz w:val="20"/>
          <w:szCs w:val="20"/>
          <w:color w:val="auto"/>
        </w:rPr>
      </w:pPr>
    </w:p>
    <w:p>
      <w:pPr>
        <w:jc w:val="both"/>
        <w:ind w:right="20"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Maturity Date</w:t>
      </w:r>
      <w:r>
        <w:rPr>
          <w:rFonts w:ascii="Times New Roman" w:cs="Times New Roman" w:eastAsia="Times New Roman" w:hAnsi="Times New Roman"/>
          <w:sz w:val="19"/>
          <w:szCs w:val="19"/>
          <w:color w:val="auto"/>
        </w:rPr>
        <w:t>” means the earliest to occur of (a) January 28, 2028, as such date may be extended pursuant to Section 2.16, (b) the date of termination of all of the Commitments by the Borrower pursuant to Section 2.05 which will occur concurrently with the payment in full of the Facility and (c) the date of termination of the Commitments pursuant to Section 6.01.</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Maximum Rate</w:t>
      </w:r>
      <w:r>
        <w:rPr>
          <w:rFonts w:ascii="Times New Roman" w:cs="Times New Roman" w:eastAsia="Times New Roman" w:hAnsi="Times New Roman"/>
          <w:sz w:val="19"/>
          <w:szCs w:val="19"/>
          <w:color w:val="auto"/>
        </w:rPr>
        <w:t>” means the maximum non-usurious interest rate under applicable law.</w:t>
      </w:r>
    </w:p>
    <w:p>
      <w:pPr>
        <w:spacing w:after="0" w:line="21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Mixed Use Asset</w:t>
      </w:r>
      <w:r>
        <w:rPr>
          <w:rFonts w:ascii="Times New Roman" w:cs="Times New Roman" w:eastAsia="Times New Roman" w:hAnsi="Times New Roman"/>
          <w:sz w:val="19"/>
          <w:szCs w:val="19"/>
          <w:color w:val="auto"/>
        </w:rPr>
        <w:t>” means Real Property and related personal property that operates or is intended to operate as a mixed-use building that includes, without limitation, an office component. For the avoidance of doubt, (a) Development Assets shall not be classified as Mixed Use Assets hereunder until the date indicated in the last sentence of the definition of Development Asset herein, and (b) Redevelopment Assets shall not be classified as Mixed Use Assets hereunder until the date indicated in the last sentence of the definition of Redevelopment Asset herein.</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Moody’s</w:t>
      </w:r>
      <w:r>
        <w:rPr>
          <w:rFonts w:ascii="Times New Roman" w:cs="Times New Roman" w:eastAsia="Times New Roman" w:hAnsi="Times New Roman"/>
          <w:sz w:val="19"/>
          <w:szCs w:val="19"/>
          <w:color w:val="auto"/>
        </w:rPr>
        <w:t>” means Moody’s Investors Service, Inc. and any successor thereto.</w:t>
      </w:r>
    </w:p>
    <w:p>
      <w:pPr>
        <w:spacing w:after="0" w:line="214"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Multiemployer Plan</w:t>
      </w:r>
      <w:r>
        <w:rPr>
          <w:rFonts w:ascii="Times New Roman" w:cs="Times New Roman" w:eastAsia="Times New Roman" w:hAnsi="Times New Roman"/>
          <w:sz w:val="19"/>
          <w:szCs w:val="19"/>
          <w:color w:val="auto"/>
        </w:rPr>
        <w:t>” means a multiemployer plan, as defined in Section 4001(a)(3) of ERISA, to which any Loan Party or any ERISA Affiliate is making or accruing an obligation to make</w:t>
      </w:r>
    </w:p>
    <w:p>
      <w:pPr>
        <w:spacing w:after="0" w:line="2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9"/>
          <w:szCs w:val="19"/>
          <w:color w:val="auto"/>
        </w:rPr>
        <w:t>contributions, or has within any of the preceding five plan years made or accrued an obligation to make contributions.</w:t>
      </w:r>
    </w:p>
    <w:p>
      <w:pPr>
        <w:spacing w:after="0" w:line="208" w:lineRule="exact"/>
        <w:rPr>
          <w:sz w:val="20"/>
          <w:szCs w:val="20"/>
          <w:color w:val="auto"/>
        </w:rPr>
      </w:pPr>
    </w:p>
    <w:p>
      <w:pPr>
        <w:jc w:val="both"/>
        <w:ind w:right="20" w:firstLine="1497"/>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Multiple Employer Plan</w:t>
      </w:r>
      <w:r>
        <w:rPr>
          <w:rFonts w:ascii="Times New Roman" w:cs="Times New Roman" w:eastAsia="Times New Roman" w:hAnsi="Times New Roman"/>
          <w:sz w:val="18"/>
          <w:szCs w:val="18"/>
          <w:color w:val="auto"/>
        </w:rPr>
        <w:t>” means a Single Employer Plan that (a) is maintained for employees of any Loan Party or any ERISA Affiliate and at least one Person other than the Loan Parties and the ERISA Affiliates or (b) was so maintained and in respect of which any Loan Party or any ERISA Affiliate could have liability under Section 4064 or 4069 of ERISA in the event such plan has been or were to be terminated.</w:t>
      </w:r>
    </w:p>
    <w:p>
      <w:pPr>
        <w:spacing w:after="0" w:line="152"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Necessary Borrower Party</w:t>
      </w:r>
      <w:r>
        <w:rPr>
          <w:rFonts w:ascii="Times New Roman" w:cs="Times New Roman" w:eastAsia="Times New Roman" w:hAnsi="Times New Roman"/>
          <w:sz w:val="19"/>
          <w:szCs w:val="19"/>
          <w:color w:val="auto"/>
        </w:rPr>
        <w:t>” means any Borrower Party that, at the time of any applicable determination, both (x) owns an Unencumbered Asset that has not been designated as a non-Unencumbered Asset in accordance with Section 5.01(j) and (y) is not then the subject of an Early Release Request in accordance with Section 9.14. For the avoidance of doubt, the Parent is not a Necessary Borrower Party.</w:t>
      </w:r>
    </w:p>
    <w:p>
      <w:pPr>
        <w:spacing w:after="0" w:line="170"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Negative Pledge</w:t>
      </w:r>
      <w:r>
        <w:rPr>
          <w:rFonts w:ascii="Times New Roman" w:cs="Times New Roman" w:eastAsia="Times New Roman" w:hAnsi="Times New Roman"/>
          <w:sz w:val="19"/>
          <w:szCs w:val="19"/>
          <w:color w:val="auto"/>
        </w:rPr>
        <w:t xml:space="preserve">” means, with respect to a given asset, any provision of any agreement (other than any Loan Document) that prohibits or purports to prohibit the creation or assumption of any Lien on such asset as security for Debt of the Person owning such asset or any other Person;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neither (a) any agreement that conditions a Person’s ability to encumber its assets upon the maintenance of one or more specified ratios that limit such Person’s ability to encumber its assets but that do not generally prohibit the encumbrance of its assets, or the encumbrance of specific assets nor (b) any provision in any agreement governing Unsecured Debt generally prohibiting the encumbrance of assets (exclusive of any outright prohibition on the encumbrance of particular Unencumbered Assets) shall constitute a Negative Pledge so long as such provision is generally consistent with a comparable provision of the Loan Documents.</w:t>
      </w:r>
    </w:p>
    <w:p>
      <w:pPr>
        <w:spacing w:after="0" w:line="180" w:lineRule="exact"/>
        <w:rPr>
          <w:sz w:val="20"/>
          <w:szCs w:val="20"/>
          <w:color w:val="auto"/>
        </w:rPr>
      </w:pPr>
    </w:p>
    <w:p>
      <w:pPr>
        <w:jc w:val="both"/>
        <w:ind w:firstLine="1497"/>
        <w:spacing w:after="0" w:line="219"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Net Operating Income</w:t>
      </w:r>
      <w:r>
        <w:rPr>
          <w:rFonts w:ascii="Times New Roman" w:cs="Times New Roman" w:eastAsia="Times New Roman" w:hAnsi="Times New Roman"/>
          <w:sz w:val="19"/>
          <w:szCs w:val="19"/>
          <w:color w:val="auto"/>
        </w:rPr>
        <w:t xml:space="preserve">” means (a) with respect to any Asset other than a Joint Venture Asset, (i) the total rental revenue and other income from the operation of such Asset for the fiscal quarter of the Parent most recently ended for which financial statements are required to be delivered to the Lenders pursuant to Section 5.03(b) or (c), as the case may be,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(ii) all expenses and other proper charges incurred in connection with the operation and maintenance of such Asset for the fiscal quarter of the Parent most recently ended for which financial statements are required to be delivered to the Lenders pursuant to Section 5.03(b) or (c), as the case may be, including management fees, repairs, real estate and chattel taxes and bad debt expenses, but before payment or provision for debt service charges, income taxes and depreciation, amortization and other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cash expenses, all as determined in accordance with GAAP, and (b) with respect to any Joint Venture Asset, (i) the JV Pro Rata Share of the total rental revenue and other income from the operation of such Asset for the fiscal quarter of the Parent most recently ended for which financial statements are required to be delivered to the Lenders pursuant to Section 5.03(b) or (c), as the case may be,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(ii) the JV Pro Rata Share of all expenses and other proper charges incurred by the applicable Joint Venture in connection with the operation and maintenance of such Asset for the fiscal quarter of the Parent most recently ended for which financial statements are required to be delivered to the Lenders pursuant to Section 5.03(b) or (c), as the case may be, including management fees, repairs, real estate and chattel taxes and bad debt expenses, but before payment or provision for debt service charges, income taxes and depreciation, amortization and other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cash expenses, all as determined in accordance with GAAP;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for purposes of this definition, in the case of any acquisition or disposition of any direct or indirect interest in any Asset (including through the acquisition or disposition of Equity Interests) by the Parent or any of its Subsidiaries during such most recently ended fiscal quarter, Net Operating Income will be adjusted (1) in the case of an acquisition, by adding thereto an amount equal to the acquired Asset’s actual Net Operating Income (computed as if such Asset was owned by the Parent or one of its Subsidiaries for the entirety of such most recently ended fiscal quarter) generated during the portion of such fiscal quarter that such Asset was not owned by the Parent or such Subsidiary, and (2) in the case of a disposition, by subtracting therefrom an amount equal to the actual Net Operating Income generated by the Asset so disposed of during such fiscal quarter. Straight line rent leveling adjustments (excluding adjustments for rental credits (i.e., free rent)) required under GAAP, and amortization of lease inducements into rental income, shall be disregarded in determinations of rents and other revenues in clause (a)(i) above.</w:t>
      </w:r>
    </w:p>
    <w:p>
      <w:pPr>
        <w:spacing w:after="0" w:line="165" w:lineRule="exact"/>
        <w:rPr>
          <w:sz w:val="20"/>
          <w:szCs w:val="20"/>
          <w:color w:val="auto"/>
        </w:rPr>
      </w:pPr>
    </w:p>
    <w:p>
      <w:pPr>
        <w:ind w:left="1500"/>
        <w:spacing w:after="0" w:line="219"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Non</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b w:val="1"/>
          <w:bCs w:val="1"/>
          <w:i w:val="1"/>
          <w:iCs w:val="1"/>
          <w:color w:val="auto"/>
        </w:rPr>
        <w:t>Consenting Lender</w:t>
      </w:r>
      <w:r>
        <w:rPr>
          <w:rFonts w:ascii="Times New Roman" w:cs="Times New Roman" w:eastAsia="Times New Roman" w:hAnsi="Times New Roman"/>
          <w:sz w:val="19"/>
          <w:szCs w:val="19"/>
          <w:color w:val="auto"/>
        </w:rPr>
        <w:t>” has the meaning specified in Section 9.01(b).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1221740</wp:posOffset>
            </wp:positionH>
            <wp:positionV relativeFrom="paragraph">
              <wp:posOffset>-46355</wp:posOffset>
            </wp:positionV>
            <wp:extent cx="66040" cy="400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6040" cy="40005"/>
                    </a:xfrm>
                    <a:prstGeom prst="rect">
                      <a:avLst/>
                    </a:prstGeom>
                    <a:noFill/>
                  </pic:spPr>
                </pic:pic>
              </a:graphicData>
            </a:graphic>
          </wp:anchor>
        </w:drawing>
      </w: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19" w:name="page220"/>
    <w:bookmarkEnd w:id="219"/>
    <w:p>
      <w:pPr>
        <w:ind w:left="1500"/>
        <w:spacing w:after="0" w:line="219"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Non</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b w:val="1"/>
          <w:bCs w:val="1"/>
          <w:i w:val="1"/>
          <w:iCs w:val="1"/>
          <w:color w:val="auto"/>
        </w:rPr>
        <w:t>Defaulting Lender”</w:t>
      </w:r>
      <w:r>
        <w:rPr>
          <w:rFonts w:ascii="Times New Roman" w:cs="Times New Roman" w:eastAsia="Times New Roman" w:hAnsi="Times New Roman"/>
          <w:sz w:val="19"/>
          <w:szCs w:val="19"/>
          <w:color w:val="auto"/>
        </w:rPr>
        <w:t xml:space="preserve"> means, at any time, a Lender that is not a Defaulting Lender or a Potential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1221740</wp:posOffset>
            </wp:positionH>
            <wp:positionV relativeFrom="paragraph">
              <wp:posOffset>-46355</wp:posOffset>
            </wp:positionV>
            <wp:extent cx="66040" cy="400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6040" cy="40005"/>
                    </a:xfrm>
                    <a:prstGeom prst="rect">
                      <a:avLst/>
                    </a:prstGeom>
                    <a:noFill/>
                  </pic:spPr>
                </pic:pic>
              </a:graphicData>
            </a:graphic>
          </wp:anchor>
        </w:drawing>
      </w:r>
    </w:p>
    <w:p>
      <w:pPr>
        <w:spacing w:after="0" w:line="207" w:lineRule="exact"/>
        <w:rPr>
          <w:sz w:val="20"/>
          <w:szCs w:val="20"/>
          <w:color w:val="auto"/>
        </w:rPr>
      </w:pPr>
    </w:p>
    <w:p>
      <w:pPr>
        <w:jc w:val="both"/>
        <w:ind w:firstLine="1497"/>
        <w:spacing w:after="0" w:line="244"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Non</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b w:val="1"/>
          <w:bCs w:val="1"/>
          <w:i w:val="1"/>
          <w:iCs w:val="1"/>
          <w:color w:val="auto"/>
        </w:rPr>
        <w:t>Recourse Debt</w:t>
      </w:r>
      <w:r>
        <w:rPr>
          <w:rFonts w:ascii="Times New Roman" w:cs="Times New Roman" w:eastAsia="Times New Roman" w:hAnsi="Times New Roman"/>
          <w:sz w:val="19"/>
          <w:szCs w:val="19"/>
          <w:color w:val="auto"/>
        </w:rPr>
        <w:t>” means Debt for borrowed money with respect to which recourse for payment is limited to (a) any building(s) or parcel(s) of real property and any related assets encumbered by a Lien securing such Debt for borrowed money and/or (b) (i) the general credit of the Property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Level Subsidiary that has incurred such Debt for borrowed money, and/or the direct Equity Interests therein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1221740</wp:posOffset>
            </wp:positionH>
            <wp:positionV relativeFrom="paragraph">
              <wp:posOffset>-370840</wp:posOffset>
            </wp:positionV>
            <wp:extent cx="66040" cy="400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6040" cy="40005"/>
                    </a:xfrm>
                    <a:prstGeom prst="rect">
                      <a:avLst/>
                    </a:prstGeom>
                    <a:noFill/>
                  </pic:spPr>
                </pic:pic>
              </a:graphicData>
            </a:graphic>
          </wp:anchor>
        </w:drawing>
      </w:r>
    </w:p>
    <w:p>
      <w:pPr>
        <w:jc w:val="both"/>
        <w:ind w:firstLine="8"/>
        <w:spacing w:after="0" w:line="223" w:lineRule="exact"/>
        <w:tabs>
          <w:tab w:leader="none" w:pos="291"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general credit of the immediate parent entity of such Property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Level Subsidiary,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parent entity’s assets consist solely of Equity Interests in such Property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Level Subsidiary, it being understood that the instruments governing such Debt may include customary carve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outs to such limited recourse (any such customary carve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outs or agreements limited to such customary carve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outs, being a “</w:t>
      </w:r>
      <w:r>
        <w:rPr>
          <w:rFonts w:ascii="Times New Roman" w:cs="Times New Roman" w:eastAsia="Times New Roman" w:hAnsi="Times New Roman"/>
          <w:sz w:val="19"/>
          <w:szCs w:val="19"/>
          <w:b w:val="1"/>
          <w:bCs w:val="1"/>
          <w:i w:val="1"/>
          <w:iCs w:val="1"/>
          <w:color w:val="auto"/>
        </w:rPr>
        <w:t>Customary Carve</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b w:val="1"/>
          <w:bCs w:val="1"/>
          <w:i w:val="1"/>
          <w:iCs w:val="1"/>
          <w:color w:val="auto"/>
        </w:rPr>
        <w:t>Out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such as, for example, personal recourse to the Parent or any Subsidiary of the Parent for fraud, misrepresentation, misapplication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misappropriation of cash, waste, environmental claims, damage to properties,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payment of taxes or other liens despite the existence of sufficient cash flow, interference with the enforcement of loan documents upon maturity or acceleration, voluntary or involuntary bankruptcy filings, violation of loan document prohibitions against transfer of properties or ownership interests therein and liabilities and other circumstances customarily excluded by lenders (or by the applicable lender in respect of such Debt) from exculpation provisions and/or included in separate indemnification and/or guaranty agreements in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recourse financings of real estate (including, without limitation, environmental indemnification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6904990</wp:posOffset>
            </wp:positionH>
            <wp:positionV relativeFrom="paragraph">
              <wp:posOffset>-1062355</wp:posOffset>
            </wp:positionV>
            <wp:extent cx="66040" cy="400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6040" cy="40005"/>
                    </a:xfrm>
                    <a:prstGeom prst="rect">
                      <a:avLst/>
                    </a:prstGeom>
                    <a:noFill/>
                  </pic:spPr>
                </pic:pic>
              </a:graphicData>
            </a:graphic>
          </wp:anchor>
        </w:drawing>
      </w:r>
    </w:p>
    <w:p>
      <w:pPr>
        <w:spacing w:after="0" w:line="170"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Note</w:t>
      </w:r>
      <w:r>
        <w:rPr>
          <w:rFonts w:ascii="Times New Roman" w:cs="Times New Roman" w:eastAsia="Times New Roman" w:hAnsi="Times New Roman"/>
          <w:sz w:val="19"/>
          <w:szCs w:val="19"/>
          <w:color w:val="auto"/>
        </w:rPr>
        <w:t>” means a promissory note of the Borrower payable to the order of any Lender, in substantially the form of Exhibit A hereto evidencing the aggregate indebtedness of the Borrower to such Lender resulting from the Advances made by such Lender, in each case as such instrument may be amended, modified, renewed, restated, replaced or extended from time to time.</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Notice of Borrowing</w:t>
      </w:r>
      <w:r>
        <w:rPr>
          <w:rFonts w:ascii="Times New Roman" w:cs="Times New Roman" w:eastAsia="Times New Roman" w:hAnsi="Times New Roman"/>
          <w:sz w:val="19"/>
          <w:szCs w:val="19"/>
          <w:color w:val="auto"/>
        </w:rPr>
        <w:t>” has the meaning specified in Section 2.02(a).</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NPL</w:t>
      </w:r>
      <w:r>
        <w:rPr>
          <w:rFonts w:ascii="Times New Roman" w:cs="Times New Roman" w:eastAsia="Times New Roman" w:hAnsi="Times New Roman"/>
          <w:sz w:val="19"/>
          <w:szCs w:val="19"/>
          <w:color w:val="auto"/>
        </w:rPr>
        <w:t>” means the National Priorities List under CERCLA.</w:t>
      </w:r>
    </w:p>
    <w:p>
      <w:pPr>
        <w:spacing w:after="0" w:line="214"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Obligation</w:t>
      </w:r>
      <w:r>
        <w:rPr>
          <w:rFonts w:ascii="Times New Roman" w:cs="Times New Roman" w:eastAsia="Times New Roman" w:hAnsi="Times New Roman"/>
          <w:sz w:val="19"/>
          <w:szCs w:val="19"/>
          <w:color w:val="auto"/>
        </w:rPr>
        <w:t xml:space="preserve">” means, with respect to any Person, any payment, performance or other obligation of such Person of any kind, including, without limitation, any liability of such Person on any claim, whether or not the right of any creditor to payment in respect of such claim is reduced to judgment, liquidated, unliquidated, fixed, contingent, matured, disputed, undisputed, legal, equitable, secured or unsecured, and whether or not such claim is discharged, stayed or otherwise affected by any proceeding referred to in Section 6.01(f). Without limiting the generality of the foregoing, the Obligations of any Loan Party under the Loan Documents include (a) the obligation to pay principal, interest, charges, expenses, fees, attorneys’ fees and disbursements, indemnities and other amounts payable by such Loan Party under any Loan Document and (b) the obligation of such Loan Party to reimburse any amount in respect of any of the foregoing that any Lender, in its sole discretion, may elect to pay or advance on behalf of such Loan Party in accordance with the Loan Documents;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in no event shall the Obligations of the Loan Parties under the Loan Documents include any Excluded Swap Obligations. For the avoidance of doubt, the Obligation of any Lender or other Person that has received an Erroneous Payment (or any portion thereof) shall include the obligation of such Lender or other Person to pay any corresponding Erroneous Payment Return Deficiency pursuant to Section 8.09(d) and any Erroneous Payment Subrogation Rights pursuant to Section 8.09(d).</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OECD</w:t>
      </w:r>
      <w:r>
        <w:rPr>
          <w:rFonts w:ascii="Times New Roman" w:cs="Times New Roman" w:eastAsia="Times New Roman" w:hAnsi="Times New Roman"/>
          <w:sz w:val="19"/>
          <w:szCs w:val="19"/>
          <w:color w:val="auto"/>
        </w:rPr>
        <w:t>” means the Organization for Economic Cooperation and Development.</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OFAC</w:t>
      </w:r>
      <w:r>
        <w:rPr>
          <w:rFonts w:ascii="Times New Roman" w:cs="Times New Roman" w:eastAsia="Times New Roman" w:hAnsi="Times New Roman"/>
          <w:sz w:val="19"/>
          <w:szCs w:val="19"/>
          <w:color w:val="auto"/>
        </w:rPr>
        <w:t>” has the meaning specified in Section 4.01(x).</w:t>
      </w:r>
    </w:p>
    <w:p>
      <w:pPr>
        <w:spacing w:after="0" w:line="214"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Office Asset</w:t>
      </w:r>
      <w:r>
        <w:rPr>
          <w:rFonts w:ascii="Times New Roman" w:cs="Times New Roman" w:eastAsia="Times New Roman" w:hAnsi="Times New Roman"/>
          <w:sz w:val="19"/>
          <w:szCs w:val="19"/>
          <w:color w:val="auto"/>
        </w:rPr>
        <w:t>” means Real Property and related personal property (other than any Joint Venture Asset) that operates or is intended to be operated as an office building, including, without limitation, courthouses. For the avoidance of doubt, (a) Development Assets shall not be classified as Office Assets hereunder until the date indicated in the last sentence of the definition of Development Asset herein, (b) Redevelopment Assets shall</w:t>
      </w:r>
    </w:p>
    <w:p>
      <w:pPr>
        <w:spacing w:after="0" w:line="3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220" w:name="page221"/>
    <w:bookmarkEnd w:id="220"/>
    <w:p>
      <w:pPr>
        <w:jc w:val="both"/>
        <w:spacing w:after="0" w:line="251" w:lineRule="auto"/>
        <w:rPr>
          <w:sz w:val="20"/>
          <w:szCs w:val="20"/>
          <w:color w:val="auto"/>
        </w:rPr>
      </w:pPr>
      <w:r>
        <w:rPr>
          <w:rFonts w:ascii="Times New Roman" w:cs="Times New Roman" w:eastAsia="Times New Roman" w:hAnsi="Times New Roman"/>
          <w:sz w:val="19"/>
          <w:szCs w:val="19"/>
          <w:color w:val="auto"/>
        </w:rPr>
        <w:t>not be classified as Office Assets hereunder until the date indicated in the last sentence of the definition of Redevelopment Asset herein and (c) Office Assets may include components (including, without limitation, retail and parking) that are ancillary to the use of the building as an office building.</w:t>
      </w:r>
    </w:p>
    <w:p>
      <w:pPr>
        <w:spacing w:after="0" w:line="173"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Other Connection Taxes</w:t>
      </w:r>
      <w:r>
        <w:rPr>
          <w:rFonts w:ascii="Times New Roman" w:cs="Times New Roman" w:eastAsia="Times New Roman" w:hAnsi="Times New Roman"/>
          <w:sz w:val="19"/>
          <w:szCs w:val="19"/>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any Obligation under, received payments under, received or perfected a security interest under, engaged in any other transaction pursuant to or enforced any Loan Document, or sold or pledged or assigned or granted an interest in any Advance or Loan Document).</w:t>
      </w:r>
    </w:p>
    <w:p>
      <w:pPr>
        <w:spacing w:after="0" w:line="177"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Other Taxes</w:t>
      </w:r>
      <w:r>
        <w:rPr>
          <w:rFonts w:ascii="Times New Roman" w:cs="Times New Roman" w:eastAsia="Times New Roman" w:hAnsi="Times New Roman"/>
          <w:sz w:val="19"/>
          <w:szCs w:val="19"/>
          <w:color w:val="auto"/>
        </w:rPr>
        <w:t>” means all present or future stamp, court or documentary, excise, property, intangible, recording, filing or similar Taxes that arise from any payment made under, from the execution, delivery, performance, enforcement, recordation, filing or registration of, from the receipt or perfection of a security interest under, or otherwise with respect to, any Loan Document, except any such Taxes that are Other Connection Taxes imposed with respect to an assignment (other than an assignment made pursuant to Section 2.19 or Section 9.01(b)).</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Parent</w:t>
      </w:r>
      <w:r>
        <w:rPr>
          <w:rFonts w:ascii="Times New Roman" w:cs="Times New Roman" w:eastAsia="Times New Roman" w:hAnsi="Times New Roman"/>
          <w:sz w:val="19"/>
          <w:szCs w:val="19"/>
          <w:color w:val="auto"/>
        </w:rPr>
        <w:t>” has the meaning specified in the recital of parties to this Agreement.</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Parent Company</w:t>
      </w:r>
      <w:r>
        <w:rPr>
          <w:rFonts w:ascii="Times New Roman" w:cs="Times New Roman" w:eastAsia="Times New Roman" w:hAnsi="Times New Roman"/>
          <w:sz w:val="19"/>
          <w:szCs w:val="19"/>
          <w:color w:val="auto"/>
        </w:rPr>
        <w:t>” means, with respect to a Lender, the bank holding company (as defined in Federal Reserve Board Regulation Y), if any, of such Lender, and/or any Person owning, beneficially or of record, directly or indirectly, a majority of the shares of such Lender.</w:t>
      </w:r>
    </w:p>
    <w:p>
      <w:pPr>
        <w:spacing w:after="0" w:line="170"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Pari Passu Obligations</w:t>
      </w:r>
      <w:r>
        <w:rPr>
          <w:rFonts w:ascii="Times New Roman" w:cs="Times New Roman" w:eastAsia="Times New Roman" w:hAnsi="Times New Roman"/>
          <w:sz w:val="19"/>
          <w:szCs w:val="19"/>
          <w:color w:val="auto"/>
        </w:rPr>
        <w:t>” means Unsecured Debt (exclusive of the Obligations of any Loan Party under the Loan Documents) of any Borrower Party owing to Persons that are not Loan Parties.</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has the meaning specified in Section 9.07(g).</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Participant Register</w:t>
      </w:r>
      <w:r>
        <w:rPr>
          <w:rFonts w:ascii="Times New Roman" w:cs="Times New Roman" w:eastAsia="Times New Roman" w:hAnsi="Times New Roman"/>
          <w:sz w:val="19"/>
          <w:szCs w:val="19"/>
          <w:color w:val="auto"/>
        </w:rPr>
        <w:t>” has the meaning specified in Section 9.07(g).</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Patriot Act</w:t>
      </w:r>
      <w:r>
        <w:rPr>
          <w:rFonts w:ascii="Times New Roman" w:cs="Times New Roman" w:eastAsia="Times New Roman" w:hAnsi="Times New Roman"/>
          <w:sz w:val="19"/>
          <w:szCs w:val="19"/>
          <w:color w:val="auto"/>
        </w:rPr>
        <w:t>” means the USA Patriot Act (Title III of Pub. L. 107-56 (signed into law October 26, 2001)), as amended.</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Payment Recipient</w:t>
      </w:r>
      <w:r>
        <w:rPr>
          <w:rFonts w:ascii="Times New Roman" w:cs="Times New Roman" w:eastAsia="Times New Roman" w:hAnsi="Times New Roman"/>
          <w:sz w:val="19"/>
          <w:szCs w:val="19"/>
          <w:color w:val="auto"/>
        </w:rPr>
        <w:t>” has the meaning specified in Section 8.09(a).</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PBGC</w:t>
      </w:r>
      <w:r>
        <w:rPr>
          <w:rFonts w:ascii="Times New Roman" w:cs="Times New Roman" w:eastAsia="Times New Roman" w:hAnsi="Times New Roman"/>
          <w:sz w:val="19"/>
          <w:szCs w:val="19"/>
          <w:color w:val="auto"/>
        </w:rPr>
        <w:t>” means the Pension Benefit Guaranty Corporation (or any successor).</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Periodic Term SOFR Determination Day</w:t>
      </w:r>
      <w:r>
        <w:rPr>
          <w:rFonts w:ascii="Times New Roman" w:cs="Times New Roman" w:eastAsia="Times New Roman" w:hAnsi="Times New Roman"/>
          <w:sz w:val="19"/>
          <w:szCs w:val="19"/>
          <w:color w:val="auto"/>
        </w:rPr>
        <w:t>” has the meaning set forth in the definition of Term SOFR.</w:t>
      </w:r>
    </w:p>
    <w:p>
      <w:pPr>
        <w:spacing w:after="0" w:line="173"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Permitted Liens</w:t>
      </w:r>
      <w:r>
        <w:rPr>
          <w:rFonts w:ascii="Times New Roman" w:cs="Times New Roman" w:eastAsia="Times New Roman" w:hAnsi="Times New Roman"/>
          <w:sz w:val="19"/>
          <w:szCs w:val="19"/>
          <w:color w:val="auto"/>
        </w:rPr>
        <w:t xml:space="preserve">” means each of the following: (a) Liens for taxes, assessments and governmental charges or levies that are (i) not yet due and delinquent or thereafter can be paid without penalty, or (ii) the subject of a Good Faith Contest, or (iii) on an asset whose contribution to Total Asset Value is either less than the outstanding principal balance of Secured Debt encumbering such asset or does not exceed such principal balance by more than five percent (5%) (it being agreed, however, that in such case, for so long as such Lien described in this clause (a)(iii) exists, the Asset Value of such asset (and any other asset owned by the same Subsidiary) shall be deemed to be zero); (b) Liens imposed by law, such as materialmen’s, mechanics’, carriers’, workmen’s and repairmen’s Liens and other similar Liens arising in the ordinary course of business securing payment of obligations that are not overdue for a period of more than 60 days or are the subject of a Good Faith Contest;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however</w:t>
      </w:r>
      <w:r>
        <w:rPr>
          <w:rFonts w:ascii="Times New Roman" w:cs="Times New Roman" w:eastAsia="Times New Roman" w:hAnsi="Times New Roman"/>
          <w:sz w:val="19"/>
          <w:szCs w:val="19"/>
          <w:color w:val="auto"/>
        </w:rPr>
        <w:t>, that if any Lien described in this clause (b) materially and adversely affects the use of the asset to which such Lien relates,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Asset Value of such asset shall be deemed to be zero; (c) pledges or deposits to secure obligations under workers’ compensation or unemployment laws or similar legislation or to</w:t>
      </w:r>
    </w:p>
    <w:p>
      <w:pPr>
        <w:spacing w:after="0" w:line="3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21" w:name="page222"/>
    <w:bookmarkEnd w:id="221"/>
    <w:p>
      <w:pPr>
        <w:jc w:val="both"/>
        <w:spacing w:after="0" w:line="242" w:lineRule="auto"/>
        <w:rPr>
          <w:sz w:val="20"/>
          <w:szCs w:val="20"/>
          <w:color w:val="auto"/>
        </w:rPr>
      </w:pPr>
      <w:r>
        <w:rPr>
          <w:rFonts w:ascii="Times New Roman" w:cs="Times New Roman" w:eastAsia="Times New Roman" w:hAnsi="Times New Roman"/>
          <w:sz w:val="19"/>
          <w:szCs w:val="19"/>
          <w:color w:val="auto"/>
        </w:rPr>
        <w:t>secure public or statutory obligations; (d) easements, zoning restrictions, rights of way and other encumbrances on title to real property that do not render title to the property encumbered thereby unmarketable or materially adversely affect the use or value of such property in the business of the Borrower and its Subsidiaries; (e) Tenancy Leases; (f) deposits to secure trade contracts (other than for Debt), statutory obligations, surety and appeal bonds, performance bonds and other obligations of a like nature incurred in the ordinary course of business; and (g) provisions contained in documentation evidencing or governing Pari Passu Obligations which provisions require that Pari Passu Obligations be secured on an “equal and ratable basis” to the extent that the Obligations are secured.</w:t>
      </w:r>
    </w:p>
    <w:p>
      <w:pPr>
        <w:spacing w:after="0" w:line="184"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Person</w:t>
      </w:r>
      <w:r>
        <w:rPr>
          <w:rFonts w:ascii="Times New Roman" w:cs="Times New Roman" w:eastAsia="Times New Roman" w:hAnsi="Times New Roman"/>
          <w:sz w:val="19"/>
          <w:szCs w:val="19"/>
          <w:color w:val="auto"/>
        </w:rPr>
        <w:t>” means an individual, partnership, corporation (including a business trust), limited liability company, joint stock company, trust, unincorporated association, joint venture or other entity, or a government or any political subdivision or agency thereof.</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means a Single Employer Plan or a Multiple Employer Plan.</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PNC</w:t>
      </w:r>
      <w:r>
        <w:rPr>
          <w:rFonts w:ascii="Times New Roman" w:cs="Times New Roman" w:eastAsia="Times New Roman" w:hAnsi="Times New Roman"/>
          <w:sz w:val="19"/>
          <w:szCs w:val="19"/>
          <w:color w:val="auto"/>
        </w:rPr>
        <w:t>” has the meaning specified in the recital of parties to this Agreement.</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PNCCM</w:t>
      </w:r>
      <w:r>
        <w:rPr>
          <w:rFonts w:ascii="Times New Roman" w:cs="Times New Roman" w:eastAsia="Times New Roman" w:hAnsi="Times New Roman"/>
          <w:sz w:val="19"/>
          <w:szCs w:val="19"/>
          <w:color w:val="auto"/>
        </w:rPr>
        <w:t>” has the meaning specified in the recital of parties to this Agreement.</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Post Petition Interest</w:t>
      </w:r>
      <w:r>
        <w:rPr>
          <w:rFonts w:ascii="Times New Roman" w:cs="Times New Roman" w:eastAsia="Times New Roman" w:hAnsi="Times New Roman"/>
          <w:sz w:val="19"/>
          <w:szCs w:val="19"/>
          <w:color w:val="auto"/>
        </w:rPr>
        <w:t>” has the meaning specified in Section 7.07(b).</w:t>
      </w:r>
    </w:p>
    <w:p>
      <w:pPr>
        <w:spacing w:after="0" w:line="214" w:lineRule="exact"/>
        <w:rPr>
          <w:sz w:val="20"/>
          <w:szCs w:val="20"/>
          <w:color w:val="auto"/>
        </w:rPr>
      </w:pPr>
    </w:p>
    <w:p>
      <w:pPr>
        <w:jc w:val="both"/>
        <w:ind w:firstLine="1497"/>
        <w:spacing w:after="0" w:line="221"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Potential Defaulting Lender</w:t>
      </w:r>
      <w:r>
        <w:rPr>
          <w:rFonts w:ascii="Times New Roman" w:cs="Times New Roman" w:eastAsia="Times New Roman" w:hAnsi="Times New Roman"/>
          <w:sz w:val="19"/>
          <w:szCs w:val="19"/>
          <w:color w:val="auto"/>
        </w:rPr>
        <w:t>” means, at any time, (i) any Lender with respect to which an event of the kind referred to in the definition of “Lender Insolvency Event” has occurred and is continuing in respect of any Subsidiary of such Lender, (ii) any Lender that has notified, or whose Parent Company or a Subsidiary thereof has notified, the Administrative Agent or the Borrower in writing, or has stated publicly, that it does not intend to comply with its funding obligations under any other loan agreement or credit agreement or other similar agreement, unless such writing or statement states that such position is based on such Lender’s determination that one or more conditions precedent to funding cannot be satisfied (which conditions precedent, together with the applicable default, if any, will be specifically identified in such writing or public statement), or (iii) any Lender that has, or whose Parent Company has, a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investment grade rating from Moody’s or S&amp;P or another nationally recognized rating agency. Any determination by the Administrative Agent that a Lender is a Potential Defaulting Lender under any of clauses (i) through (iii) above will be conclusive and binding absent manifest error, and such Lender will be deemed a Potential Defaulting Lender (subject to Section 2.18(d)) upon notification of such determination by the Administrative Agent to the Borrower and the Lenders.</w:t>
      </w:r>
    </w:p>
    <w:p>
      <w:pPr>
        <w:spacing w:after="0" w:line="187"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Preferred Interests</w:t>
      </w:r>
      <w:r>
        <w:rPr>
          <w:rFonts w:ascii="Times New Roman" w:cs="Times New Roman" w:eastAsia="Times New Roman" w:hAnsi="Times New Roman"/>
          <w:sz w:val="19"/>
          <w:szCs w:val="19"/>
          <w:color w:val="auto"/>
        </w:rPr>
        <w:t>” means, with respect to any Person, Equity Interests issued by such Person that are entitled to a preference or priority over any other Equity Interests issued by such Person upon any distribution of such Person’s property and assets, whether by dividend or upon liquidation.</w:t>
      </w:r>
    </w:p>
    <w:p>
      <w:pPr>
        <w:spacing w:after="0" w:line="170" w:lineRule="exact"/>
        <w:rPr>
          <w:sz w:val="20"/>
          <w:szCs w:val="20"/>
          <w:color w:val="auto"/>
        </w:rPr>
      </w:pPr>
    </w:p>
    <w:p>
      <w:pPr>
        <w:jc w:val="both"/>
        <w:ind w:firstLine="1497"/>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Prepayment Premium</w:t>
      </w:r>
      <w:r>
        <w:rPr>
          <w:rFonts w:ascii="Times New Roman" w:cs="Times New Roman" w:eastAsia="Times New Roman" w:hAnsi="Times New Roman"/>
          <w:sz w:val="18"/>
          <w:szCs w:val="18"/>
          <w:color w:val="auto"/>
        </w:rPr>
        <w:t>” means an amount equal to (a) 2.00% of the amount of any voluntary prepayments of principal on Advances made hereunder during the period from the Closing Date through and including September 29, 2017, (b) 1.00% of the amount of any voluntary prepayments of principal on Advances made hereunder during the period from (but excluding) September 29, 2017 through and including September 29, 2018 and (c) zero ($0) with respect to any prepayment of principal on Advances made at any time after September 29, 2018.</w:t>
      </w:r>
    </w:p>
    <w:p>
      <w:pPr>
        <w:spacing w:after="0" w:line="159"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Principal Office</w:t>
      </w:r>
      <w:r>
        <w:rPr>
          <w:rFonts w:ascii="Times New Roman" w:cs="Times New Roman" w:eastAsia="Times New Roman" w:hAnsi="Times New Roman"/>
          <w:sz w:val="19"/>
          <w:szCs w:val="19"/>
          <w:color w:val="auto"/>
        </w:rPr>
        <w:t>” means the main banking office of the Administrative Agent in Pittsburgh, Pennsylvania, or such other office located in the United States designated by the Administrative Agent.</w:t>
      </w:r>
    </w:p>
    <w:p>
      <w:pPr>
        <w:spacing w:after="0" w:line="129" w:lineRule="exact"/>
        <w:rPr>
          <w:sz w:val="20"/>
          <w:szCs w:val="20"/>
          <w:color w:val="auto"/>
        </w:rPr>
      </w:pPr>
    </w:p>
    <w:p>
      <w:pPr>
        <w:jc w:val="both"/>
        <w:ind w:firstLine="1497"/>
        <w:spacing w:after="0" w:line="244"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Property</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b w:val="1"/>
          <w:bCs w:val="1"/>
          <w:i w:val="1"/>
          <w:iCs w:val="1"/>
          <w:color w:val="auto"/>
        </w:rPr>
        <w:t>Level Subsidiary</w:t>
      </w:r>
      <w:r>
        <w:rPr>
          <w:rFonts w:ascii="Times New Roman" w:cs="Times New Roman" w:eastAsia="Times New Roman" w:hAnsi="Times New Roman"/>
          <w:sz w:val="19"/>
          <w:szCs w:val="19"/>
          <w:color w:val="auto"/>
        </w:rPr>
        <w:t>” means any Subsidiary of the Borrower or any Joint Venture that holds a direct fee or leasehold interest in any single building (or group of related buildings, including, without limitation, buildings pooled for purposes of a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Recourse Debt financing) or parcel (or group of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-372745</wp:posOffset>
            </wp:positionV>
            <wp:extent cx="66040" cy="400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6040" cy="40005"/>
                    </a:xfrm>
                    <a:prstGeom prst="rect">
                      <a:avLst/>
                    </a:prstGeom>
                    <a:noFill/>
                  </pic:spPr>
                </pic:pic>
              </a:graphicData>
            </a:graphic>
          </wp:anchor>
        </w:drawing>
      </w:r>
    </w:p>
    <w:p>
      <w:pPr>
        <w:spacing w:after="0" w:line="3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22" w:name="page223"/>
    <w:bookmarkEnd w:id="222"/>
    <w:p>
      <w:pPr>
        <w:jc w:val="both"/>
        <w:spacing w:after="0" w:line="252" w:lineRule="exact"/>
        <w:rPr>
          <w:sz w:val="20"/>
          <w:szCs w:val="20"/>
          <w:color w:val="auto"/>
        </w:rPr>
      </w:pPr>
      <w:r>
        <w:rPr>
          <w:rFonts w:ascii="Times New Roman" w:cs="Times New Roman" w:eastAsia="Times New Roman" w:hAnsi="Times New Roman"/>
          <w:sz w:val="19"/>
          <w:szCs w:val="19"/>
          <w:color w:val="auto"/>
        </w:rPr>
        <w:t>parcels, including, without limitation, parcels pooled for purposes of a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Recourse Debt financing) of real property and related assets and not in any other building or parcel of real property.</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“Proposed Increased Commitment” </w:t>
      </w:r>
      <w:r>
        <w:rPr>
          <w:rFonts w:ascii="Times New Roman" w:cs="Times New Roman" w:eastAsia="Times New Roman" w:hAnsi="Times New Roman"/>
          <w:sz w:val="19"/>
          <w:szCs w:val="19"/>
          <w:color w:val="auto"/>
        </w:rPr>
        <w:t>has the meaning specified in Section 2.17(b).</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Proposed Modification</w:t>
      </w:r>
      <w:r>
        <w:rPr>
          <w:rFonts w:ascii="Times New Roman" w:cs="Times New Roman" w:eastAsia="Times New Roman" w:hAnsi="Times New Roman"/>
          <w:sz w:val="19"/>
          <w:szCs w:val="19"/>
          <w:color w:val="auto"/>
        </w:rPr>
        <w:t>” has the meaning specified in Section 9.01(e).</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Pro Rata Share</w:t>
      </w:r>
      <w:r>
        <w:rPr>
          <w:rFonts w:ascii="Times New Roman" w:cs="Times New Roman" w:eastAsia="Times New Roman" w:hAnsi="Times New Roman"/>
          <w:sz w:val="19"/>
          <w:szCs w:val="19"/>
          <w:color w:val="auto"/>
        </w:rPr>
        <w:t xml:space="preserve">” of any amount means, with respect to any Lender at any time, the product of such amount </w:t>
      </w:r>
      <w:r>
        <w:rPr>
          <w:rFonts w:ascii="Times New Roman" w:cs="Times New Roman" w:eastAsia="Times New Roman" w:hAnsi="Times New Roman"/>
          <w:sz w:val="19"/>
          <w:szCs w:val="19"/>
          <w:i w:val="1"/>
          <w:iCs w:val="1"/>
          <w:color w:val="auto"/>
        </w:rPr>
        <w:t>times</w:t>
      </w:r>
      <w:r>
        <w:rPr>
          <w:rFonts w:ascii="Times New Roman" w:cs="Times New Roman" w:eastAsia="Times New Roman" w:hAnsi="Times New Roman"/>
          <w:sz w:val="19"/>
          <w:szCs w:val="19"/>
          <w:color w:val="auto"/>
        </w:rPr>
        <w:t xml:space="preserve"> a fraction the numerator of which is the aggregate amount of such Lender’s Advances outstanding at such time and the denominator of which is the aggregate Facility Exposure at such time.</w:t>
      </w:r>
    </w:p>
    <w:p>
      <w:pPr>
        <w:spacing w:after="0" w:line="170" w:lineRule="exact"/>
        <w:rPr>
          <w:sz w:val="20"/>
          <w:szCs w:val="20"/>
          <w:color w:val="auto"/>
        </w:rPr>
      </w:pPr>
    </w:p>
    <w:p>
      <w:pPr>
        <w:jc w:val="both"/>
        <w:ind w:right="20"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PTE</w:t>
      </w:r>
      <w:r>
        <w:rPr>
          <w:rFonts w:ascii="Times New Roman" w:cs="Times New Roman" w:eastAsia="Times New Roman" w:hAnsi="Times New Roman"/>
          <w:sz w:val="19"/>
          <w:szCs w:val="19"/>
          <w:color w:val="auto"/>
        </w:rPr>
        <w:t>” means a prohibited transaction class exemption issued by the U.S. Department of Labor, as any such exemption may be amended from time to time.</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QFC</w:t>
      </w:r>
      <w:r>
        <w:rPr>
          <w:rFonts w:ascii="Times New Roman" w:cs="Times New Roman" w:eastAsia="Times New Roman" w:hAnsi="Times New Roman"/>
          <w:sz w:val="19"/>
          <w:szCs w:val="19"/>
          <w:color w:val="auto"/>
        </w:rPr>
        <w:t>” has the meaning specified in Section 9.21(b).</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QFC Credit Support</w:t>
      </w:r>
      <w:r>
        <w:rPr>
          <w:rFonts w:ascii="Times New Roman" w:cs="Times New Roman" w:eastAsia="Times New Roman" w:hAnsi="Times New Roman"/>
          <w:sz w:val="19"/>
          <w:szCs w:val="19"/>
          <w:color w:val="auto"/>
        </w:rPr>
        <w:t>” has the meaning specified in Section 9.21.</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Qualified ECP Guarantor</w:t>
      </w:r>
      <w:r>
        <w:rPr>
          <w:rFonts w:ascii="Times New Roman" w:cs="Times New Roman" w:eastAsia="Times New Roman" w:hAnsi="Times New Roman"/>
          <w:sz w:val="19"/>
          <w:szCs w:val="19"/>
          <w:color w:val="auto"/>
        </w:rPr>
        <w:t>” means, in respect of any Swap Obligation, each Guarantor that has total assets exceeding $10,000,000 at the time such Swap Obligation is incurred or such other Person as constitutes an ECP under the Commodity Exchange Act or any regulations promulgated thereunder.</w:t>
      </w:r>
    </w:p>
    <w:p>
      <w:pPr>
        <w:spacing w:after="0" w:line="170"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Qualified Ground Lease</w:t>
      </w:r>
      <w:r>
        <w:rPr>
          <w:rFonts w:ascii="Times New Roman" w:cs="Times New Roman" w:eastAsia="Times New Roman" w:hAnsi="Times New Roman"/>
          <w:sz w:val="19"/>
          <w:szCs w:val="19"/>
          <w:color w:val="auto"/>
        </w:rPr>
        <w:t>” means a ground lease of Real Property containing the following terms and conditions: (a) a remaining term (inclusive of any unexercised extension options as to which there are no unsatisfied conditions precedent, other than the giving of notice of exercise) of 30 years or more from the Closing Date; (b) the right of the lessee to mortgage and encumber its interest in the leased property without the consent of the lessor; (c)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foreclosures, and fails to do so; (d) reasonable transferability of the lessee’s interest under such lease, including the ability to sublease; and (e) such other rights customarily required by mortgagees making a loan secured by the interest of the holder of a leasehold estate demised pursuant to a ground lease.</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Ratings Grid Election</w:t>
      </w:r>
      <w:r>
        <w:rPr>
          <w:rFonts w:ascii="Times New Roman" w:cs="Times New Roman" w:eastAsia="Times New Roman" w:hAnsi="Times New Roman"/>
          <w:sz w:val="19"/>
          <w:szCs w:val="19"/>
          <w:color w:val="auto"/>
        </w:rPr>
        <w:t>” has the meaning specified in the definition of “Applicable Margin”.</w:t>
      </w:r>
    </w:p>
    <w:p>
      <w:pPr>
        <w:spacing w:after="0" w:line="214"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Real Property</w:t>
      </w:r>
      <w:r>
        <w:rPr>
          <w:rFonts w:ascii="Times New Roman" w:cs="Times New Roman" w:eastAsia="Times New Roman" w:hAnsi="Times New Roman"/>
          <w:sz w:val="19"/>
          <w:szCs w:val="19"/>
          <w:color w:val="auto"/>
        </w:rPr>
        <w:t>” means all right, title and interest of the Borrower and each of its Subsidiaries in and to any land and any improvements and fixtures located thereon.</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Recipient</w:t>
      </w:r>
      <w:r>
        <w:rPr>
          <w:rFonts w:ascii="Times New Roman" w:cs="Times New Roman" w:eastAsia="Times New Roman" w:hAnsi="Times New Roman"/>
          <w:sz w:val="19"/>
          <w:szCs w:val="19"/>
          <w:color w:val="auto"/>
        </w:rPr>
        <w:t>” means (a) the Administrative Agent or (b) any Lender.</w:t>
      </w:r>
    </w:p>
    <w:p>
      <w:pPr>
        <w:spacing w:after="0" w:line="214" w:lineRule="exact"/>
        <w:rPr>
          <w:sz w:val="20"/>
          <w:szCs w:val="20"/>
          <w:color w:val="auto"/>
        </w:rPr>
      </w:pPr>
    </w:p>
    <w:p>
      <w:pPr>
        <w:jc w:val="both"/>
        <w:ind w:firstLine="1497"/>
        <w:spacing w:after="0" w:line="226"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Recourse Debt</w:t>
      </w:r>
      <w:r>
        <w:rPr>
          <w:rFonts w:ascii="Times New Roman" w:cs="Times New Roman" w:eastAsia="Times New Roman" w:hAnsi="Times New Roman"/>
          <w:sz w:val="19"/>
          <w:szCs w:val="19"/>
          <w:color w:val="auto"/>
        </w:rPr>
        <w:t>” means Debt (excluding Non-Recourse Debt) for which the Parent or any of its Subsidiaries (other than a Property-Level Subsidiary that is not a Loan Party or the owner of an Unencumbered Asset) has personal or recourse liability in whole or in part, exclusive of any such Debt for which such personal or recourse liability is limited to obligations under debt instruments that include Customary Carve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Out Agreements and limited obligation guaranties,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to the extent a claim shall have been made under such Customary Carve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Out Agreements or limited obligation guaranties as to which the Parent or any of its Subsidiaries, as applicable, has taken reserves in accordance with GAAP, the amount of such reserves shall be included in the amount of Recourse Debt.</w:t>
      </w:r>
    </w:p>
    <w:p>
      <w:pPr>
        <w:spacing w:after="0" w:line="184" w:lineRule="exact"/>
        <w:rPr>
          <w:sz w:val="20"/>
          <w:szCs w:val="20"/>
          <w:color w:val="auto"/>
        </w:rPr>
      </w:pPr>
    </w:p>
    <w:p>
      <w:pPr>
        <w:jc w:val="both"/>
        <w:ind w:right="20"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Redevelopment Asset</w:t>
      </w:r>
      <w:r>
        <w:rPr>
          <w:rFonts w:ascii="Times New Roman" w:cs="Times New Roman" w:eastAsia="Times New Roman" w:hAnsi="Times New Roman"/>
          <w:sz w:val="19"/>
          <w:szCs w:val="19"/>
          <w:color w:val="auto"/>
        </w:rPr>
        <w:t>” means an Asset which either (i) has been acquired with a view toward renovating or rehabilitating such Asset, or (ii) the Borrower or a Subsidiary thereof intends to renovate or rehabilitate. Upon the Borrower’s written election delivered to the Administrative Agent, any Redevelopment Asset set forth in such written election shall continue to be classified as a Redevelopment Asset hereunder until</w:t>
      </w:r>
    </w:p>
    <w:p>
      <w:pPr>
        <w:spacing w:after="0" w:line="3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223" w:name="page224"/>
    <w:bookmarkEnd w:id="223"/>
    <w:p>
      <w:pPr>
        <w:jc w:val="both"/>
        <w:spacing w:after="0" w:line="265" w:lineRule="auto"/>
        <w:rPr>
          <w:sz w:val="20"/>
          <w:szCs w:val="20"/>
          <w:color w:val="auto"/>
        </w:rPr>
      </w:pPr>
      <w:r>
        <w:rPr>
          <w:rFonts w:ascii="Times New Roman" w:cs="Times New Roman" w:eastAsia="Times New Roman" w:hAnsi="Times New Roman"/>
          <w:sz w:val="19"/>
          <w:szCs w:val="19"/>
          <w:color w:val="auto"/>
        </w:rPr>
        <w:t>the end of the four complete consecutive fiscal quarters of the Parent following the achievement of Substantial Completion with respect to such Asset, following which such Asset shall be classified as an Office Asset or a Mixed Use Asset, as applicable, hereunder.</w:t>
      </w:r>
    </w:p>
    <w:p>
      <w:pPr>
        <w:spacing w:after="0" w:line="160"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Refinancing Debt</w:t>
      </w:r>
      <w:r>
        <w:rPr>
          <w:rFonts w:ascii="Times New Roman" w:cs="Times New Roman" w:eastAsia="Times New Roman" w:hAnsi="Times New Roman"/>
          <w:sz w:val="19"/>
          <w:szCs w:val="19"/>
          <w:color w:val="auto"/>
        </w:rPr>
        <w:t xml:space="preserve">” means, with respect to any Debt for borrowed money, any Debt for borrowed money extending the maturity of, or refunding or refinancing, in whole or in part, such Debt for borrowed money,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the terms of any Refinancing Debt, and of any agreement entered into and of any instrument issued in connection therewith, (i) do not provide for any Lien on any Unencumbered Assets, and (ii) are not otherwise prohibited by the Loan Documents, (b) the principal amount of such Debt shall not exceed the principal amount of the Debt being extended, refunded or refinanced plus the amount of any applicable premium and expenses, and (c) the other material terms, taken as a whole, of any such Debt are no less favorable in any material respect to the Loan Parties or the Lenders than the terms governing the Debt being extended, refunded or refinanced.</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Register</w:t>
      </w:r>
      <w:r>
        <w:rPr>
          <w:rFonts w:ascii="Times New Roman" w:cs="Times New Roman" w:eastAsia="Times New Roman" w:hAnsi="Times New Roman"/>
          <w:sz w:val="19"/>
          <w:szCs w:val="19"/>
          <w:color w:val="auto"/>
        </w:rPr>
        <w:t>” has the meaning specified in Section 9.07(d).</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Regulation U</w:t>
      </w:r>
      <w:r>
        <w:rPr>
          <w:rFonts w:ascii="Times New Roman" w:cs="Times New Roman" w:eastAsia="Times New Roman" w:hAnsi="Times New Roman"/>
          <w:sz w:val="19"/>
          <w:szCs w:val="19"/>
          <w:color w:val="auto"/>
        </w:rPr>
        <w:t>” means Regulation U of the Board of Governors of the Federal Reserve System, as in effect from time to time.</w:t>
      </w:r>
    </w:p>
    <w:p>
      <w:pPr>
        <w:spacing w:after="0" w:line="190" w:lineRule="exact"/>
        <w:rPr>
          <w:sz w:val="20"/>
          <w:szCs w:val="20"/>
          <w:color w:val="auto"/>
        </w:rPr>
      </w:pPr>
    </w:p>
    <w:p>
      <w:pPr>
        <w:jc w:val="both"/>
        <w:ind w:firstLine="1497"/>
        <w:spacing w:after="0" w:line="252"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REIT</w:t>
      </w:r>
      <w:r>
        <w:rPr>
          <w:rFonts w:ascii="Times New Roman" w:cs="Times New Roman" w:eastAsia="Times New Roman" w:hAnsi="Times New Roman"/>
          <w:sz w:val="19"/>
          <w:szCs w:val="19"/>
          <w:color w:val="auto"/>
        </w:rPr>
        <w:t>” means a Person that is qualified to be treated for tax purposes as a real estate investment trust under Sections 856</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860 of the Internal Revenue Code.</w:t>
      </w:r>
    </w:p>
    <w:p>
      <w:pPr>
        <w:spacing w:after="0" w:line="182"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Related Parties</w:t>
      </w:r>
      <w:r>
        <w:rPr>
          <w:rFonts w:ascii="Times New Roman" w:cs="Times New Roman" w:eastAsia="Times New Roman" w:hAnsi="Times New Roman"/>
          <w:sz w:val="19"/>
          <w:szCs w:val="19"/>
          <w:color w:val="auto"/>
        </w:rPr>
        <w:t>” means, with respect to any Person, such Person’s Affiliates and the partners, directors, officers, employees, agents, trustees, administrators, managers, advisors and representatives of such Persons and of such Person’s Affiliates.</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Release Event</w:t>
      </w:r>
      <w:r>
        <w:rPr>
          <w:rFonts w:ascii="Times New Roman" w:cs="Times New Roman" w:eastAsia="Times New Roman" w:hAnsi="Times New Roman"/>
          <w:sz w:val="19"/>
          <w:szCs w:val="19"/>
          <w:color w:val="auto"/>
        </w:rPr>
        <w:t>” has the meaning specified in Section 9.14(a).</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Relevant Governmental Body</w:t>
      </w:r>
      <w:r>
        <w:rPr>
          <w:rFonts w:ascii="Times New Roman" w:cs="Times New Roman" w:eastAsia="Times New Roman" w:hAnsi="Times New Roman"/>
          <w:sz w:val="19"/>
          <w:szCs w:val="19"/>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30"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Replacement Lender</w:t>
      </w:r>
      <w:r>
        <w:rPr>
          <w:rFonts w:ascii="Times New Roman" w:cs="Times New Roman" w:eastAsia="Times New Roman" w:hAnsi="Times New Roman"/>
          <w:sz w:val="19"/>
          <w:szCs w:val="19"/>
          <w:color w:val="auto"/>
        </w:rPr>
        <w:t>” means an Eligible Assignee designated by the Borrower and approved by the Administrative Agent (such approval not to be unreasonably withheld, conditioned or delayed).</w:t>
      </w:r>
    </w:p>
    <w:p>
      <w:pPr>
        <w:spacing w:after="0" w:line="153"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Required Lenders</w:t>
      </w:r>
      <w:r>
        <w:rPr>
          <w:rFonts w:ascii="Times New Roman" w:cs="Times New Roman" w:eastAsia="Times New Roman" w:hAnsi="Times New Roman"/>
          <w:sz w:val="19"/>
          <w:szCs w:val="19"/>
          <w:color w:val="auto"/>
        </w:rPr>
        <w:t xml:space="preserve">” means, at any time, Lenders holding greater than 50% of the aggregate Commitments (whether funded or unfunded) at such time;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at all times when there are two or more Lenders holding Commitments, “Required Lenders” must include two or more Lenders;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the Commitments held by any then-current Defaulting Lender shall be subtracted from the aggregate Commitments for the purpose of calculating the Required Lenders at such time as provided in Section 9.01(c).</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Resolution Authority</w:t>
      </w:r>
      <w:r>
        <w:rPr>
          <w:rFonts w:ascii="Times New Roman" w:cs="Times New Roman" w:eastAsia="Times New Roman" w:hAnsi="Times New Roman"/>
          <w:sz w:val="19"/>
          <w:szCs w:val="19"/>
          <w:color w:val="auto"/>
        </w:rPr>
        <w:t>” means an EEA Resolution Authority or, with respect to any UK Financial Institution, a UK Resolution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Authority.</w:t>
      </w:r>
    </w:p>
    <w:p>
      <w:pPr>
        <w:spacing w:after="0" w:line="188"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Responsible Officer</w:t>
      </w:r>
      <w:r>
        <w:rPr>
          <w:rFonts w:ascii="Times New Roman" w:cs="Times New Roman" w:eastAsia="Times New Roman" w:hAnsi="Times New Roman"/>
          <w:sz w:val="19"/>
          <w:szCs w:val="19"/>
          <w:color w:val="auto"/>
        </w:rPr>
        <w:t>” means, with respect to any Loan Party, any officer of, or any officer of any general partner or managing member of, such Loan Party, which Officer has (a) responsibility for performing the underlying function that is the subject of the action required of such officer hereunder, or (b) supervisory responsibility for such an officer.</w:t>
      </w:r>
    </w:p>
    <w:p>
      <w:pPr>
        <w:spacing w:after="0" w:line="170" w:lineRule="exact"/>
        <w:rPr>
          <w:sz w:val="20"/>
          <w:szCs w:val="20"/>
          <w:color w:val="auto"/>
        </w:rPr>
      </w:pPr>
    </w:p>
    <w:p>
      <w:pPr>
        <w:jc w:val="both"/>
        <w:ind w:right="20"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Payments</w:t>
      </w:r>
      <w:r>
        <w:rPr>
          <w:rFonts w:ascii="Times New Roman" w:cs="Times New Roman" w:eastAsia="Times New Roman" w:hAnsi="Times New Roman"/>
          <w:sz w:val="19"/>
          <w:szCs w:val="19"/>
          <w:color w:val="auto"/>
        </w:rPr>
        <w:t>” means, in the case of any Person, to declare or pay any dividends, purchase, redeem, retire, defease or otherwise acquire for value any of its Equity Interests now or hereafter outstanding, return any capital to its stockholders, partners or members (or the equivalent Persons thereof) as such, or to make any distribution of assets, Equity Interests, obligations or securities to its stockholders, partners</w:t>
      </w:r>
    </w:p>
    <w:p>
      <w:pPr>
        <w:spacing w:after="0" w:line="3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24" w:name="page225"/>
    <w:bookmarkEnd w:id="224"/>
    <w:p>
      <w:pPr>
        <w:jc w:val="both"/>
        <w:spacing w:after="0" w:line="226" w:lineRule="exact"/>
        <w:rPr>
          <w:sz w:val="20"/>
          <w:szCs w:val="20"/>
          <w:color w:val="auto"/>
        </w:rPr>
      </w:pPr>
      <w:r>
        <w:rPr>
          <w:rFonts w:ascii="Times New Roman" w:cs="Times New Roman" w:eastAsia="Times New Roman" w:hAnsi="Times New Roman"/>
          <w:sz w:val="19"/>
          <w:szCs w:val="19"/>
          <w:color w:val="auto"/>
        </w:rPr>
        <w:t>or members (or the equivalent Persons thereof) as such (including, in each case, by way of a Division), except for (i) any purchase, redemption or other acquisition of Equity Interests with the proceeds of issuances of new common Equity Interests occurring not more than one year prior to such purchase, redemption or other acquisition and (ii)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cash payments in connection with employee, trustee and director stock option plans or similar incentive arrangements.</w:t>
      </w:r>
    </w:p>
    <w:p>
      <w:pPr>
        <w:spacing w:after="0" w:line="1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Subsidiary</w:t>
      </w:r>
      <w:r>
        <w:rPr>
          <w:rFonts w:ascii="Times New Roman" w:cs="Times New Roman" w:eastAsia="Times New Roman" w:hAnsi="Times New Roman"/>
          <w:sz w:val="19"/>
          <w:szCs w:val="19"/>
          <w:color w:val="auto"/>
        </w:rPr>
        <w:t>” shall mean each Subsidiary of the Parent that is not an Unrestricted Subsidiary.</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RFR</w:t>
      </w:r>
      <w:r>
        <w:rPr>
          <w:rFonts w:ascii="Times New Roman" w:cs="Times New Roman" w:eastAsia="Times New Roman" w:hAnsi="Times New Roman"/>
          <w:sz w:val="19"/>
          <w:szCs w:val="19"/>
          <w:color w:val="auto"/>
        </w:rPr>
        <w:t>” means, for any Obligations, interest, fees, commissions or other amounts denominated or calculated in Dollars, Daily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Simple SOFR.</w:t>
      </w:r>
    </w:p>
    <w:p>
      <w:pPr>
        <w:spacing w:after="0" w:line="1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S&amp;P</w:t>
      </w:r>
      <w:r>
        <w:rPr>
          <w:rFonts w:ascii="Times New Roman" w:cs="Times New Roman" w:eastAsia="Times New Roman" w:hAnsi="Times New Roman"/>
          <w:sz w:val="19"/>
          <w:szCs w:val="19"/>
          <w:color w:val="auto"/>
        </w:rPr>
        <w:t>” means S&amp;P Global Ratings, a division of S&amp;P Global Inc., and any successor thereto.</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Sale and Leaseback Transaction</w:t>
      </w:r>
      <w:r>
        <w:rPr>
          <w:rFonts w:ascii="Times New Roman" w:cs="Times New Roman" w:eastAsia="Times New Roman" w:hAnsi="Times New Roman"/>
          <w:sz w:val="19"/>
          <w:szCs w:val="19"/>
          <w:color w:val="auto"/>
        </w:rPr>
        <w:t>” shall mean any arrangement with any Person providing for the leasing by the Borrower or any of its Subsidiaries of any Real Property that has been sold or transferred or is to be sold or transferred by the Borrower or such Subsidiary, as the case may be, to such Person.</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Sanctions</w:t>
      </w:r>
      <w:r>
        <w:rPr>
          <w:rFonts w:ascii="Times New Roman" w:cs="Times New Roman" w:eastAsia="Times New Roman" w:hAnsi="Times New Roman"/>
          <w:sz w:val="19"/>
          <w:szCs w:val="19"/>
          <w:color w:val="auto"/>
        </w:rPr>
        <w:t>” has the meaning set forth in Section 4.01(x).</w:t>
      </w:r>
    </w:p>
    <w:p>
      <w:pPr>
        <w:spacing w:after="0" w:line="190" w:lineRule="exact"/>
        <w:rPr>
          <w:sz w:val="20"/>
          <w:szCs w:val="20"/>
          <w:color w:val="auto"/>
        </w:rPr>
      </w:pPr>
    </w:p>
    <w:p>
      <w:pPr>
        <w:ind w:left="1500"/>
        <w:spacing w:after="0" w:line="219"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Sarbanes</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b w:val="1"/>
          <w:bCs w:val="1"/>
          <w:i w:val="1"/>
          <w:iCs w:val="1"/>
          <w:color w:val="auto"/>
        </w:rPr>
        <w:t>Oxley</w:t>
      </w:r>
      <w:r>
        <w:rPr>
          <w:rFonts w:ascii="Times New Roman" w:cs="Times New Roman" w:eastAsia="Times New Roman" w:hAnsi="Times New Roman"/>
          <w:sz w:val="19"/>
          <w:szCs w:val="19"/>
          <w:color w:val="auto"/>
        </w:rPr>
        <w:t>” means the Sarbanes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Oxley Act of 2002,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-46355</wp:posOffset>
            </wp:positionV>
            <wp:extent cx="66040" cy="400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6040" cy="40005"/>
                    </a:xfrm>
                    <a:prstGeom prst="rect">
                      <a:avLst/>
                    </a:prstGeom>
                    <a:noFill/>
                  </pic:spPr>
                </pic:pic>
              </a:graphicData>
            </a:graphic>
          </wp:anchor>
        </w:drawing>
      </w:r>
    </w:p>
    <w:p>
      <w:pPr>
        <w:spacing w:after="0" w:line="231"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Secured Debt</w:t>
      </w:r>
      <w:r>
        <w:rPr>
          <w:rFonts w:ascii="Times New Roman" w:cs="Times New Roman" w:eastAsia="Times New Roman" w:hAnsi="Times New Roman"/>
          <w:sz w:val="19"/>
          <w:szCs w:val="19"/>
          <w:color w:val="auto"/>
        </w:rPr>
        <w:t>” means, at any date of determination, all Debt which is secured by a Lien on the assets of the Parent or any of its Subsidiaries (without regard to whether such Debt is Recourse Debt), as at the end of the most recently ended fiscal quarter of the Parent for which financial statements are required to be delivered to the Lenders pursuant to Section 5.03(b) or (c), as the case may be.</w:t>
      </w:r>
    </w:p>
    <w:p>
      <w:pPr>
        <w:spacing w:after="0" w:line="17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Secured Debt Leverage Ratio</w:t>
      </w:r>
      <w:r>
        <w:rPr>
          <w:rFonts w:ascii="Times New Roman" w:cs="Times New Roman" w:eastAsia="Times New Roman" w:hAnsi="Times New Roman"/>
          <w:sz w:val="19"/>
          <w:szCs w:val="19"/>
          <w:color w:val="auto"/>
        </w:rPr>
        <w:t xml:space="preserve">” means, at any date of determination, the ratio, expressed as a percentage, of (a) Secured Debt of the Parent and its Subsidiaries </w:t>
      </w:r>
      <w:r>
        <w:rPr>
          <w:rFonts w:ascii="Times New Roman" w:cs="Times New Roman" w:eastAsia="Times New Roman" w:hAnsi="Times New Roman"/>
          <w:sz w:val="19"/>
          <w:szCs w:val="19"/>
          <w:i w:val="1"/>
          <w:iCs w:val="1"/>
          <w:color w:val="auto"/>
        </w:rPr>
        <w:t>less</w:t>
      </w:r>
      <w:r>
        <w:rPr>
          <w:rFonts w:ascii="Times New Roman" w:cs="Times New Roman" w:eastAsia="Times New Roman" w:hAnsi="Times New Roman"/>
          <w:sz w:val="19"/>
          <w:szCs w:val="19"/>
          <w:color w:val="auto"/>
        </w:rPr>
        <w:t xml:space="preserve"> the amount by which the aggregate Unrestricted Cash and Cash Equivalents of the Parent and its Subsidiaries at such time exceeds $10,000,000 (the “</w:t>
      </w:r>
      <w:r>
        <w:rPr>
          <w:rFonts w:ascii="Times New Roman" w:cs="Times New Roman" w:eastAsia="Times New Roman" w:hAnsi="Times New Roman"/>
          <w:sz w:val="19"/>
          <w:szCs w:val="19"/>
          <w:b w:val="1"/>
          <w:bCs w:val="1"/>
          <w:i w:val="1"/>
          <w:iCs w:val="1"/>
          <w:color w:val="auto"/>
        </w:rPr>
        <w:t>Secured Debt Leverage Ratio Adjustment</w:t>
      </w:r>
      <w:r>
        <w:rPr>
          <w:rFonts w:ascii="Times New Roman" w:cs="Times New Roman" w:eastAsia="Times New Roman" w:hAnsi="Times New Roman"/>
          <w:sz w:val="19"/>
          <w:szCs w:val="19"/>
          <w:color w:val="auto"/>
        </w:rPr>
        <w:t xml:space="preserve">”) to (b) Total Asset Value;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for purposes of clause (a), Unrestricted Cash and Cash Equivalents shall be adjusted to deduct therefrom any Unrestricted Cash and Cash Equivalents used to determine the Unsecured Leverage Ratio Adjustment.</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Secured Debt Leverage Ratio Adjustment</w:t>
      </w:r>
      <w:r>
        <w:rPr>
          <w:rFonts w:ascii="Times New Roman" w:cs="Times New Roman" w:eastAsia="Times New Roman" w:hAnsi="Times New Roman"/>
          <w:sz w:val="19"/>
          <w:szCs w:val="19"/>
          <w:color w:val="auto"/>
        </w:rPr>
        <w:t>” has the meaning specified in the definition of Secured Debt Leverage Ratio.</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Securities Act</w:t>
      </w:r>
      <w:r>
        <w:rPr>
          <w:rFonts w:ascii="Times New Roman" w:cs="Times New Roman" w:eastAsia="Times New Roman" w:hAnsi="Times New Roman"/>
          <w:sz w:val="19"/>
          <w:szCs w:val="19"/>
          <w:color w:val="auto"/>
        </w:rPr>
        <w:t>” means the Securities Act of 1933, as amended to the date hereof and from time to time hereafter, and any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successor statute.</w:t>
      </w:r>
    </w:p>
    <w:p>
      <w:pPr>
        <w:spacing w:after="0" w:line="188"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Securities Exchange Act</w:t>
      </w:r>
      <w:r>
        <w:rPr>
          <w:rFonts w:ascii="Times New Roman" w:cs="Times New Roman" w:eastAsia="Times New Roman" w:hAnsi="Times New Roman"/>
          <w:sz w:val="19"/>
          <w:szCs w:val="19"/>
          <w:color w:val="auto"/>
        </w:rPr>
        <w:t>” means the Securities Exchange Act of 1934, as amended to the date hereof and from time to time hereafter, and any successor statute.</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Senior Financing Loan Documents</w:t>
      </w:r>
      <w:r>
        <w:rPr>
          <w:rFonts w:ascii="Times New Roman" w:cs="Times New Roman" w:eastAsia="Times New Roman" w:hAnsi="Times New Roman"/>
          <w:sz w:val="19"/>
          <w:szCs w:val="19"/>
          <w:color w:val="auto"/>
        </w:rPr>
        <w:t>” means the loan documents relating to any Senior Financing Transaction.</w:t>
      </w:r>
    </w:p>
    <w:p>
      <w:pPr>
        <w:spacing w:after="0" w:line="21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Senior Financing Transaction</w:t>
      </w:r>
      <w:r>
        <w:rPr>
          <w:rFonts w:ascii="Times New Roman" w:cs="Times New Roman" w:eastAsia="Times New Roman" w:hAnsi="Times New Roman"/>
          <w:sz w:val="19"/>
          <w:szCs w:val="19"/>
          <w:color w:val="auto"/>
        </w:rPr>
        <w:t xml:space="preserve">” means a financing transaction (including, without limitation, the financing transactions pursuant to the Existing Credit Agreement </w:t>
      </w:r>
      <w:r>
        <w:rPr>
          <w:rFonts w:ascii="Times New Roman" w:cs="Times New Roman" w:eastAsia="Times New Roman" w:hAnsi="Times New Roman"/>
          <w:sz w:val="19"/>
          <w:szCs w:val="19"/>
          <w:color w:val="FF0000"/>
        </w:rPr>
        <w:t>and</w:t>
      </w:r>
      <w:r>
        <w:rPr>
          <w:rFonts w:ascii="Times New Roman" w:cs="Times New Roman" w:eastAsia="Times New Roman" w:hAnsi="Times New Roman"/>
          <w:sz w:val="19"/>
          <w:szCs w:val="19"/>
          <w:b w:val="1"/>
          <w:bCs w:val="1"/>
          <w:u w:val="single" w:color="auto"/>
          <w:color w:val="0000FF"/>
        </w:rPr>
        <w:t>, the</w:t>
      </w:r>
      <w:r>
        <w:rPr>
          <w:rFonts w:ascii="Times New Roman" w:cs="Times New Roman" w:eastAsia="Times New Roman" w:hAnsi="Times New Roman"/>
          <w:sz w:val="19"/>
          <w:szCs w:val="19"/>
          <w:color w:val="auto"/>
        </w:rPr>
        <w:t xml:space="preserve"> Existing Revolving Credit </w:t>
      </w:r>
      <w:r>
        <w:rPr>
          <w:rFonts w:ascii="Times New Roman" w:cs="Times New Roman" w:eastAsia="Times New Roman" w:hAnsi="Times New Roman"/>
          <w:sz w:val="19"/>
          <w:szCs w:val="19"/>
          <w:b w:val="1"/>
          <w:bCs w:val="1"/>
          <w:u w:val="single" w:color="auto"/>
          <w:color w:val="0000FF"/>
        </w:rPr>
        <w:t>Agreement and the 2026 Term Loan</w:t>
      </w:r>
      <w:r>
        <w:rPr>
          <w:rFonts w:ascii="Times New Roman" w:cs="Times New Roman" w:eastAsia="Times New Roman" w:hAnsi="Times New Roman"/>
          <w:sz w:val="19"/>
          <w:szCs w:val="19"/>
          <w:color w:val="auto"/>
        </w:rPr>
        <w:t xml:space="preserve"> Agreement) in which senior Unsecured Debt or senior Secured Debt (other than Debt under Customary Carveout Agreements) is the obligation of any Loan Party. For the avoidance of doubt, subject to Section 5.02(p) and Section 9.14(a), any Restricted Subsidiary of the Parent and/or the Borrower may be an obligor with respect to such financing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2067560</wp:posOffset>
            </wp:positionH>
            <wp:positionV relativeFrom="paragraph">
              <wp:posOffset>-492760</wp:posOffset>
            </wp:positionV>
            <wp:extent cx="2032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03200" cy="8890"/>
                    </a:xfrm>
                    <a:prstGeom prst="rect">
                      <a:avLst/>
                    </a:prstGeom>
                    <a:noFill/>
                  </pic:spPr>
                </pic:pic>
              </a:graphicData>
            </a:graphic>
          </wp:anchor>
        </w:drawing>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25" w:name="page226"/>
    <w:bookmarkEnd w:id="225"/>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Single Employer Plan</w:t>
      </w:r>
      <w:r>
        <w:rPr>
          <w:rFonts w:ascii="Times New Roman" w:cs="Times New Roman" w:eastAsia="Times New Roman" w:hAnsi="Times New Roman"/>
          <w:sz w:val="19"/>
          <w:szCs w:val="19"/>
          <w:color w:val="auto"/>
        </w:rPr>
        <w:t>” means a single employer plan, as defined in Section 4001(a)(15) of ERISA, that (a) is maintained for employees of any Loan Party or any ERISA Affiliate and no Person other than the Loan Parties and the ERISA Affiliates or (b) was so maintained and in respect of which any Loan Party or any ERISA Affiliate could have liability under Section 4069 of ERISA in the event such plan has been or were to be terminated.</w:t>
      </w:r>
    </w:p>
    <w:p>
      <w:pPr>
        <w:spacing w:after="0" w:line="177"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SOFR</w:t>
      </w:r>
      <w:r>
        <w:rPr>
          <w:rFonts w:ascii="Times New Roman" w:cs="Times New Roman" w:eastAsia="Times New Roman" w:hAnsi="Times New Roman"/>
          <w:sz w:val="19"/>
          <w:szCs w:val="19"/>
          <w:color w:val="auto"/>
        </w:rPr>
        <w:t>” means a rate per annum equal to the secured overnight financing rate for the applicable Business Day published by the Federal Reserve Bank of New York (or a successor administrator of the secured overnight financing rate) on the SOFR Administrator’s Website.</w:t>
      </w:r>
    </w:p>
    <w:p>
      <w:pPr>
        <w:spacing w:after="0" w:line="1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SOFR Administrator</w:t>
      </w:r>
      <w:r>
        <w:rPr>
          <w:rFonts w:ascii="Times New Roman" w:cs="Times New Roman" w:eastAsia="Times New Roman" w:hAnsi="Times New Roman"/>
          <w:sz w:val="19"/>
          <w:szCs w:val="19"/>
          <w:color w:val="auto"/>
        </w:rPr>
        <w:t>” means the Federal Reserve Bank of New York (or a successor administrator of the secured overnight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financing rate).</w:t>
      </w:r>
    </w:p>
    <w:p>
      <w:pPr>
        <w:spacing w:after="0" w:line="161"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SOFR Administrator’s Website</w:t>
      </w:r>
      <w:r>
        <w:rPr>
          <w:rFonts w:ascii="Times New Roman" w:cs="Times New Roman" w:eastAsia="Times New Roman" w:hAnsi="Times New Roman"/>
          <w:sz w:val="19"/>
          <w:szCs w:val="19"/>
          <w:color w:val="auto"/>
        </w:rPr>
        <w:t>” means the SOFR Administrator’s website, currently at http://www.newyorkfed.org (or any successor source for the secured overnight financing rate identified as such by the SOFR Administrator from time to time).</w:t>
      </w:r>
    </w:p>
    <w:p>
      <w:pPr>
        <w:spacing w:after="0" w:line="1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SOFR Determination Day</w:t>
      </w:r>
      <w:r>
        <w:rPr>
          <w:rFonts w:ascii="Times New Roman" w:cs="Times New Roman" w:eastAsia="Times New Roman" w:hAnsi="Times New Roman"/>
          <w:sz w:val="19"/>
          <w:szCs w:val="19"/>
          <w:color w:val="auto"/>
        </w:rPr>
        <w:t>” has the meaning specified in the definition of Daily Simple SOFR.</w:t>
      </w:r>
    </w:p>
    <w:p>
      <w:pPr>
        <w:spacing w:after="0" w:line="173"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SOFR Lending Office</w:t>
      </w:r>
      <w:r>
        <w:rPr>
          <w:rFonts w:ascii="Times New Roman" w:cs="Times New Roman" w:eastAsia="Times New Roman" w:hAnsi="Times New Roman"/>
          <w:sz w:val="19"/>
          <w:szCs w:val="19"/>
          <w:color w:val="auto"/>
        </w:rPr>
        <w:t>” means, with respect to any Lender, the office of such Lender specified as its “SOFR Lending Office” opposite its name on Schedule I hereto or in the Assignment and Acceptance pursuant to which it became a Lender (or, if no such office is specified, its Domestic Lending Office), or such other office of such Lender which such Lender may from time to time specify to the Borrower and the Administrative Agent.</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SOFR Rate Day</w:t>
      </w:r>
      <w:r>
        <w:rPr>
          <w:rFonts w:ascii="Times New Roman" w:cs="Times New Roman" w:eastAsia="Times New Roman" w:hAnsi="Times New Roman"/>
          <w:sz w:val="19"/>
          <w:szCs w:val="19"/>
          <w:color w:val="auto"/>
        </w:rPr>
        <w:t>” has the meaning specified in the definition of “Daily Simple SOFR”.</w:t>
      </w:r>
    </w:p>
    <w:p>
      <w:pPr>
        <w:spacing w:after="0" w:line="214" w:lineRule="exact"/>
        <w:rPr>
          <w:sz w:val="20"/>
          <w:szCs w:val="20"/>
          <w:color w:val="auto"/>
        </w:rPr>
      </w:pPr>
    </w:p>
    <w:p>
      <w:pPr>
        <w:jc w:val="both"/>
        <w:ind w:firstLine="1497"/>
        <w:spacing w:after="0" w:line="239"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Solvent</w:t>
      </w:r>
      <w:r>
        <w:rPr>
          <w:rFonts w:ascii="Times New Roman" w:cs="Times New Roman" w:eastAsia="Times New Roman" w:hAnsi="Times New Roman"/>
          <w:sz w:val="19"/>
          <w:szCs w:val="19"/>
          <w:color w:val="auto"/>
        </w:rPr>
        <w:t>” means, with respect to any Person on a particular date, that on such date (a) the fair value of the property of such Person, on a going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concern basis, is greater than the total amount of liabilities, including, without limitation, contingent liabilities, of such Person,</w:t>
      </w:r>
    </w:p>
    <w:p>
      <w:pPr>
        <w:spacing w:after="0" w:line="1" w:lineRule="exact"/>
        <w:rPr>
          <w:sz w:val="20"/>
          <w:szCs w:val="20"/>
          <w:color w:val="auto"/>
        </w:rPr>
      </w:pPr>
    </w:p>
    <w:p>
      <w:pPr>
        <w:jc w:val="both"/>
        <w:ind w:firstLine="8"/>
        <w:spacing w:after="0" w:line="218" w:lineRule="exact"/>
        <w:tabs>
          <w:tab w:leader="none" w:pos="275"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present fair salable value of the assets of such Person, on a going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concern basis,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and (d) such Person is not engaged in business or a transaction, and is not about to engage in business or a transaction, for which such Person’s property would constitute an unreasonably small capital. The amount of contingent liabilities at any time shall be computed as the amount that, in the light of all the facts and circumstances existing at such time (including, without limitation, after taking into account appropriate discount factors for the present value of future contingent liabilities), represents the amount that can reasonably be expected to become an actual or matured liability.</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Subject Action</w:t>
      </w:r>
      <w:r>
        <w:rPr>
          <w:rFonts w:ascii="Times New Roman" w:cs="Times New Roman" w:eastAsia="Times New Roman" w:hAnsi="Times New Roman"/>
          <w:sz w:val="19"/>
          <w:szCs w:val="19"/>
          <w:color w:val="auto"/>
        </w:rPr>
        <w:t>” has the meaning specified in Section 9.14(c).</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Subject Period</w:t>
      </w:r>
      <w:r>
        <w:rPr>
          <w:rFonts w:ascii="Times New Roman" w:cs="Times New Roman" w:eastAsia="Times New Roman" w:hAnsi="Times New Roman"/>
          <w:sz w:val="19"/>
          <w:szCs w:val="19"/>
          <w:color w:val="auto"/>
        </w:rPr>
        <w:t>” has the meaning specified in Section 9.14(c).</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Subordinated Obligations</w:t>
      </w:r>
      <w:r>
        <w:rPr>
          <w:rFonts w:ascii="Times New Roman" w:cs="Times New Roman" w:eastAsia="Times New Roman" w:hAnsi="Times New Roman"/>
          <w:sz w:val="19"/>
          <w:szCs w:val="19"/>
          <w:color w:val="auto"/>
        </w:rPr>
        <w:t>” has the meaning specified in Section 7.07.</w:t>
      </w:r>
    </w:p>
    <w:p>
      <w:pPr>
        <w:spacing w:after="0" w:line="21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Subsidiary</w:t>
      </w:r>
      <w:r>
        <w:rPr>
          <w:rFonts w:ascii="Times New Roman" w:cs="Times New Roman" w:eastAsia="Times New Roman" w:hAnsi="Times New Roman"/>
          <w:sz w:val="19"/>
          <w:szCs w:val="19"/>
          <w:color w:val="auto"/>
        </w:rPr>
        <w:t>” of any Person means any corporation, partnership, joint venture, limited liability company, trust or estate of which (or in which) 50% or more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partnership, joint venture or limited liability company or (c) the beneficial interest in such trust or estate, in each case, is at the</w:t>
      </w:r>
    </w:p>
    <w:p>
      <w:pPr>
        <w:spacing w:after="0" w:line="31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26" w:name="page227"/>
    <w:bookmarkEnd w:id="226"/>
    <w:p>
      <w:pPr>
        <w:jc w:val="both"/>
        <w:spacing w:after="0" w:line="265" w:lineRule="auto"/>
        <w:rPr>
          <w:sz w:val="20"/>
          <w:szCs w:val="20"/>
          <w:color w:val="auto"/>
        </w:rPr>
      </w:pPr>
      <w:r>
        <w:rPr>
          <w:rFonts w:ascii="Times New Roman" w:cs="Times New Roman" w:eastAsia="Times New Roman" w:hAnsi="Times New Roman"/>
          <w:sz w:val="19"/>
          <w:szCs w:val="19"/>
          <w:color w:val="auto"/>
        </w:rPr>
        <w:t>time directly or indirectly owned or controlled by such Person, by such Person and one or more of its other Subsidiaries or by one or more of such Person’s other Subsidiaries.</w:t>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Subsidiary Guarantor</w:t>
      </w:r>
      <w:r>
        <w:rPr>
          <w:rFonts w:ascii="Times New Roman" w:cs="Times New Roman" w:eastAsia="Times New Roman" w:hAnsi="Times New Roman"/>
          <w:sz w:val="19"/>
          <w:szCs w:val="19"/>
          <w:color w:val="auto"/>
        </w:rPr>
        <w:t>” has the meaning specified in the recital of parties to this Agreement.</w:t>
      </w:r>
    </w:p>
    <w:p>
      <w:pPr>
        <w:spacing w:after="0" w:line="214" w:lineRule="exact"/>
        <w:rPr>
          <w:sz w:val="20"/>
          <w:szCs w:val="20"/>
          <w:color w:val="auto"/>
        </w:rPr>
      </w:pPr>
    </w:p>
    <w:p>
      <w:pPr>
        <w:jc w:val="both"/>
        <w:ind w:firstLine="1497"/>
        <w:spacing w:after="0" w:line="30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Substantial Completion</w:t>
      </w:r>
      <w:r>
        <w:rPr>
          <w:rFonts w:ascii="Times New Roman" w:cs="Times New Roman" w:eastAsia="Times New Roman" w:hAnsi="Times New Roman"/>
          <w:sz w:val="18"/>
          <w:szCs w:val="18"/>
          <w:color w:val="auto"/>
        </w:rPr>
        <w:t>” means, with respect to any Development Asset or Redevelopment Asset and as of any relevant date of determination, the substantial completion of all material construction, renovation and rehabilitation work then planned with respect to such Asset.</w:t>
      </w:r>
    </w:p>
    <w:p>
      <w:pPr>
        <w:spacing w:after="0" w:line="13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Supported QFC</w:t>
      </w:r>
      <w:r>
        <w:rPr>
          <w:rFonts w:ascii="Times New Roman" w:cs="Times New Roman" w:eastAsia="Times New Roman" w:hAnsi="Times New Roman"/>
          <w:sz w:val="19"/>
          <w:szCs w:val="19"/>
          <w:color w:val="auto"/>
        </w:rPr>
        <w:t>” has the meaning specified in Section 9.21.</w:t>
      </w:r>
    </w:p>
    <w:p>
      <w:pPr>
        <w:spacing w:after="0" w:line="214"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Surviving Debt</w:t>
      </w:r>
      <w:r>
        <w:rPr>
          <w:rFonts w:ascii="Times New Roman" w:cs="Times New Roman" w:eastAsia="Times New Roman" w:hAnsi="Times New Roman"/>
          <w:sz w:val="19"/>
          <w:szCs w:val="19"/>
          <w:color w:val="auto"/>
        </w:rPr>
        <w:t>” means Debt for borrowed money of each Loan Party and its Subsidiaries outstanding immediately before and after giving effect to the Closing Date.</w:t>
      </w:r>
    </w:p>
    <w:p>
      <w:pPr>
        <w:spacing w:after="0" w:line="153"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Swap Obligation</w:t>
      </w:r>
      <w:r>
        <w:rPr>
          <w:rFonts w:ascii="Times New Roman" w:cs="Times New Roman" w:eastAsia="Times New Roman" w:hAnsi="Times New Roman"/>
          <w:sz w:val="19"/>
          <w:szCs w:val="19"/>
          <w:color w:val="auto"/>
        </w:rPr>
        <w:t>” means, with respect to any Guarantor, any obligation to pay or perform under any agreement, contract or transaction that constitutes a “swap” within the meaning of section 1a(47) of the Commodity Exchange Act.</w:t>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Syndication Agent</w:t>
      </w:r>
      <w:r>
        <w:rPr>
          <w:rFonts w:ascii="Times New Roman" w:cs="Times New Roman" w:eastAsia="Times New Roman" w:hAnsi="Times New Roman"/>
          <w:sz w:val="19"/>
          <w:szCs w:val="19"/>
          <w:color w:val="auto"/>
        </w:rPr>
        <w:t>” has the meaning specified in the recital of parties to this Agreement.</w:t>
      </w:r>
    </w:p>
    <w:p>
      <w:pPr>
        <w:spacing w:after="0" w:line="214"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Taxes</w:t>
      </w:r>
      <w:r>
        <w:rPr>
          <w:rFonts w:ascii="Times New Roman" w:cs="Times New Roman" w:eastAsia="Times New Roman" w:hAnsi="Times New Roman"/>
          <w:sz w:val="19"/>
          <w:szCs w:val="19"/>
          <w:color w:val="auto"/>
        </w:rPr>
        <w:t>” means all present or future taxes, levies, imposts, duties, deductions, withholdings (including all backup withholding), assessments, fees or other charges imposed by any Governmental Authority, including any interest, additions to tax or penalties applicable thereto.</w:t>
      </w:r>
    </w:p>
    <w:p>
      <w:pPr>
        <w:spacing w:after="0" w:line="129" w:lineRule="exact"/>
        <w:rPr>
          <w:sz w:val="20"/>
          <w:szCs w:val="20"/>
          <w:color w:val="auto"/>
        </w:rPr>
      </w:pPr>
    </w:p>
    <w:p>
      <w:pPr>
        <w:jc w:val="both"/>
        <w:ind w:firstLine="1497"/>
        <w:spacing w:after="0" w:line="240"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Tenancy Leases</w:t>
      </w:r>
      <w:r>
        <w:rPr>
          <w:rFonts w:ascii="Times New Roman" w:cs="Times New Roman" w:eastAsia="Times New Roman" w:hAnsi="Times New Roman"/>
          <w:sz w:val="19"/>
          <w:szCs w:val="19"/>
          <w:color w:val="auto"/>
        </w:rPr>
        <w:t>” means operating leases, subleases, licenses, occupancy agreements and rights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use entered into by the Borrower or any of its Subsidiaries in its capacity as a lessor or a similar capacity in the ordinary course of business (excluding any lease entered into in connection with a Sale and Leaseback Transaction).</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SOFR</w:t>
      </w:r>
      <w:r>
        <w:rPr>
          <w:rFonts w:ascii="Times New Roman" w:cs="Times New Roman" w:eastAsia="Times New Roman" w:hAnsi="Times New Roman"/>
          <w:sz w:val="19"/>
          <w:szCs w:val="19"/>
          <w:color w:val="auto"/>
        </w:rPr>
        <w:t>” means,</w:t>
      </w:r>
    </w:p>
    <w:p>
      <w:pPr>
        <w:spacing w:after="0" w:line="175" w:lineRule="exact"/>
        <w:rPr>
          <w:sz w:val="20"/>
          <w:szCs w:val="20"/>
          <w:color w:val="auto"/>
        </w:rPr>
      </w:pPr>
    </w:p>
    <w:p>
      <w:pPr>
        <w:jc w:val="both"/>
        <w:ind w:firstLine="1505"/>
        <w:spacing w:after="0" w:line="241" w:lineRule="auto"/>
        <w:tabs>
          <w:tab w:leader="none" w:pos="2036" w:val="left"/>
        </w:tabs>
        <w:numPr>
          <w:ilvl w:val="0"/>
          <w:numId w:val="16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for any calculation with respect to </w:t>
      </w:r>
      <w:r>
        <w:rPr>
          <w:rFonts w:ascii="Times New Roman" w:cs="Times New Roman" w:eastAsia="Times New Roman" w:hAnsi="Times New Roman"/>
          <w:sz w:val="19"/>
          <w:szCs w:val="19"/>
          <w:color w:val="FF0000"/>
          <w:strike w:val="1"/>
        </w:rPr>
        <w:t>an Adjusted</w:t>
      </w:r>
      <w:r>
        <w:rPr>
          <w:rFonts w:ascii="Times New Roman" w:cs="Times New Roman" w:eastAsia="Times New Roman" w:hAnsi="Times New Roman"/>
          <w:sz w:val="19"/>
          <w:szCs w:val="19"/>
          <w:b w:val="1"/>
          <w:bCs w:val="1"/>
          <w:u w:val="single" w:color="auto"/>
          <w:color w:val="0000FF"/>
        </w:rPr>
        <w:t>a</w:t>
      </w:r>
      <w:r>
        <w:rPr>
          <w:rFonts w:ascii="Times New Roman" w:cs="Times New Roman" w:eastAsia="Times New Roman" w:hAnsi="Times New Roman"/>
          <w:sz w:val="19"/>
          <w:szCs w:val="19"/>
          <w:color w:val="auto"/>
        </w:rPr>
        <w:t xml:space="preserve"> Term SOFR Advance, the Term SOFR Reference Rate for a tenor comparable to the applicable Interest Period on the day (such day, the “</w:t>
      </w:r>
      <w:r>
        <w:rPr>
          <w:rFonts w:ascii="Times New Roman" w:cs="Times New Roman" w:eastAsia="Times New Roman" w:hAnsi="Times New Roman"/>
          <w:sz w:val="19"/>
          <w:szCs w:val="19"/>
          <w:b w:val="1"/>
          <w:bCs w:val="1"/>
          <w:i w:val="1"/>
          <w:iCs w:val="1"/>
          <w:color w:val="auto"/>
        </w:rPr>
        <w:t>Periodic Term SOFR Determination Day</w:t>
      </w:r>
      <w:r>
        <w:rPr>
          <w:rFonts w:ascii="Times New Roman" w:cs="Times New Roman" w:eastAsia="Times New Roman" w:hAnsi="Times New Roman"/>
          <w:sz w:val="19"/>
          <w:szCs w:val="19"/>
          <w:color w:val="auto"/>
        </w:rPr>
        <w:t>”) that is two U.S. Government Securities Business Days prior to the first day of such Interest Period, as such rate is published by the Term SOFR Administrator on the Term SOFR Administrator’s Website; provided, however, that if as of 5:00 P.M. (New York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Periodic Term SOFR Determination Day, and</w:t>
      </w:r>
    </w:p>
    <w:p>
      <w:pPr>
        <w:spacing w:after="0" w:line="189" w:lineRule="exact"/>
        <w:rPr>
          <w:rFonts w:ascii="Times New Roman" w:cs="Times New Roman" w:eastAsia="Times New Roman" w:hAnsi="Times New Roman"/>
          <w:sz w:val="19"/>
          <w:szCs w:val="19"/>
          <w:color w:val="010000"/>
        </w:rPr>
      </w:pPr>
    </w:p>
    <w:p>
      <w:pPr>
        <w:jc w:val="both"/>
        <w:ind w:firstLine="1505"/>
        <w:spacing w:after="0" w:line="242" w:lineRule="auto"/>
        <w:tabs>
          <w:tab w:leader="none" w:pos="2036" w:val="left"/>
        </w:tabs>
        <w:numPr>
          <w:ilvl w:val="0"/>
          <w:numId w:val="16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for any calculation with respect to a Base Rate Advance on any day, the Term SOFR Reference Rate for a tenor of one month on the day (such day, the “</w:t>
      </w:r>
      <w:r>
        <w:rPr>
          <w:rFonts w:ascii="Times New Roman" w:cs="Times New Roman" w:eastAsia="Times New Roman" w:hAnsi="Times New Roman"/>
          <w:sz w:val="19"/>
          <w:szCs w:val="19"/>
          <w:b w:val="1"/>
          <w:bCs w:val="1"/>
          <w:i w:val="1"/>
          <w:iCs w:val="1"/>
          <w:color w:val="auto"/>
        </w:rPr>
        <w:t>Base Rate Term SOFR Determination Day</w:t>
      </w:r>
      <w:r>
        <w:rPr>
          <w:rFonts w:ascii="Times New Roman" w:cs="Times New Roman" w:eastAsia="Times New Roman" w:hAnsi="Times New Roman"/>
          <w:sz w:val="19"/>
          <w:szCs w:val="19"/>
          <w:color w:val="auto"/>
        </w:rPr>
        <w:t>”) that is two U.S. Government Securities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w:t>
      </w:r>
    </w:p>
    <w:p>
      <w:pPr>
        <w:spacing w:after="0" w:line="3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27" w:name="page228"/>
    <w:bookmarkEnd w:id="227"/>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preceding U.S. Government Securities Business Day is not more than three (3) U.S. Government Securities Business Days prior to such Base Rate Term SOFR Determination Day;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if Term SOFR determined as provided above (including pursuant to the proviso under clause (a) or clause (b) above) shall ever be less than the Floor, then Term SOFR shall be deemed to be the Floor.</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b w:val="1"/>
          <w:bCs w:val="1"/>
          <w:i w:val="1"/>
          <w:iCs w:val="1"/>
          <w:color w:val="FF0000"/>
          <w:strike w:val="1"/>
        </w:rPr>
        <w:t>Term SOFR Adjustment</w:t>
      </w:r>
      <w:r>
        <w:rPr>
          <w:rFonts w:ascii="Times New Roman" w:cs="Times New Roman" w:eastAsia="Times New Roman" w:hAnsi="Times New Roman"/>
          <w:sz w:val="19"/>
          <w:szCs w:val="19"/>
          <w:i w:val="1"/>
          <w:iCs w:val="1"/>
          <w:color w:val="FF0000"/>
          <w:strike w:val="1"/>
        </w:rPr>
        <w:t>”</w:t>
      </w:r>
      <w:r>
        <w:rPr>
          <w:rFonts w:ascii="Times New Roman" w:cs="Times New Roman" w:eastAsia="Times New Roman" w:hAnsi="Times New Roman"/>
          <w:sz w:val="19"/>
          <w:szCs w:val="19"/>
          <w:color w:val="FF0000"/>
          <w:strike w:val="1"/>
        </w:rPr>
        <w:t xml:space="preserve"> has the meaning specified in the definition of Adjusted Term SOFR.</w:t>
      </w:r>
    </w:p>
    <w:p>
      <w:pPr>
        <w:spacing w:after="0" w:line="214" w:lineRule="exact"/>
        <w:rPr>
          <w:sz w:val="20"/>
          <w:szCs w:val="20"/>
          <w:color w:val="auto"/>
        </w:rPr>
      </w:pPr>
    </w:p>
    <w:p>
      <w:pPr>
        <w:ind w:right="200"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SOFR Administrator</w:t>
      </w:r>
      <w:r>
        <w:rPr>
          <w:rFonts w:ascii="Times New Roman" w:cs="Times New Roman" w:eastAsia="Times New Roman" w:hAnsi="Times New Roman"/>
          <w:sz w:val="19"/>
          <w:szCs w:val="19"/>
          <w:color w:val="auto"/>
        </w:rPr>
        <w:t>” means CME Group Benchmark Administration Limited (CBA) (or a successor administrator of the Term SOFR Reference Rate selected by the Administrative Agent in its reasonable discretion).</w:t>
      </w:r>
    </w:p>
    <w:p>
      <w:pPr>
        <w:spacing w:after="0" w:line="153"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SOFR Administrator’s Website</w:t>
      </w:r>
      <w:r>
        <w:rPr>
          <w:rFonts w:ascii="Times New Roman" w:cs="Times New Roman" w:eastAsia="Times New Roman" w:hAnsi="Times New Roman"/>
          <w:sz w:val="19"/>
          <w:szCs w:val="19"/>
          <w:color w:val="auto"/>
        </w:rPr>
        <w:t>” means the Term SOFR Administrator’s website, currently at http://www.cmegroup.com/market-data/cme-group-benchmark-administration/term-sofr.html (or any successor source for Term SOFR identified as such by the Term SOFR Administrator from time to time).</w:t>
      </w:r>
    </w:p>
    <w:p>
      <w:pPr>
        <w:spacing w:after="0" w:line="130"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b w:val="1"/>
          <w:bCs w:val="1"/>
          <w:u w:val="single" w:color="auto"/>
          <w:color w:val="0000FF"/>
        </w:rPr>
        <w:t>“</w:t>
      </w:r>
      <w:r>
        <w:rPr>
          <w:rFonts w:ascii="Times New Roman" w:cs="Times New Roman" w:eastAsia="Times New Roman" w:hAnsi="Times New Roman"/>
          <w:sz w:val="19"/>
          <w:szCs w:val="19"/>
          <w:b w:val="1"/>
          <w:bCs w:val="1"/>
          <w:i w:val="1"/>
          <w:iCs w:val="1"/>
          <w:u w:val="single" w:color="auto"/>
          <w:color w:val="008000"/>
        </w:rPr>
        <w:t>Term SOFR Advance</w:t>
      </w:r>
      <w:r>
        <w:rPr>
          <w:rFonts w:ascii="Times New Roman" w:cs="Times New Roman" w:eastAsia="Times New Roman" w:hAnsi="Times New Roman"/>
          <w:sz w:val="19"/>
          <w:szCs w:val="19"/>
          <w:u w:val="single" w:color="auto"/>
          <w:color w:val="008000"/>
        </w:rPr>
        <w:t>” means an Advance that bears interest at a rate based on</w:t>
      </w:r>
      <w:r>
        <w:rPr>
          <w:rFonts w:ascii="Times New Roman" w:cs="Times New Roman" w:eastAsia="Times New Roman" w:hAnsi="Times New Roman"/>
          <w:sz w:val="19"/>
          <w:szCs w:val="19"/>
          <w:b w:val="1"/>
          <w:bCs w:val="1"/>
          <w:u w:val="single" w:color="auto"/>
          <w:color w:val="0000FF"/>
        </w:rPr>
        <w:t xml:space="preserve"> Term </w:t>
      </w:r>
      <w:r>
        <w:rPr>
          <w:rFonts w:ascii="Times New Roman" w:cs="Times New Roman" w:eastAsia="Times New Roman" w:hAnsi="Times New Roman"/>
          <w:sz w:val="19"/>
          <w:szCs w:val="19"/>
          <w:u w:val="single" w:color="auto"/>
          <w:color w:val="008000"/>
        </w:rPr>
        <w:t>SOFR (other than pursuant to clause (c)</w:t>
      </w:r>
      <w:r>
        <w:rPr>
          <w:rFonts w:ascii="Times New Roman" w:cs="Times New Roman" w:eastAsia="Times New Roman" w:hAnsi="Times New Roman"/>
          <w:sz w:val="19"/>
          <w:szCs w:val="19"/>
          <w:b w:val="1"/>
          <w:bCs w:val="1"/>
          <w:u w:val="single" w:color="auto"/>
          <w:color w:val="0000FF"/>
        </w:rPr>
        <w:t xml:space="preserve"> </w:t>
      </w:r>
      <w:r>
        <w:rPr>
          <w:rFonts w:ascii="Times New Roman" w:cs="Times New Roman" w:eastAsia="Times New Roman" w:hAnsi="Times New Roman"/>
          <w:sz w:val="19"/>
          <w:szCs w:val="19"/>
          <w:u w:val="single" w:color="auto"/>
          <w:color w:val="008000"/>
        </w:rPr>
        <w:t>of the definition of Base Rate).</w:t>
      </w:r>
    </w:p>
    <w:p>
      <w:pPr>
        <w:spacing w:after="0" w:line="1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SOFR Reference Rate</w:t>
      </w:r>
      <w:r>
        <w:rPr>
          <w:rFonts w:ascii="Times New Roman" w:cs="Times New Roman" w:eastAsia="Times New Roman" w:hAnsi="Times New Roman"/>
          <w:sz w:val="19"/>
          <w:szCs w:val="19"/>
          <w:color w:val="auto"/>
        </w:rPr>
        <w:t>” means the forward-looking term rate based on SOFR.</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Test Date</w:t>
      </w:r>
      <w:r>
        <w:rPr>
          <w:rFonts w:ascii="Times New Roman" w:cs="Times New Roman" w:eastAsia="Times New Roman" w:hAnsi="Times New Roman"/>
          <w:sz w:val="19"/>
          <w:szCs w:val="19"/>
          <w:color w:val="auto"/>
        </w:rPr>
        <w:t>” means (a) the last day of each fiscal quarter of the Parent for which financial statements are required to be delivered pursuant to Sections 5.03(b) or (c), as the case may be, (b) the date of each Advance, and (c) the date of any addition, removal, redesignation or Transfer of any Unencumbered Asset pursuant to Section 5.01(j) or Section 5.02(e)(ii).</w:t>
      </w:r>
    </w:p>
    <w:p>
      <w:pPr>
        <w:spacing w:after="0" w:line="170"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Total Asset Value</w:t>
      </w:r>
      <w:r>
        <w:rPr>
          <w:rFonts w:ascii="Times New Roman" w:cs="Times New Roman" w:eastAsia="Times New Roman" w:hAnsi="Times New Roman"/>
          <w:sz w:val="19"/>
          <w:szCs w:val="19"/>
          <w:color w:val="auto"/>
        </w:rPr>
        <w:t xml:space="preserve">” means, at any date of determination, the sum of (a) the Asset Values for all assets of the Parent and its Subsidiaries (other than (i) cash and Cash Equivalents, (ii) any direct or indirect interest in any Unrestricted Subsidiary and (iii) Assets owned by an Unrestricted Subsidiary),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Unrestricted Cash on hand of the Parent and its Subsidiaries (other than any Unrestricted Subsidiary) in an amount not to exceed $10,000,000, at such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portion of the Total Asset Value attributable to Joint Ventures, loans, advances and extensions of credit (including, without limitation, mortgage loans, mezzanine loans and notes receivable) to any Person, Unimproved Land, Development Assets, and Redevelopment Assets shall not exceed 35% in the aggregate, with any excess excluded from such calculation. Notwithstanding the foregoing, the Asset Values for all assets of Unrestricted Subsidiaries shall be included in the calculation of Total Asset Value for purposes of Section 5.02(f).</w:t>
      </w:r>
    </w:p>
    <w:p>
      <w:pPr>
        <w:spacing w:after="0" w:line="182"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Total Debt</w:t>
      </w:r>
      <w:r>
        <w:rPr>
          <w:rFonts w:ascii="Times New Roman" w:cs="Times New Roman" w:eastAsia="Times New Roman" w:hAnsi="Times New Roman"/>
          <w:sz w:val="19"/>
          <w:szCs w:val="19"/>
          <w:color w:val="auto"/>
        </w:rPr>
        <w:t>” means, at any date of determination, all Consolidated Debt of the Parent and its Subsidiaries as at the end of the most recently ended fiscal quarter of the Parent for which financial statements are required to be delivered to the Lenders pursuant to Section 5.03(b) or (c), as the case may be.</w:t>
      </w:r>
    </w:p>
    <w:p>
      <w:pPr>
        <w:spacing w:after="0" w:line="170"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Total Unencumbered Asset Value</w:t>
      </w:r>
      <w:r>
        <w:rPr>
          <w:rFonts w:ascii="Times New Roman" w:cs="Times New Roman" w:eastAsia="Times New Roman" w:hAnsi="Times New Roman"/>
          <w:sz w:val="19"/>
          <w:szCs w:val="19"/>
          <w:color w:val="auto"/>
        </w:rPr>
        <w:t xml:space="preserve">” means, at any date of determination, an amount equal to the sum of the Asset Values of all Unencumbered Assets;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following asset concentration restrictions shall apply to the calculation of Total Unencumbered Asset Value: (i) the Net Operating Income of any individual Unencumbered Asset shall not account for more than 25% of the aggregate Net Operating Income of all Unencumbered Assets at any time and (ii) the aggregate Net Operating Income of the Unencumbered Assets subject to Qualified Ground Leases shall not account for more than 20% of the aggregate Adjusted Net Operating Income of all Unencumbered Assets at any time, it being understood that to the extent the Net Operating Income of any Unencumbered Asset or Unencumbered Assets exceeds the foregoing limits, such excess shall be disregarded for purposes of calculating Total Unencumbered Asset Value.</w:t>
      </w:r>
    </w:p>
    <w:p>
      <w:pPr>
        <w:spacing w:after="0" w:line="180"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Trading with the Enemy Act</w:t>
      </w:r>
      <w:r>
        <w:rPr>
          <w:rFonts w:ascii="Times New Roman" w:cs="Times New Roman" w:eastAsia="Times New Roman" w:hAnsi="Times New Roman"/>
          <w:sz w:val="19"/>
          <w:szCs w:val="19"/>
          <w:color w:val="auto"/>
        </w:rPr>
        <w:t>” means the Trading with the Enemy Act, as amended, and each of the foreign assets control regulations of the United States Treasury Department (31 CFR, Subtitle B, Chapter V, as amended), and any other enabling legislation or executive order relating thereto.</w:t>
      </w:r>
    </w:p>
    <w:p>
      <w:pPr>
        <w:spacing w:after="0" w:line="3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28" w:name="page229"/>
    <w:bookmarkEnd w:id="228"/>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Transfer</w:t>
      </w:r>
      <w:r>
        <w:rPr>
          <w:rFonts w:ascii="Times New Roman" w:cs="Times New Roman" w:eastAsia="Times New Roman" w:hAnsi="Times New Roman"/>
          <w:sz w:val="19"/>
          <w:szCs w:val="19"/>
          <w:color w:val="auto"/>
        </w:rPr>
        <w:t>” has the meaning specified in Section 5.02(e)(ii).</w:t>
      </w:r>
    </w:p>
    <w:p>
      <w:pPr>
        <w:spacing w:after="0" w:line="214" w:lineRule="exact"/>
        <w:rPr>
          <w:sz w:val="20"/>
          <w:szCs w:val="20"/>
          <w:color w:val="auto"/>
        </w:rPr>
      </w:pPr>
    </w:p>
    <w:p>
      <w:pPr>
        <w:jc w:val="both"/>
        <w:ind w:right="20"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Type</w:t>
      </w:r>
      <w:r>
        <w:rPr>
          <w:rFonts w:ascii="Times New Roman" w:cs="Times New Roman" w:eastAsia="Times New Roman" w:hAnsi="Times New Roman"/>
          <w:sz w:val="19"/>
          <w:szCs w:val="19"/>
          <w:color w:val="auto"/>
        </w:rPr>
        <w:t xml:space="preserve">” refers to the distinction between Advances bearing interest at the Base Rate, Advances bearing interest at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and Advances bearing interest at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Daily Simple SOFR.</w:t>
      </w:r>
    </w:p>
    <w:p>
      <w:pPr>
        <w:spacing w:after="0" w:line="153"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UK Bail-In Legislation</w:t>
      </w:r>
      <w:r>
        <w:rPr>
          <w:rFonts w:ascii="Times New Roman" w:cs="Times New Roman" w:eastAsia="Times New Roman" w:hAnsi="Times New Roman"/>
          <w:sz w:val="19"/>
          <w:szCs w:val="19"/>
          <w:color w:val="auto"/>
        </w:rPr>
        <w:t>” means Part I of the United Kingdom Banking Act 2009 (as amended from time to time) and any other law, regulation, rule or requirement applicable in the United Kingdom relating to the resolution of unsound or failing banks, investment firms or other financial institutions or their affiliates (other than through liquidation, administration or other insolvency proceedings).</w:t>
      </w:r>
    </w:p>
    <w:p>
      <w:pPr>
        <w:spacing w:after="0" w:line="170"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UK Financial Institution</w:t>
      </w:r>
      <w:r>
        <w:rPr>
          <w:rFonts w:ascii="Times New Roman" w:cs="Times New Roman" w:eastAsia="Times New Roman" w:hAnsi="Times New Roman"/>
          <w:sz w:val="19"/>
          <w:szCs w:val="19"/>
          <w:color w:val="auto"/>
        </w:rPr>
        <w:t>” means any BRRD Undertaking (as such term is defined under the PRA Rulebook (as amended from time to time) promulgated by the United Kingdom Prudential Regulation Authority) or any Person falling within IFPRU 11.6 of the Handbook (as amended from time to time) promulgated by the United Kingdom Financial Conduct Authority, which includes certain credit institutions and investment firms, and certain affiliates of such credit institutions or investment firms.</w:t>
      </w:r>
    </w:p>
    <w:p>
      <w:pPr>
        <w:spacing w:after="0" w:line="177"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UK Resolution Authority</w:t>
      </w:r>
      <w:r>
        <w:rPr>
          <w:rFonts w:ascii="Times New Roman" w:cs="Times New Roman" w:eastAsia="Times New Roman" w:hAnsi="Times New Roman"/>
          <w:sz w:val="19"/>
          <w:szCs w:val="19"/>
          <w:color w:val="auto"/>
        </w:rPr>
        <w:t>” means the Bank of England or any other public administrative authority having responsibility for the resolution of any UK Financial Institution.</w:t>
      </w:r>
    </w:p>
    <w:p>
      <w:pPr>
        <w:spacing w:after="0" w:line="153" w:lineRule="exact"/>
        <w:rPr>
          <w:sz w:val="20"/>
          <w:szCs w:val="20"/>
          <w:color w:val="auto"/>
        </w:rPr>
      </w:pPr>
    </w:p>
    <w:p>
      <w:pPr>
        <w:jc w:val="both"/>
        <w:ind w:right="20"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Unadjusted Benchmark Replacement</w:t>
      </w:r>
      <w:r>
        <w:rPr>
          <w:rFonts w:ascii="Times New Roman" w:cs="Times New Roman" w:eastAsia="Times New Roman" w:hAnsi="Times New Roman"/>
          <w:sz w:val="19"/>
          <w:szCs w:val="19"/>
          <w:color w:val="auto"/>
        </w:rPr>
        <w:t>” means the applicable Benchmark Replacement excluding the related Benchmark Replacement Adjustment.</w:t>
      </w:r>
    </w:p>
    <w:p>
      <w:pPr>
        <w:spacing w:after="0" w:line="153"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Undisclosed Administration</w:t>
      </w:r>
      <w:r>
        <w:rPr>
          <w:rFonts w:ascii="Times New Roman" w:cs="Times New Roman" w:eastAsia="Times New Roman" w:hAnsi="Times New Roman"/>
          <w:sz w:val="19"/>
          <w:szCs w:val="19"/>
          <w:color w:val="auto"/>
        </w:rPr>
        <w:t>” means in relation to a Lender or its direct or indirect parent company, the appointment of an administrator, provisional liquidator, conservator, receiver, trust,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Unencumbered Assets</w:t>
      </w:r>
      <w:r>
        <w:rPr>
          <w:rFonts w:ascii="Times New Roman" w:cs="Times New Roman" w:eastAsia="Times New Roman" w:hAnsi="Times New Roman"/>
          <w:sz w:val="19"/>
          <w:szCs w:val="19"/>
          <w:color w:val="auto"/>
        </w:rPr>
        <w:t>” means (a) the Office Assets or Mixed Use Assets listed on Schedule II hereto on the Closing Date and</w:t>
      </w:r>
    </w:p>
    <w:p>
      <w:pPr>
        <w:spacing w:after="0" w:line="24" w:lineRule="exact"/>
        <w:rPr>
          <w:sz w:val="20"/>
          <w:szCs w:val="20"/>
          <w:color w:val="auto"/>
        </w:rPr>
      </w:pPr>
    </w:p>
    <w:p>
      <w:pPr>
        <w:jc w:val="both"/>
        <w:ind w:firstLine="8"/>
        <w:spacing w:after="0" w:line="220" w:lineRule="exact"/>
        <w:tabs>
          <w:tab w:leader="none" w:pos="275"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other Asset designated as an Unencumbered Asset by the Borrower that (i) is an Office Asset or a Mixed Use Asset located in the United States of America or the District of Columbia; (ii) is income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producing and is not an asset that is actively under development or redevelopment; (iii) is wholly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owned directly or indirectly by the Borrower (but not by an Unrestricted Subsidiary) either in fee simple absolute or subject to a Qualified Ground Lease; (iv) is free of all structural defects or architectural deficiencies, title defects, environmental or other material matters (including a casualty event or condemnation) that could reasonably be expected to interfere in any material respect with the use of such Asset for its intended purposes; (v) is not subject to mezzanine Debt financing; (vi) is not, and no interest of the Borrower or any of its Subsidiaries therein is, subject to any Lien (other than Permitted Liens) or any Negative Pledge; and (vii) prior to the achievement by the Borrower or the Parent of an Investment Grade Rating, is 100% owned directly by a Loan Party (the requirements described in clauses (i) through (vii) being the “</w:t>
      </w:r>
      <w:r>
        <w:rPr>
          <w:rFonts w:ascii="Times New Roman" w:cs="Times New Roman" w:eastAsia="Times New Roman" w:hAnsi="Times New Roman"/>
          <w:sz w:val="19"/>
          <w:szCs w:val="19"/>
          <w:b w:val="1"/>
          <w:bCs w:val="1"/>
          <w:i w:val="1"/>
          <w:iCs w:val="1"/>
          <w:color w:val="auto"/>
        </w:rPr>
        <w:t>Unencumbered Asset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Conditions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that if any Asset does not meet all of the Unencumbered Asset Conditions, then, upon request of the Borrower, such Asset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may be included as an “Unencumbered Asset” with the written consent of the Required Lenders.</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Unencumbered Asset Conditions</w:t>
      </w:r>
      <w:r>
        <w:rPr>
          <w:rFonts w:ascii="Times New Roman" w:cs="Times New Roman" w:eastAsia="Times New Roman" w:hAnsi="Times New Roman"/>
          <w:sz w:val="19"/>
          <w:szCs w:val="19"/>
          <w:color w:val="auto"/>
        </w:rPr>
        <w:t>” has the meaning specified in the definition of Unencumbered Assets.</w:t>
      </w:r>
    </w:p>
    <w:p>
      <w:pPr>
        <w:spacing w:after="0" w:line="214"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Unencumbered Asset Debt Service Coverage Ratio</w:t>
      </w:r>
      <w:r>
        <w:rPr>
          <w:rFonts w:ascii="Times New Roman" w:cs="Times New Roman" w:eastAsia="Times New Roman" w:hAnsi="Times New Roman"/>
          <w:sz w:val="19"/>
          <w:szCs w:val="19"/>
          <w:color w:val="auto"/>
        </w:rPr>
        <w:t>” means, at any date of determination, the ratio of (a) the aggregate Adjusted Net Operating Income for all Unencumbered Assets to (b) the product of (i) four times (ii) the actual interest expense payable on all senior Unsecured Debt of the Parent and its Subsidiaries during the fiscal quarter of the Parent most recently ended for which financial statements are required to be delivered pursuant to Section 5.03(b) or (c), as the case may be.</w:t>
      </w:r>
    </w:p>
    <w:p>
      <w:pPr>
        <w:spacing w:after="0" w:line="3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29" w:name="page230"/>
    <w:bookmarkEnd w:id="229"/>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Unencumbered Asset Value</w:t>
      </w:r>
      <w:r>
        <w:rPr>
          <w:rFonts w:ascii="Times New Roman" w:cs="Times New Roman" w:eastAsia="Times New Roman" w:hAnsi="Times New Roman"/>
          <w:sz w:val="19"/>
          <w:szCs w:val="19"/>
          <w:color w:val="auto"/>
        </w:rPr>
        <w:t>” means an amount equal to the sum of the Asset Values of all Unencumbered Assets.</w:t>
      </w:r>
    </w:p>
    <w:p>
      <w:pPr>
        <w:spacing w:after="0" w:line="214"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Unrestricted Cash</w:t>
      </w:r>
      <w:r>
        <w:rPr>
          <w:rFonts w:ascii="Times New Roman" w:cs="Times New Roman" w:eastAsia="Times New Roman" w:hAnsi="Times New Roman"/>
          <w:sz w:val="19"/>
          <w:szCs w:val="19"/>
          <w:color w:val="auto"/>
        </w:rPr>
        <w:t xml:space="preserve">” means an amount (if greater than zero) equal to (a) cash and Cash Equivalents of the Loan Parties and their Subsidiaries that are not subject to any Lien (excluding statutory liens in favor of any depositary bank where such cash is maintained),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(b) the sum of amounts included in the foregoing clause (a) that are with a Person other than the Borrower and its Subsidiaries as escrows, deposits or security for contractual obligations.</w:t>
      </w:r>
    </w:p>
    <w:p>
      <w:pPr>
        <w:spacing w:after="0" w:line="177"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Unrestricted Subsidiary</w:t>
      </w:r>
      <w:r>
        <w:rPr>
          <w:rFonts w:ascii="Times New Roman" w:cs="Times New Roman" w:eastAsia="Times New Roman" w:hAnsi="Times New Roman"/>
          <w:sz w:val="19"/>
          <w:szCs w:val="19"/>
          <w:color w:val="auto"/>
        </w:rPr>
        <w:t>” means each Subsidiary of the Parent that (a) does not own, directly or indirectly, any operating Asset or Unencumbered Asset, (b) owns only Assets that are each at least 50% pre-leased to a governmental entity and (c) is designated or redesignated by the Borrower as an Unrestricted Subsidiary pursuant to Section 5.01(n) and (d) is not a guarantor of, or otherwise obligated in respect of, any Debt of the Parent or any of its Subsidiaries (other than any Unrestricted Subsidiary).</w:t>
      </w:r>
    </w:p>
    <w:p>
      <w:pPr>
        <w:spacing w:after="0" w:line="177"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Unsecured Debt</w:t>
      </w:r>
      <w:r>
        <w:rPr>
          <w:rFonts w:ascii="Times New Roman" w:cs="Times New Roman" w:eastAsia="Times New Roman" w:hAnsi="Times New Roman"/>
          <w:sz w:val="19"/>
          <w:szCs w:val="19"/>
          <w:color w:val="auto"/>
        </w:rPr>
        <w:t xml:space="preserve">” means all Debt of the Parent and its Subsidiaries, including the Facility Exposure, but exclusive of (a) Secured Debt, (b) guarantee obligations in respect of Secured Debt, and (c) guaranties by parent entities of the Recourse Debt of one or more of their Subsidiaries;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any Debt that is recourse to a Loan Party and is secured solely by a pledge of Equity Interests shall not be treated as Secured Debt and shall be deemed to be Unsecured Debt.</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Unsecured Leverage Increase Period</w:t>
      </w:r>
      <w:r>
        <w:rPr>
          <w:rFonts w:ascii="Times New Roman" w:cs="Times New Roman" w:eastAsia="Times New Roman" w:hAnsi="Times New Roman"/>
          <w:sz w:val="19"/>
          <w:szCs w:val="19"/>
          <w:color w:val="auto"/>
        </w:rPr>
        <w:t>” has the meaning specified in Section 5.04(b)(i).</w:t>
      </w:r>
    </w:p>
    <w:p>
      <w:pPr>
        <w:spacing w:after="0" w:line="21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Unsecured Leverage Ratio</w:t>
      </w:r>
      <w:r>
        <w:rPr>
          <w:rFonts w:ascii="Times New Roman" w:cs="Times New Roman" w:eastAsia="Times New Roman" w:hAnsi="Times New Roman"/>
          <w:sz w:val="19"/>
          <w:szCs w:val="19"/>
          <w:color w:val="auto"/>
        </w:rPr>
        <w:t xml:space="preserve">” means, at any date of determination, the ratio, expressed as a percentage, of (a) Unsecured Debt of the Parent and its Subsidiaries </w:t>
      </w:r>
      <w:r>
        <w:rPr>
          <w:rFonts w:ascii="Times New Roman" w:cs="Times New Roman" w:eastAsia="Times New Roman" w:hAnsi="Times New Roman"/>
          <w:sz w:val="19"/>
          <w:szCs w:val="19"/>
          <w:i w:val="1"/>
          <w:iCs w:val="1"/>
          <w:color w:val="auto"/>
        </w:rPr>
        <w:t>less</w:t>
      </w:r>
      <w:r>
        <w:rPr>
          <w:rFonts w:ascii="Times New Roman" w:cs="Times New Roman" w:eastAsia="Times New Roman" w:hAnsi="Times New Roman"/>
          <w:sz w:val="19"/>
          <w:szCs w:val="19"/>
          <w:color w:val="auto"/>
        </w:rPr>
        <w:t xml:space="preserve"> the amount by which the aggregate Unrestricted Cash and Cash Equivalents of the Parent and its Subsidiaries at such time exceeds $10,000,000 (the “</w:t>
      </w:r>
      <w:r>
        <w:rPr>
          <w:rFonts w:ascii="Times New Roman" w:cs="Times New Roman" w:eastAsia="Times New Roman" w:hAnsi="Times New Roman"/>
          <w:sz w:val="19"/>
          <w:szCs w:val="19"/>
          <w:b w:val="1"/>
          <w:bCs w:val="1"/>
          <w:i w:val="1"/>
          <w:iCs w:val="1"/>
          <w:color w:val="auto"/>
        </w:rPr>
        <w:t>Unsecured Leverage Ratio Adjustment</w:t>
      </w:r>
      <w:r>
        <w:rPr>
          <w:rFonts w:ascii="Times New Roman" w:cs="Times New Roman" w:eastAsia="Times New Roman" w:hAnsi="Times New Roman"/>
          <w:sz w:val="19"/>
          <w:szCs w:val="19"/>
          <w:color w:val="auto"/>
        </w:rPr>
        <w:t xml:space="preserve">”) to (b) Total Unencumbered Asset Value;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for purposes of clause (a), Unrestricted Cash and Cash Equivalents shall be adjusted to deduct therefrom any Unrestricted Cash and Cash Equivalents used to determine the Secured Debt Leverage Ratio Adjustment.</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Unsecured Leverage Ratio Adjustment</w:t>
      </w:r>
      <w:r>
        <w:rPr>
          <w:rFonts w:ascii="Times New Roman" w:cs="Times New Roman" w:eastAsia="Times New Roman" w:hAnsi="Times New Roman"/>
          <w:sz w:val="19"/>
          <w:szCs w:val="19"/>
          <w:color w:val="auto"/>
        </w:rPr>
        <w:t>” has the meaning specified in the definition of Unsecured Leverage Ratio.</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Unused Fee</w:t>
      </w:r>
      <w:r>
        <w:rPr>
          <w:rFonts w:ascii="Times New Roman" w:cs="Times New Roman" w:eastAsia="Times New Roman" w:hAnsi="Times New Roman"/>
          <w:sz w:val="19"/>
          <w:szCs w:val="19"/>
          <w:color w:val="auto"/>
        </w:rPr>
        <w:t>” has the meaning specified in Section 2.08(a).</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Unused Fee Accrual Date</w:t>
      </w:r>
      <w:r>
        <w:rPr>
          <w:rFonts w:ascii="Times New Roman" w:cs="Times New Roman" w:eastAsia="Times New Roman" w:hAnsi="Times New Roman"/>
          <w:sz w:val="19"/>
          <w:szCs w:val="19"/>
          <w:color w:val="auto"/>
        </w:rPr>
        <w:t>” has the meaning specified in Section 2.08(a).</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USBNA</w:t>
      </w:r>
      <w:r>
        <w:rPr>
          <w:rFonts w:ascii="Times New Roman" w:cs="Times New Roman" w:eastAsia="Times New Roman" w:hAnsi="Times New Roman"/>
          <w:sz w:val="19"/>
          <w:szCs w:val="19"/>
          <w:color w:val="auto"/>
        </w:rPr>
        <w:t>” has the meaning specified in the recital of parties to this Agreement.</w:t>
      </w:r>
    </w:p>
    <w:p>
      <w:pPr>
        <w:spacing w:after="0" w:line="214"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U.S. Government Securities Business Day</w:t>
      </w:r>
      <w:r>
        <w:rPr>
          <w:rFonts w:ascii="Times New Roman" w:cs="Times New Roman" w:eastAsia="Times New Roman" w:hAnsi="Times New Roman"/>
          <w:sz w:val="19"/>
          <w:szCs w:val="19"/>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3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U.S. Person</w:t>
      </w:r>
      <w:r>
        <w:rPr>
          <w:rFonts w:ascii="Times New Roman" w:cs="Times New Roman" w:eastAsia="Times New Roman" w:hAnsi="Times New Roman"/>
          <w:sz w:val="19"/>
          <w:szCs w:val="19"/>
          <w:color w:val="auto"/>
        </w:rPr>
        <w:t>” means any Person that is a “United States Person” as defined in Section 7701(a)(30) of the Internal Revenue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Code.</w:t>
      </w:r>
    </w:p>
    <w:p>
      <w:pPr>
        <w:spacing w:after="0" w:line="1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U.S. Special Resolution Regimes</w:t>
      </w:r>
      <w:r>
        <w:rPr>
          <w:rFonts w:ascii="Times New Roman" w:cs="Times New Roman" w:eastAsia="Times New Roman" w:hAnsi="Times New Roman"/>
          <w:sz w:val="19"/>
          <w:szCs w:val="19"/>
          <w:color w:val="auto"/>
        </w:rPr>
        <w:t>” has the meaning specified in Section 9.21.</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U.S. Tax Compliance Certificate</w:t>
      </w:r>
      <w:r>
        <w:rPr>
          <w:rFonts w:ascii="Times New Roman" w:cs="Times New Roman" w:eastAsia="Times New Roman" w:hAnsi="Times New Roman"/>
          <w:sz w:val="19"/>
          <w:szCs w:val="19"/>
          <w:color w:val="auto"/>
        </w:rPr>
        <w:t>” has the meaning specified in Section 2.12(g)(ii)(C).</w:t>
      </w:r>
    </w:p>
    <w:p>
      <w:pPr>
        <w:spacing w:after="0" w:line="214"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Voting Interests</w:t>
      </w:r>
      <w:r>
        <w:rPr>
          <w:rFonts w:ascii="Times New Roman" w:cs="Times New Roman" w:eastAsia="Times New Roman" w:hAnsi="Times New Roman"/>
          <w:sz w:val="19"/>
          <w:szCs w:val="19"/>
          <w:color w:val="auto"/>
        </w:rPr>
        <w:t>” means shares of capital stock issued by a corporation, or equivalent Equity Interests in any other Person, the holders of which are ordinarily, in the absence of contingencies, entitled to vote</w:t>
      </w:r>
    </w:p>
    <w:p>
      <w:pPr>
        <w:spacing w:after="0" w:line="2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30" w:name="page231"/>
    <w:bookmarkEnd w:id="230"/>
    <w:p>
      <w:pPr>
        <w:jc w:val="both"/>
        <w:spacing w:after="0" w:line="265" w:lineRule="auto"/>
        <w:rPr>
          <w:sz w:val="20"/>
          <w:szCs w:val="20"/>
          <w:color w:val="auto"/>
        </w:rPr>
      </w:pPr>
      <w:r>
        <w:rPr>
          <w:rFonts w:ascii="Times New Roman" w:cs="Times New Roman" w:eastAsia="Times New Roman" w:hAnsi="Times New Roman"/>
          <w:sz w:val="19"/>
          <w:szCs w:val="19"/>
          <w:color w:val="auto"/>
        </w:rPr>
        <w:t>for the election of directors (or the election or appointment of persons performing similar functions) of such Person, even if the right so to vote has been suspended by the happening of such a contingency.</w:t>
      </w:r>
    </w:p>
    <w:p>
      <w:pPr>
        <w:spacing w:after="0" w:line="160" w:lineRule="exact"/>
        <w:rPr>
          <w:sz w:val="20"/>
          <w:szCs w:val="20"/>
          <w:color w:val="auto"/>
        </w:rPr>
      </w:pPr>
    </w:p>
    <w:p>
      <w:pPr>
        <w:jc w:val="both"/>
        <w:ind w:firstLine="1497"/>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Welfare Plan</w:t>
      </w:r>
      <w:r>
        <w:rPr>
          <w:rFonts w:ascii="Times New Roman" w:cs="Times New Roman" w:eastAsia="Times New Roman" w:hAnsi="Times New Roman"/>
          <w:sz w:val="19"/>
          <w:szCs w:val="19"/>
          <w:color w:val="auto"/>
        </w:rPr>
        <w:t>” means a welfare plan, as defined in Section 3(1) of ERISA, that is maintained for employees of any Loan Party or in respect of which any Loan Party could have liability under applicable law.</w:t>
      </w:r>
    </w:p>
    <w:p>
      <w:pPr>
        <w:spacing w:after="0" w:line="153"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Wholly-Owned Subsidiary</w:t>
      </w:r>
      <w:r>
        <w:rPr>
          <w:rFonts w:ascii="Times New Roman" w:cs="Times New Roman" w:eastAsia="Times New Roman" w:hAnsi="Times New Roman"/>
          <w:sz w:val="19"/>
          <w:szCs w:val="19"/>
          <w:color w:val="auto"/>
        </w:rPr>
        <w:t>” means, with respect to any Person on any date, any corporation, partnership, limited liability company or other entity of which one hundred percent (100%) of the Equity Interests and one hundred percent (100%) of the ordinary voting power are, as of such date, owned and controlled, directly or indirectly, by such Person.</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Withdrawal Liability</w:t>
      </w:r>
      <w:r>
        <w:rPr>
          <w:rFonts w:ascii="Times New Roman" w:cs="Times New Roman" w:eastAsia="Times New Roman" w:hAnsi="Times New Roman"/>
          <w:sz w:val="19"/>
          <w:szCs w:val="19"/>
          <w:color w:val="auto"/>
        </w:rPr>
        <w:t>” has the meaning specified in Part I of Subtitle E of Title IV of ERISA.</w:t>
      </w:r>
    </w:p>
    <w:p>
      <w:pPr>
        <w:spacing w:after="0" w:line="2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Withholding Agent</w:t>
      </w:r>
      <w:r>
        <w:rPr>
          <w:rFonts w:ascii="Times New Roman" w:cs="Times New Roman" w:eastAsia="Times New Roman" w:hAnsi="Times New Roman"/>
          <w:sz w:val="19"/>
          <w:szCs w:val="19"/>
          <w:color w:val="auto"/>
        </w:rPr>
        <w:t>” means (a) any Loan Party or (b) the Administrative Agent.</w:t>
      </w:r>
    </w:p>
    <w:p>
      <w:pPr>
        <w:spacing w:after="0" w:line="190" w:lineRule="exact"/>
        <w:rPr>
          <w:sz w:val="20"/>
          <w:szCs w:val="20"/>
          <w:color w:val="auto"/>
        </w:rPr>
      </w:pPr>
    </w:p>
    <w:p>
      <w:pPr>
        <w:jc w:val="both"/>
        <w:ind w:firstLine="1497"/>
        <w:spacing w:after="0" w:line="227"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Write-Down and Conversion Powers</w:t>
      </w:r>
      <w:r>
        <w:rPr>
          <w:rFonts w:ascii="Times New Roman" w:cs="Times New Roman" w:eastAsia="Times New Roman" w:hAnsi="Times New Roman"/>
          <w:sz w:val="19"/>
          <w:szCs w:val="19"/>
          <w:color w:val="auto"/>
        </w:rPr>
        <w:t>” means, (a) with respect to any EEA Resolution Authority, the write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down and conversion powers of such EEA Resolution Authority from time to time under the Bail</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 Legislation for the applicable EEA Member Country, which write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down and conversion powers are described in the EU Bail</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 Legislation Schedule, and (b) in relation to the UK Bail-In Legislation,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w:t>
      </w:r>
    </w:p>
    <w:p>
      <w:pPr>
        <w:spacing w:after="0" w:line="19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19"/>
          <w:szCs w:val="19"/>
          <w:color w:val="010000"/>
        </w:rPr>
        <w:t>Section 1.02</w:t>
      </w:r>
      <w:r>
        <w:rPr>
          <w:rFonts w:ascii="Times New Roman" w:cs="Times New Roman" w:eastAsia="Times New Roman" w:hAnsi="Times New Roman"/>
          <w:sz w:val="19"/>
          <w:szCs w:val="19"/>
          <w:u w:val="single" w:color="auto"/>
          <w:color w:val="000000"/>
        </w:rPr>
        <w:t>Computation of Time Periods; Other Definitional Provisions</w:t>
      </w:r>
      <w:r>
        <w:rPr>
          <w:rFonts w:ascii="Times New Roman" w:cs="Times New Roman" w:eastAsia="Times New Roman" w:hAnsi="Times New Roman"/>
          <w:sz w:val="19"/>
          <w:szCs w:val="19"/>
          <w:color w:val="000000"/>
        </w:rPr>
        <w:t>. In this Agreement and the other Loan Documents in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 computation of periods of time from a specified date to a later specified date, the word “</w:t>
      </w:r>
      <w:r>
        <w:rPr>
          <w:rFonts w:ascii="Times New Roman" w:cs="Times New Roman" w:eastAsia="Times New Roman" w:hAnsi="Times New Roman"/>
          <w:sz w:val="19"/>
          <w:szCs w:val="19"/>
          <w:b w:val="1"/>
          <w:bCs w:val="1"/>
          <w:i w:val="1"/>
          <w:iCs w:val="1"/>
          <w:color w:val="000000"/>
        </w:rPr>
        <w:t>from</w:t>
      </w:r>
      <w:r>
        <w:rPr>
          <w:rFonts w:ascii="Times New Roman" w:cs="Times New Roman" w:eastAsia="Times New Roman" w:hAnsi="Times New Roman"/>
          <w:sz w:val="19"/>
          <w:szCs w:val="19"/>
          <w:color w:val="000000"/>
        </w:rPr>
        <w:t>” means “from and including” and the words “</w:t>
      </w:r>
      <w:r>
        <w:rPr>
          <w:rFonts w:ascii="Times New Roman" w:cs="Times New Roman" w:eastAsia="Times New Roman" w:hAnsi="Times New Roman"/>
          <w:sz w:val="19"/>
          <w:szCs w:val="19"/>
          <w:b w:val="1"/>
          <w:bCs w:val="1"/>
          <w:i w:val="1"/>
          <w:iCs w:val="1"/>
          <w:color w:val="000000"/>
        </w:rPr>
        <w:t>to</w:t>
      </w:r>
      <w:r>
        <w:rPr>
          <w:rFonts w:ascii="Times New Roman" w:cs="Times New Roman" w:eastAsia="Times New Roman" w:hAnsi="Times New Roman"/>
          <w:sz w:val="19"/>
          <w:szCs w:val="19"/>
          <w:color w:val="000000"/>
        </w:rPr>
        <w:t>” and “</w:t>
      </w:r>
      <w:r>
        <w:rPr>
          <w:rFonts w:ascii="Times New Roman" w:cs="Times New Roman" w:eastAsia="Times New Roman" w:hAnsi="Times New Roman"/>
          <w:sz w:val="19"/>
          <w:szCs w:val="19"/>
          <w:b w:val="1"/>
          <w:bCs w:val="1"/>
          <w:i w:val="1"/>
          <w:iCs w:val="1"/>
          <w:color w:val="000000"/>
        </w:rPr>
        <w:t>until</w:t>
      </w:r>
      <w:r>
        <w:rPr>
          <w:rFonts w:ascii="Times New Roman" w:cs="Times New Roman" w:eastAsia="Times New Roman" w:hAnsi="Times New Roman"/>
          <w:sz w:val="19"/>
          <w:szCs w:val="19"/>
          <w:color w:val="000000"/>
        </w:rPr>
        <w:t>” each mean “to but excluding”. References in the Loan Documents to any agreement or contract “</w:t>
      </w:r>
      <w:r>
        <w:rPr>
          <w:rFonts w:ascii="Times New Roman" w:cs="Times New Roman" w:eastAsia="Times New Roman" w:hAnsi="Times New Roman"/>
          <w:sz w:val="19"/>
          <w:szCs w:val="19"/>
          <w:b w:val="1"/>
          <w:bCs w:val="1"/>
          <w:i w:val="1"/>
          <w:iCs w:val="1"/>
          <w:color w:val="000000"/>
        </w:rPr>
        <w:t>as amended</w:t>
      </w:r>
      <w:r>
        <w:rPr>
          <w:rFonts w:ascii="Times New Roman" w:cs="Times New Roman" w:eastAsia="Times New Roman" w:hAnsi="Times New Roman"/>
          <w:sz w:val="19"/>
          <w:szCs w:val="19"/>
          <w:color w:val="000000"/>
        </w:rPr>
        <w:t>” shall mean and be a reference to such agreement or contract as amended, amended and restated, supplemented or otherwise modified from time to time in accordance with its terms.</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010000"/>
        </w:rPr>
        <w:t>Section 1.03</w:t>
      </w:r>
      <w:r>
        <w:rPr>
          <w:rFonts w:ascii="Times New Roman" w:cs="Times New Roman" w:eastAsia="Times New Roman" w:hAnsi="Times New Roman"/>
          <w:sz w:val="19"/>
          <w:szCs w:val="19"/>
          <w:u w:val="single" w:color="auto"/>
          <w:color w:val="000000"/>
        </w:rPr>
        <w:t>Accounting Terms</w:t>
      </w:r>
      <w:r>
        <w:rPr>
          <w:rFonts w:ascii="Times New Roman" w:cs="Times New Roman" w:eastAsia="Times New Roman" w:hAnsi="Times New Roman"/>
          <w:sz w:val="19"/>
          <w:szCs w:val="19"/>
          <w:color w:val="000000"/>
        </w:rPr>
        <w:t>.</w:t>
      </w:r>
    </w:p>
    <w:p>
      <w:pPr>
        <w:spacing w:after="0" w:line="214" w:lineRule="exact"/>
        <w:rPr>
          <w:sz w:val="20"/>
          <w:szCs w:val="20"/>
          <w:color w:val="auto"/>
        </w:rPr>
      </w:pPr>
    </w:p>
    <w:p>
      <w:pPr>
        <w:ind w:firstLine="1505"/>
        <w:spacing w:after="0" w:line="265" w:lineRule="auto"/>
        <w:tabs>
          <w:tab w:leader="none" w:pos="2036"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accounting terms not specifically defined herein shall be construed in accordance with generally accepted accounting principles consistent with those applied in the preparation of the financial statements referred to in Section 4.01(g) (“</w:t>
      </w:r>
      <w:r>
        <w:rPr>
          <w:rFonts w:ascii="Times New Roman" w:cs="Times New Roman" w:eastAsia="Times New Roman" w:hAnsi="Times New Roman"/>
          <w:sz w:val="19"/>
          <w:szCs w:val="19"/>
          <w:b w:val="1"/>
          <w:bCs w:val="1"/>
          <w:i w:val="1"/>
          <w:iCs w:val="1"/>
          <w:color w:val="auto"/>
        </w:rPr>
        <w:t>GAAP</w:t>
      </w: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jc w:val="both"/>
        <w:ind w:firstLine="1505"/>
        <w:spacing w:after="0"/>
        <w:tabs>
          <w:tab w:leader="none" w:pos="2036"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at any time after the Closing Date there are any changes in accounting principles required by GAAP or the Financial Accounting Standards Board of the American Institute of Certified Public Accountants or similar agencies that would result in a change in the method of calculation of, or affects the results of such calculation of, any of the financial covenants, standards or terms found in this Agreement, and either the Borrower or the Required Lenders shall so request, then the Administrative Agent, the Required Lenders and the Borrower shall negotiate in good faith to amend such financial covenants, standards or terms so as to equitably reflect such change, with the desired result that the criteria for evaluating the financial condition of the Borrower and its Subsidiaries (determined on a Consolidated basis) shall be the same after such change as if such change had not been made. Such provisions shall be amended in a manner satisfactory to the Borrower, the Administrative Agent and the Required Lenders. Until covenants, standards, or terms of this Agreement are amended in accordance with this Section 1.03(b), such covenants, standards and terms shall be computed and determined in accordance with accounting principles in effect prior to such change in accounting principles.</w:t>
      </w:r>
    </w:p>
    <w:p>
      <w:pPr>
        <w:spacing w:after="0" w:line="32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31" w:name="page232"/>
    <w:bookmarkEnd w:id="231"/>
    <w:p>
      <w:pPr>
        <w:jc w:val="both"/>
        <w:ind w:firstLine="1497"/>
        <w:spacing w:after="0" w:line="244" w:lineRule="auto"/>
        <w:rPr>
          <w:sz w:val="20"/>
          <w:szCs w:val="20"/>
          <w:color w:val="auto"/>
        </w:rPr>
      </w:pPr>
      <w:r>
        <w:rPr>
          <w:rFonts w:ascii="Times New Roman" w:cs="Times New Roman" w:eastAsia="Times New Roman" w:hAnsi="Times New Roman"/>
          <w:sz w:val="19"/>
          <w:szCs w:val="19"/>
          <w:color w:val="010000"/>
        </w:rPr>
        <w:t>Section 1.04</w:t>
      </w:r>
      <w:r>
        <w:rPr>
          <w:rFonts w:ascii="Times New Roman" w:cs="Times New Roman" w:eastAsia="Times New Roman" w:hAnsi="Times New Roman"/>
          <w:sz w:val="19"/>
          <w:szCs w:val="19"/>
          <w:u w:val="single" w:color="auto"/>
          <w:color w:val="000000"/>
        </w:rPr>
        <w:t>Divisions</w:t>
      </w:r>
      <w:r>
        <w:rPr>
          <w:rFonts w:ascii="Times New Roman" w:cs="Times New Roman" w:eastAsia="Times New Roman" w:hAnsi="Times New Roman"/>
          <w:sz w:val="19"/>
          <w:szCs w:val="19"/>
          <w:color w:val="000000"/>
        </w:rPr>
        <w:t>. For all purposes under the Loan Documents, in connection with any Division or plan of division under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II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AMOUNTS AND TERMS OF THE ADVANCES</w:t>
      </w:r>
    </w:p>
    <w:p>
      <w:pPr>
        <w:spacing w:after="0" w:line="218"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19"/>
          <w:szCs w:val="19"/>
          <w:color w:val="010000"/>
        </w:rPr>
        <w:t>Section 2.01</w:t>
      </w:r>
      <w:r>
        <w:rPr>
          <w:rFonts w:ascii="Times New Roman" w:cs="Times New Roman" w:eastAsia="Times New Roman" w:hAnsi="Times New Roman"/>
          <w:sz w:val="19"/>
          <w:szCs w:val="19"/>
          <w:u w:val="single" w:color="auto"/>
          <w:color w:val="000000"/>
        </w:rPr>
        <w:t>The Advances</w:t>
      </w:r>
      <w:r>
        <w:rPr>
          <w:rFonts w:ascii="Times New Roman" w:cs="Times New Roman" w:eastAsia="Times New Roman" w:hAnsi="Times New Roman"/>
          <w:sz w:val="19"/>
          <w:szCs w:val="19"/>
          <w:color w:val="000000"/>
        </w:rPr>
        <w:t>. Each Lender severally, but not jointly, agrees, on the terms and conditions hereinafter set forth, to</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make Advances in Dollars (each, an “</w:t>
      </w:r>
      <w:r>
        <w:rPr>
          <w:rFonts w:ascii="Times New Roman" w:cs="Times New Roman" w:eastAsia="Times New Roman" w:hAnsi="Times New Roman"/>
          <w:sz w:val="19"/>
          <w:szCs w:val="19"/>
          <w:b w:val="1"/>
          <w:bCs w:val="1"/>
          <w:i w:val="1"/>
          <w:iCs w:val="1"/>
          <w:color w:val="000000"/>
        </w:rPr>
        <w:t>Advance</w:t>
      </w:r>
      <w:r>
        <w:rPr>
          <w:rFonts w:ascii="Times New Roman" w:cs="Times New Roman" w:eastAsia="Times New Roman" w:hAnsi="Times New Roman"/>
          <w:sz w:val="19"/>
          <w:szCs w:val="19"/>
          <w:color w:val="000000"/>
        </w:rPr>
        <w:t xml:space="preserve">”) available to the Borrower on any Business Day during the Delayed Draw Period;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i w:val="1"/>
          <w:iCs w:val="1"/>
          <w:color w:val="000000"/>
        </w:rPr>
        <w:t>however</w:t>
      </w:r>
      <w:r>
        <w:rPr>
          <w:rFonts w:ascii="Times New Roman" w:cs="Times New Roman" w:eastAsia="Times New Roman" w:hAnsi="Times New Roman"/>
          <w:sz w:val="19"/>
          <w:szCs w:val="19"/>
          <w:color w:val="000000"/>
        </w:rPr>
        <w:t>, that (A) the minimum amount of each Borrowing shall be in an aggregate amount of $25,000,000 or an integral multiple of $5,000,000 in</w:t>
      </w:r>
      <w:r>
        <w:rPr>
          <w:rFonts w:ascii="Times New Roman" w:cs="Times New Roman" w:eastAsia="Times New Roman" w:hAnsi="Times New Roman"/>
          <w:sz w:val="19"/>
          <w:szCs w:val="19"/>
          <w:i w:val="1"/>
          <w:iCs w:val="1"/>
          <w:color w:val="000000"/>
        </w:rPr>
        <w:t xml:space="preserve"> </w:t>
      </w:r>
      <w:r>
        <w:rPr>
          <w:rFonts w:ascii="Times New Roman" w:cs="Times New Roman" w:eastAsia="Times New Roman" w:hAnsi="Times New Roman"/>
          <w:sz w:val="19"/>
          <w:szCs w:val="19"/>
          <w:color w:val="000000"/>
        </w:rPr>
        <w:t>excess thereof, or, if less, the aggregate then remaining unfunded Commitments allocable thereto, (B) there shall not be more than two (2) Borrowings during the Delayed Draw Period, (C) each Borrowing shall consist of Advances made simultaneously by the Lenders ratably according to their Commitments, (D) each Borrowing shall be subject to the conditions in Section 3.02 having been satisfied and (E) the aggregate amounts advanced to the Borrower pursuant to this Section 2.01 shall not exceed the aggregate Commitments. The Borrower shall not have the right to reborrow any portion of the Advances that is repaid or prepaid.</w:t>
      </w:r>
    </w:p>
    <w:p>
      <w:pPr>
        <w:spacing w:after="0" w:line="1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010000"/>
        </w:rPr>
        <w:t>Section 2.02</w:t>
      </w:r>
      <w:r>
        <w:rPr>
          <w:rFonts w:ascii="Times New Roman" w:cs="Times New Roman" w:eastAsia="Times New Roman" w:hAnsi="Times New Roman"/>
          <w:sz w:val="19"/>
          <w:szCs w:val="19"/>
          <w:u w:val="single" w:color="auto"/>
          <w:color w:val="000000"/>
        </w:rPr>
        <w:t>Making the Advances</w:t>
      </w:r>
      <w:r>
        <w:rPr>
          <w:rFonts w:ascii="Times New Roman" w:cs="Times New Roman" w:eastAsia="Times New Roman" w:hAnsi="Times New Roman"/>
          <w:sz w:val="19"/>
          <w:szCs w:val="19"/>
          <w:color w:val="000000"/>
        </w:rPr>
        <w:t>.</w:t>
      </w:r>
    </w:p>
    <w:p>
      <w:pPr>
        <w:spacing w:after="0" w:line="214" w:lineRule="exact"/>
        <w:rPr>
          <w:sz w:val="20"/>
          <w:szCs w:val="20"/>
          <w:color w:val="auto"/>
        </w:rPr>
      </w:pPr>
    </w:p>
    <w:p>
      <w:pPr>
        <w:jc w:val="both"/>
        <w:ind w:firstLine="1505"/>
        <w:spacing w:after="0" w:line="219" w:lineRule="exact"/>
        <w:tabs>
          <w:tab w:leader="none" w:pos="2036"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Borrowing shall be made on notice, given not later than 12:00 Noon (New York City time) on the third Business Day prior to the date of the proposed Borrowing in the case of a Borrowing consisting of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not later than 11:00 A.M. (New York City time) on the date of the proposed Borrowing in the case of a Borrowing consisting of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DSS Advances or not later than 11:00 A.M. (New York City time) on the date of the proposed Borrowing in the case of a Borrowing consisting of Base Rate Advances, by the Borrower to the Administrative Agent, which shall give to each Lender prompt notice thereof by telecopier or e-mail. Each such notice of a Borrowing (a “</w:t>
      </w:r>
      <w:r>
        <w:rPr>
          <w:rFonts w:ascii="Times New Roman" w:cs="Times New Roman" w:eastAsia="Times New Roman" w:hAnsi="Times New Roman"/>
          <w:sz w:val="19"/>
          <w:szCs w:val="19"/>
          <w:b w:val="1"/>
          <w:bCs w:val="1"/>
          <w:i w:val="1"/>
          <w:iCs w:val="1"/>
          <w:color w:val="auto"/>
        </w:rPr>
        <w:t>Notice of Borrowing</w:t>
      </w:r>
      <w:r>
        <w:rPr>
          <w:rFonts w:ascii="Times New Roman" w:cs="Times New Roman" w:eastAsia="Times New Roman" w:hAnsi="Times New Roman"/>
          <w:sz w:val="19"/>
          <w:szCs w:val="19"/>
          <w:color w:val="auto"/>
        </w:rPr>
        <w:t>”) shall be by telephone, confirmed immediately in writing, or telecopier or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mail, in each case in substantially the form of Exhibit B hereto, specifying therein the requested (i) date of such Borrowing, (ii) Type of Advances comprising such Borrowing, (iii) aggregate amount of such Borrowing and (iv) in the case of a Borrowing consisting of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the initial Interest Period for each such Advance. Each Lender shall, before 12:00 Noon (New York City time) on the date of such Borrowing in the case of a Borrowing consisting of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1:00 P.M. (New York City time) on the date of such Borrowing in the case of a Borrowing consisting of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DSS Advances and 1:00 P.M. (New York City time) on the date of such Borrowing in the case of a Borrowing consisting of Base Rate Advances, make available for the account of its Applicable Lending Office to the Administrative Agent at the Administrative Agent’s Account, in same day funds, such Lender’s ratable portion of such Borrowing in accordance with the respective Commitments of such Lender and the other Lenders. After the Administrative Agent’s receipt of such funds and upon fulfillment of the applicable conditions set forth in Article III, the Administrative Agent will make such funds available to the Borrower by crediting the Borrower’s Account.</w:t>
      </w:r>
    </w:p>
    <w:p>
      <w:pPr>
        <w:spacing w:after="0" w:line="192" w:lineRule="exact"/>
        <w:rPr>
          <w:rFonts w:ascii="Times New Roman" w:cs="Times New Roman" w:eastAsia="Times New Roman" w:hAnsi="Times New Roman"/>
          <w:sz w:val="19"/>
          <w:szCs w:val="19"/>
          <w:color w:val="auto"/>
        </w:rPr>
      </w:pPr>
    </w:p>
    <w:p>
      <w:pPr>
        <w:jc w:val="both"/>
        <w:ind w:firstLine="1505"/>
        <w:spacing w:after="0" w:line="251" w:lineRule="auto"/>
        <w:tabs>
          <w:tab w:leader="none" w:pos="2036"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Anything in subsection (a) above to the contrary notwithstanding, the Borrower may not select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or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DSS Advances if the aggregate amount of such Borrowing is less than $1,000,000 or if the obligation of the Lenders to make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Term SOFR Advances or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DSS Advances shall then be suspended pursuant to Section 2.07(d)(ii), 2.09 or 2.10.</w:t>
      </w: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32" w:name="page233"/>
    <w:bookmarkEnd w:id="232"/>
    <w:p>
      <w:pPr>
        <w:jc w:val="both"/>
        <w:ind w:firstLine="1505"/>
        <w:spacing w:after="0" w:line="242" w:lineRule="auto"/>
        <w:tabs>
          <w:tab w:leader="none" w:pos="2036"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Notice of Borrowing shall be irrevocable and binding on the Borrower. In the case of any Borrowing that the related Notice of Borrowing specifies is to be comprised of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or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DSS Advances, the Borrower shall indemnify each Lender against any loss, cost or expense incurred by such Lender as a result of any failure to fulfill on or before the date specified for such Borrowing in such Notice of Borrowing, the applicable conditions set forth in Article III, including, without limitation, any loss, cost or expense incurred by reason of the liquidation or reemployment of deposits or other funds acquired by such Lender to fund the Advance to be made by such Lender as part of such Borrowing when such Advance, as a result of such failure, is not made on such date.</w:t>
      </w:r>
    </w:p>
    <w:p>
      <w:pPr>
        <w:spacing w:after="0" w:line="190" w:lineRule="exact"/>
        <w:rPr>
          <w:rFonts w:ascii="Times New Roman" w:cs="Times New Roman" w:eastAsia="Times New Roman" w:hAnsi="Times New Roman"/>
          <w:sz w:val="19"/>
          <w:szCs w:val="19"/>
          <w:color w:val="auto"/>
        </w:rPr>
      </w:pPr>
    </w:p>
    <w:p>
      <w:pPr>
        <w:jc w:val="both"/>
        <w:ind w:firstLine="1505"/>
        <w:spacing w:after="0" w:line="239" w:lineRule="auto"/>
        <w:tabs>
          <w:tab w:leader="none" w:pos="2036"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Unless the Administrative Agent shall have received notice from a Lender prior to (x) the date of any Borrowing consisting of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(y) 11:00 A.M. (New York City time) on the date of any Borrowing consisting of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DSS Advances or (z) 12:00 Noon (New York City time) on the date of any Borrowing consisting of Base Rate Advances that such Lender will not make available to the Administrative Agent such Lender’s ratable portion of such Borrowing, the Administrative Agent may assume that such Lender has made such portion available to the Administrative Agent on the date of such Borrowing in accordance with subsection (a) of this Section 2.02 and the Administrative Agent may, in reliance upon such assumption, make available to the Borrower on such date a corresponding amount. If and to the extent that such Lender shall not have so made such ratable portion available to the Administrative Agent, such Lender and the Borrower severally agree to repay or pay to the Administrative Agent forthwith on demand such corresponding amount and to pay interest thereon, for each day from the date such amount is made available to the Borrower until the date such amount is repaid or paid to the Administrative Agent, at (i) in the case of the Borrower, the interest rate applicable at such time under Section 2.07 to Advances comprising such Borrowing and (ii) in the case of such Lender, the Federal Funds Open Rate. If such Lender shall pay to the Administrative Agent such corresponding amount, such amount so paid shall constitute such Lender’s Advance as part of such Borrowing for all purposes.</w:t>
      </w:r>
    </w:p>
    <w:p>
      <w:pPr>
        <w:spacing w:after="0" w:line="197" w:lineRule="exact"/>
        <w:rPr>
          <w:rFonts w:ascii="Times New Roman" w:cs="Times New Roman" w:eastAsia="Times New Roman" w:hAnsi="Times New Roman"/>
          <w:sz w:val="19"/>
          <w:szCs w:val="19"/>
          <w:color w:val="auto"/>
        </w:rPr>
      </w:pPr>
    </w:p>
    <w:p>
      <w:pPr>
        <w:jc w:val="both"/>
        <w:ind w:firstLine="1505"/>
        <w:spacing w:after="0" w:line="251" w:lineRule="auto"/>
        <w:tabs>
          <w:tab w:leader="none" w:pos="2036"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of any Lender to make the Advance to be made by it as part of any Borrowing shall not relieve any other Lender of its obligation, if any, hereunder to make its Advance on the date of such Borrowing, but no Lender shall be responsible for the failure of any other Lender to make the Advance to be made by such other Lender on the date of any Borrowing.</w:t>
      </w:r>
    </w:p>
    <w:p>
      <w:pPr>
        <w:spacing w:after="0" w:line="178" w:lineRule="exact"/>
        <w:rPr>
          <w:rFonts w:ascii="Times New Roman" w:cs="Times New Roman" w:eastAsia="Times New Roman" w:hAnsi="Times New Roman"/>
          <w:sz w:val="19"/>
          <w:szCs w:val="19"/>
          <w:color w:val="auto"/>
        </w:rPr>
      </w:pPr>
    </w:p>
    <w:p>
      <w:pPr>
        <w:jc w:val="both"/>
        <w:ind w:firstLine="1505"/>
        <w:spacing w:after="0" w:line="244" w:lineRule="auto"/>
        <w:tabs>
          <w:tab w:leader="none" w:pos="2036"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may, at its option, make any Advance available to the Borrower by causing any foreign or domestic branch or Affiliate of such Lender to make such Advance;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 any exercise of such option shall not affect the obligation of the Borrower in accordance with the terms of this Agreement and (ii) nothing in this Section 2.02(f) shall be deemed to obligate any Lender to obtain the funds for any Advance in any particular place or manner or to constitute a representation or warranty by any Lender that it has obtained or will obtain the funds for any Advance in any particular place or manner.</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010000"/>
        </w:rPr>
        <w:t>Section 2.03</w:t>
      </w:r>
      <w:r>
        <w:rPr>
          <w:rFonts w:ascii="Times New Roman" w:cs="Times New Roman" w:eastAsia="Times New Roman" w:hAnsi="Times New Roman"/>
          <w:sz w:val="19"/>
          <w:szCs w:val="19"/>
          <w:u w:val="single" w:color="auto"/>
          <w:color w:val="000000"/>
        </w:rPr>
        <w:t>[Reserved]</w:t>
      </w:r>
      <w:r>
        <w:rPr>
          <w:rFonts w:ascii="Times New Roman" w:cs="Times New Roman" w:eastAsia="Times New Roman" w:hAnsi="Times New Roman"/>
          <w:sz w:val="19"/>
          <w:szCs w:val="19"/>
          <w:color w:val="000000"/>
        </w:rPr>
        <w:t>.</w:t>
      </w:r>
    </w:p>
    <w:p>
      <w:pPr>
        <w:spacing w:after="0" w:line="214" w:lineRule="exact"/>
        <w:rPr>
          <w:sz w:val="20"/>
          <w:szCs w:val="20"/>
          <w:color w:val="auto"/>
        </w:rPr>
      </w:pPr>
    </w:p>
    <w:p>
      <w:pPr>
        <w:ind w:firstLine="1497"/>
        <w:spacing w:after="0" w:line="265" w:lineRule="auto"/>
        <w:rPr>
          <w:sz w:val="20"/>
          <w:szCs w:val="20"/>
          <w:color w:val="auto"/>
        </w:rPr>
      </w:pPr>
      <w:r>
        <w:rPr>
          <w:rFonts w:ascii="Times New Roman" w:cs="Times New Roman" w:eastAsia="Times New Roman" w:hAnsi="Times New Roman"/>
          <w:sz w:val="19"/>
          <w:szCs w:val="19"/>
          <w:color w:val="010000"/>
        </w:rPr>
        <w:t>Section 2.04</w:t>
      </w:r>
      <w:r>
        <w:rPr>
          <w:rFonts w:ascii="Times New Roman" w:cs="Times New Roman" w:eastAsia="Times New Roman" w:hAnsi="Times New Roman"/>
          <w:sz w:val="19"/>
          <w:szCs w:val="19"/>
          <w:u w:val="single" w:color="auto"/>
          <w:color w:val="000000"/>
        </w:rPr>
        <w:t>Repayment of Advances</w:t>
      </w:r>
      <w:r>
        <w:rPr>
          <w:rFonts w:ascii="Times New Roman" w:cs="Times New Roman" w:eastAsia="Times New Roman" w:hAnsi="Times New Roman"/>
          <w:sz w:val="19"/>
          <w:szCs w:val="19"/>
          <w:color w:val="000000"/>
        </w:rPr>
        <w:t>. The Borrower shall repay to the Administrative Agent for the ratable account of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Lenders on the Maturity Date the aggregate outstanding principal amount of the Advances then outstanding.</w:t>
      </w:r>
    </w:p>
    <w:p>
      <w:pPr>
        <w:spacing w:after="0" w:line="1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010000"/>
        </w:rPr>
        <w:t>Section 2.05</w:t>
      </w:r>
      <w:r>
        <w:rPr>
          <w:rFonts w:ascii="Times New Roman" w:cs="Times New Roman" w:eastAsia="Times New Roman" w:hAnsi="Times New Roman"/>
          <w:sz w:val="19"/>
          <w:szCs w:val="19"/>
          <w:u w:val="single" w:color="auto"/>
          <w:color w:val="000000"/>
        </w:rPr>
        <w:t>Termination or Reduction of the Commitments</w:t>
      </w:r>
      <w:r>
        <w:rPr>
          <w:rFonts w:ascii="Times New Roman" w:cs="Times New Roman" w:eastAsia="Times New Roman" w:hAnsi="Times New Roman"/>
          <w:sz w:val="19"/>
          <w:szCs w:val="19"/>
          <w:color w:val="000000"/>
        </w:rPr>
        <w:t>.</w:t>
      </w:r>
    </w:p>
    <w:p>
      <w:pPr>
        <w:spacing w:after="0" w:line="214" w:lineRule="exact"/>
        <w:rPr>
          <w:sz w:val="20"/>
          <w:szCs w:val="20"/>
          <w:color w:val="auto"/>
        </w:rPr>
      </w:pPr>
    </w:p>
    <w:p>
      <w:pPr>
        <w:jc w:val="both"/>
        <w:ind w:firstLine="1505"/>
        <w:spacing w:after="0" w:line="251" w:lineRule="auto"/>
        <w:tabs>
          <w:tab w:leader="none" w:pos="2036"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Optional</w:t>
      </w:r>
      <w:r>
        <w:rPr>
          <w:rFonts w:ascii="Times New Roman" w:cs="Times New Roman" w:eastAsia="Times New Roman" w:hAnsi="Times New Roman"/>
          <w:sz w:val="19"/>
          <w:szCs w:val="19"/>
          <w:color w:val="auto"/>
        </w:rPr>
        <w:t xml:space="preserve">. The Borrower may, upon at least three Business Days’ notice to the Administrative Agent, terminate in whole or reduce in part the unused portions of the Commitments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each partial reduction of the Facility (A) shall be in an aggregate amount of $5,000,000 or an</w:t>
      </w: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33" w:name="page234"/>
    <w:bookmarkEnd w:id="233"/>
    <w:p>
      <w:pPr>
        <w:spacing w:after="0" w:line="265" w:lineRule="auto"/>
        <w:rPr>
          <w:sz w:val="20"/>
          <w:szCs w:val="20"/>
          <w:color w:val="auto"/>
        </w:rPr>
      </w:pPr>
      <w:r>
        <w:rPr>
          <w:rFonts w:ascii="Times New Roman" w:cs="Times New Roman" w:eastAsia="Times New Roman" w:hAnsi="Times New Roman"/>
          <w:sz w:val="19"/>
          <w:szCs w:val="19"/>
          <w:color w:val="auto"/>
        </w:rPr>
        <w:t>integral multiple of $250,000 in excess thereof and (B) shall be made ratably among the Lenders in accordance with their Commitments. Once terminated, a Commitment may not be reinstated.</w:t>
      </w:r>
    </w:p>
    <w:p>
      <w:pPr>
        <w:spacing w:after="0" w:line="166" w:lineRule="exact"/>
        <w:rPr>
          <w:sz w:val="20"/>
          <w:szCs w:val="20"/>
          <w:color w:val="auto"/>
        </w:rPr>
      </w:pPr>
    </w:p>
    <w:p>
      <w:pPr>
        <w:jc w:val="both"/>
        <w:ind w:firstLine="1505"/>
        <w:spacing w:after="0" w:line="246" w:lineRule="auto"/>
        <w:tabs>
          <w:tab w:leader="none" w:pos="2036"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Mandatory</w:t>
      </w:r>
      <w:r>
        <w:rPr>
          <w:rFonts w:ascii="Times New Roman" w:cs="Times New Roman" w:eastAsia="Times New Roman" w:hAnsi="Times New Roman"/>
          <w:sz w:val="19"/>
          <w:szCs w:val="19"/>
          <w:color w:val="auto"/>
        </w:rPr>
        <w:t xml:space="preserve">. The aggregate funded Commitments of the Lenders relating to any Advances that are repaid or prepaid shall be automatically and permanently reduced,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by the amount of such repayment or prepayment. Further, if, at 11:59 P.M. on the last day of the Delayed Draw Period, any unfunded Commitments exist, such unfunded Commitments shall automatically be deemed terminated and reduced to zero.</w:t>
      </w:r>
    </w:p>
    <w:p>
      <w:pPr>
        <w:spacing w:after="0" w:line="1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010000"/>
        </w:rPr>
        <w:t>Section 2.06</w:t>
      </w:r>
      <w:r>
        <w:rPr>
          <w:rFonts w:ascii="Times New Roman" w:cs="Times New Roman" w:eastAsia="Times New Roman" w:hAnsi="Times New Roman"/>
          <w:sz w:val="19"/>
          <w:szCs w:val="19"/>
          <w:u w:val="single" w:color="auto"/>
          <w:color w:val="000000"/>
        </w:rPr>
        <w:t>Prepayments</w:t>
      </w:r>
      <w:r>
        <w:rPr>
          <w:rFonts w:ascii="Times New Roman" w:cs="Times New Roman" w:eastAsia="Times New Roman" w:hAnsi="Times New Roman"/>
          <w:sz w:val="19"/>
          <w:szCs w:val="19"/>
          <w:color w:val="000000"/>
        </w:rPr>
        <w:t>.</w:t>
      </w:r>
    </w:p>
    <w:p>
      <w:pPr>
        <w:spacing w:after="0" w:line="214" w:lineRule="exact"/>
        <w:rPr>
          <w:sz w:val="20"/>
          <w:szCs w:val="20"/>
          <w:color w:val="auto"/>
        </w:rPr>
      </w:pPr>
    </w:p>
    <w:p>
      <w:pPr>
        <w:jc w:val="both"/>
        <w:ind w:firstLine="1505"/>
        <w:spacing w:after="0"/>
        <w:tabs>
          <w:tab w:leader="none" w:pos="2036"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Optional</w:t>
      </w:r>
      <w:r>
        <w:rPr>
          <w:rFonts w:ascii="Times New Roman" w:cs="Times New Roman" w:eastAsia="Times New Roman" w:hAnsi="Times New Roman"/>
          <w:sz w:val="19"/>
          <w:szCs w:val="19"/>
          <w:color w:val="auto"/>
        </w:rPr>
        <w:t xml:space="preserve">. The Borrower may, upon same day notice in the case of Base Rate Advances, two U.S. Government Securities Business Days’ notice in the case of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and one U.S. Government Securities Business Day’s notice in the case of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DSS Advances in each case to the Administrative Agent stating the proposed date and aggregate principal amount of the prepayment, and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if such notice is given the Borrower shall, prepay the outstanding aggregate principal amount of the Advances comprising part of the same Borrowing in whole or ratably in part, together with accrued interest to the date of such prepayment on the aggregate principal amount prepaid but otherwise without penalty or premium (other than the Prepayment Premium, if applicable);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i w:val="1"/>
          <w:iCs w:val="1"/>
          <w:color w:val="000000"/>
        </w:rPr>
        <w:t>however</w:t>
      </w:r>
      <w:r>
        <w:rPr>
          <w:rFonts w:ascii="Times New Roman" w:cs="Times New Roman" w:eastAsia="Times New Roman" w:hAnsi="Times New Roman"/>
          <w:sz w:val="19"/>
          <w:szCs w:val="19"/>
          <w:color w:val="000000"/>
        </w:rPr>
        <w:t xml:space="preserve">, that (i) each partial prepayment shall be in an aggregate principal amount of $1,000,000 or an integral multiple of $250,000 in excess thereof or, if less, the amount of the Advances outstanding and (ii) if any prepayment of </w:t>
      </w:r>
      <w:r>
        <w:rPr>
          <w:rFonts w:ascii="Times New Roman" w:cs="Times New Roman" w:eastAsia="Times New Roman" w:hAnsi="Times New Roman"/>
          <w:sz w:val="19"/>
          <w:szCs w:val="19"/>
          <w:color w:val="FF0000"/>
          <w:strike w:val="1"/>
        </w:rPr>
        <w:t>an Adjusted</w:t>
      </w:r>
      <w:r>
        <w:rPr>
          <w:rFonts w:ascii="Times New Roman" w:cs="Times New Roman" w:eastAsia="Times New Roman" w:hAnsi="Times New Roman"/>
          <w:sz w:val="19"/>
          <w:szCs w:val="19"/>
          <w:b w:val="1"/>
          <w:bCs w:val="1"/>
          <w:u w:val="single" w:color="auto"/>
          <w:color w:val="0000FF"/>
        </w:rPr>
        <w:t>a</w:t>
      </w:r>
      <w:r>
        <w:rPr>
          <w:rFonts w:ascii="Times New Roman" w:cs="Times New Roman" w:eastAsia="Times New Roman" w:hAnsi="Times New Roman"/>
          <w:sz w:val="19"/>
          <w:szCs w:val="19"/>
          <w:color w:val="000000"/>
        </w:rPr>
        <w:t xml:space="preserve"> Term SOFR Advance is made on a date other than the last day of an Interest Period for such Advance, the Borrower shall also pay any amounts owing pursuant to Section 9.04(c).</w:t>
      </w:r>
    </w:p>
    <w:p>
      <w:pPr>
        <w:spacing w:after="0" w:line="193" w:lineRule="exact"/>
        <w:rPr>
          <w:rFonts w:ascii="Times New Roman" w:cs="Times New Roman" w:eastAsia="Times New Roman" w:hAnsi="Times New Roman"/>
          <w:sz w:val="19"/>
          <w:szCs w:val="19"/>
          <w:color w:val="auto"/>
        </w:rPr>
      </w:pPr>
    </w:p>
    <w:p>
      <w:pPr>
        <w:jc w:val="both"/>
        <w:ind w:firstLine="1505"/>
        <w:spacing w:after="0" w:line="242" w:lineRule="auto"/>
        <w:tabs>
          <w:tab w:leader="none" w:pos="2036"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Mandatory</w:t>
      </w:r>
      <w:r>
        <w:rPr>
          <w:rFonts w:ascii="Times New Roman" w:cs="Times New Roman" w:eastAsia="Times New Roman" w:hAnsi="Times New Roman"/>
          <w:sz w:val="19"/>
          <w:szCs w:val="19"/>
          <w:color w:val="auto"/>
        </w:rPr>
        <w:t>. The Borrower shall, if applicable, within one (1) Business Day after the earlier of the date on which (x) a Responsible Officer becomes aware of any non-compliance with the requirements described in the following clauses (A), (B) or (C) or (y) written notice thereof shall have been given to the Borrower by the Administrative Agent, prepay an aggregate principal amount of the Advances comprising part of the same Borrowings to cause (A) the Unsecured Leverage Ratio not to exceed the maximum Unsecured Leverage Ratio set forth in Section 5.04(b)(i) on such Business Day, (B) the Leverage Ratio not to exceed the maximum Leverage Ratio set forth in Section 5.04(a)(i) on such Business Day and (C) the Unencumbered Asset Debt Service Coverage Ratio not to be less than the minimum Unencumbered Asset Debt Service Coverage Ratio set forth in Section 5.04(b)(ii) on such Business Day.</w:t>
      </w:r>
    </w:p>
    <w:p>
      <w:pPr>
        <w:spacing w:after="0" w:line="185" w:lineRule="exact"/>
        <w:rPr>
          <w:rFonts w:ascii="Times New Roman" w:cs="Times New Roman" w:eastAsia="Times New Roman" w:hAnsi="Times New Roman"/>
          <w:sz w:val="19"/>
          <w:szCs w:val="19"/>
          <w:color w:val="auto"/>
        </w:rPr>
      </w:pPr>
    </w:p>
    <w:p>
      <w:pPr>
        <w:ind w:firstLine="1505"/>
        <w:spacing w:after="0" w:line="265" w:lineRule="auto"/>
        <w:tabs>
          <w:tab w:leader="none" w:pos="2036"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prepayments under this subsection (b) shall be made together with accrued interest to the date of such prepayment on the principal amount prepaid and, if applicable, the Prepayment Premium.</w:t>
      </w:r>
    </w:p>
    <w:p>
      <w:pPr>
        <w:spacing w:after="0" w:line="1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010000"/>
        </w:rPr>
        <w:t>Section 2.07</w:t>
      </w:r>
      <w:r>
        <w:rPr>
          <w:rFonts w:ascii="Times New Roman" w:cs="Times New Roman" w:eastAsia="Times New Roman" w:hAnsi="Times New Roman"/>
          <w:sz w:val="19"/>
          <w:szCs w:val="19"/>
          <w:u w:val="single" w:color="auto"/>
          <w:color w:val="000000"/>
        </w:rPr>
        <w:t>Interest</w:t>
      </w:r>
      <w:r>
        <w:rPr>
          <w:rFonts w:ascii="Times New Roman" w:cs="Times New Roman" w:eastAsia="Times New Roman" w:hAnsi="Times New Roman"/>
          <w:sz w:val="19"/>
          <w:szCs w:val="19"/>
          <w:color w:val="000000"/>
        </w:rPr>
        <w:t>.</w:t>
      </w:r>
    </w:p>
    <w:p>
      <w:pPr>
        <w:spacing w:after="0" w:line="214" w:lineRule="exact"/>
        <w:rPr>
          <w:sz w:val="20"/>
          <w:szCs w:val="20"/>
          <w:color w:val="auto"/>
        </w:rPr>
      </w:pPr>
    </w:p>
    <w:p>
      <w:pPr>
        <w:ind w:firstLine="1505"/>
        <w:spacing w:after="0" w:line="265" w:lineRule="auto"/>
        <w:tabs>
          <w:tab w:leader="none" w:pos="2036"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Scheduled Interest</w:t>
      </w:r>
      <w:r>
        <w:rPr>
          <w:rFonts w:ascii="Times New Roman" w:cs="Times New Roman" w:eastAsia="Times New Roman" w:hAnsi="Times New Roman"/>
          <w:sz w:val="19"/>
          <w:szCs w:val="19"/>
          <w:color w:val="auto"/>
        </w:rPr>
        <w:t>. The Borrower shall pay interest on the unpaid principal amount of each Advance owing to each Lender from the date of such Advance until such principal amount shall be paid in full, at the following rates per annum:</w:t>
      </w:r>
    </w:p>
    <w:p>
      <w:pPr>
        <w:spacing w:after="0" w:line="165" w:lineRule="exact"/>
        <w:rPr>
          <w:rFonts w:ascii="Times New Roman" w:cs="Times New Roman" w:eastAsia="Times New Roman" w:hAnsi="Times New Roman"/>
          <w:sz w:val="19"/>
          <w:szCs w:val="19"/>
          <w:color w:val="auto"/>
        </w:rPr>
      </w:pPr>
    </w:p>
    <w:p>
      <w:pPr>
        <w:jc w:val="both"/>
        <w:ind w:left="1500" w:firstLine="754"/>
        <w:spacing w:after="0" w:line="246" w:lineRule="auto"/>
        <w:tabs>
          <w:tab w:leader="none" w:pos="2548" w:val="left"/>
        </w:tabs>
        <w:numPr>
          <w:ilvl w:val="1"/>
          <w:numId w:val="1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Base Rate Advances</w:t>
      </w:r>
      <w:r>
        <w:rPr>
          <w:rFonts w:ascii="Times New Roman" w:cs="Times New Roman" w:eastAsia="Times New Roman" w:hAnsi="Times New Roman"/>
          <w:sz w:val="19"/>
          <w:szCs w:val="19"/>
          <w:color w:val="auto"/>
        </w:rPr>
        <w:t xml:space="preserve">. During such periods as such Advance is a Base Rate Advance, a rate per annum equal at all times to the sum of (A) the Base Rate in effect from time to time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the Applicable Margin in respect of Base Rate Advances in effect from time to time, payable in arrears quarterly on the last day of each March, June, September and December during such periods and on the date such Base Rate Advance shall be Converted or paid in full.</w:t>
      </w:r>
    </w:p>
    <w:p>
      <w:pPr>
        <w:spacing w:after="0" w:line="180" w:lineRule="exact"/>
        <w:rPr>
          <w:rFonts w:ascii="Times New Roman" w:cs="Times New Roman" w:eastAsia="Times New Roman" w:hAnsi="Times New Roman"/>
          <w:sz w:val="19"/>
          <w:szCs w:val="19"/>
          <w:color w:val="010000"/>
        </w:rPr>
      </w:pPr>
    </w:p>
    <w:p>
      <w:pPr>
        <w:jc w:val="both"/>
        <w:ind w:left="1500" w:firstLine="754"/>
        <w:spacing w:after="0" w:line="253" w:lineRule="auto"/>
        <w:tabs>
          <w:tab w:leader="none" w:pos="2548" w:val="left"/>
        </w:tabs>
        <w:numPr>
          <w:ilvl w:val="1"/>
          <w:numId w:val="17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FF0000"/>
          <w:strike w:val="1"/>
        </w:rPr>
        <w:t>Adjusted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00"/>
        </w:rPr>
        <w:t>Term SOFR Advances</w:t>
      </w:r>
      <w:r>
        <w:rPr>
          <w:rFonts w:ascii="Times New Roman" w:cs="Times New Roman" w:eastAsia="Times New Roman" w:hAnsi="Times New Roman"/>
          <w:sz w:val="19"/>
          <w:szCs w:val="19"/>
          <w:color w:val="000000"/>
        </w:rPr>
        <w:t>. During such periods as such Advance is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an Adjusted</w:t>
      </w:r>
      <w:r>
        <w:rPr>
          <w:rFonts w:ascii="Times New Roman" w:cs="Times New Roman" w:eastAsia="Times New Roman" w:hAnsi="Times New Roman"/>
          <w:sz w:val="19"/>
          <w:szCs w:val="19"/>
          <w:b w:val="1"/>
          <w:bCs w:val="1"/>
          <w:u w:val="single" w:color="auto"/>
          <w:color w:val="0000FF"/>
        </w:rPr>
        <w:t>a</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Term SOFR Advance,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subject to clause (e) below, a rate per annum equal at all times during each Interest Period for such Advance to the sum of (A)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Term SOFR for such</w:t>
      </w:r>
    </w:p>
    <w:p>
      <w:pPr>
        <w:spacing w:after="0" w:line="3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34" w:name="page235"/>
    <w:bookmarkEnd w:id="234"/>
    <w:p>
      <w:pPr>
        <w:jc w:val="both"/>
        <w:ind w:left="743"/>
        <w:spacing w:after="0" w:line="248" w:lineRule="auto"/>
        <w:rPr>
          <w:sz w:val="20"/>
          <w:szCs w:val="20"/>
          <w:color w:val="auto"/>
        </w:rPr>
      </w:pPr>
      <w:r>
        <w:rPr>
          <w:rFonts w:ascii="Times New Roman" w:cs="Times New Roman" w:eastAsia="Times New Roman" w:hAnsi="Times New Roman"/>
          <w:sz w:val="19"/>
          <w:szCs w:val="19"/>
          <w:color w:val="auto"/>
        </w:rPr>
        <w:t xml:space="preserve">Interest Period for such Advance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the Applicable Margin in respect of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in effect on the first day of such Interest Period, payable in arrears on the last day of such Interest Period and, if such Interest Period has a duration of more than three months, on each day that occurs during such Interest Period every three months from the first day of such Interest Period and on the date such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 shall be Converted or paid in full.</w:t>
      </w:r>
    </w:p>
    <w:p>
      <w:pPr>
        <w:spacing w:after="0" w:line="181" w:lineRule="exact"/>
        <w:rPr>
          <w:sz w:val="20"/>
          <w:szCs w:val="20"/>
          <w:color w:val="auto"/>
        </w:rPr>
      </w:pPr>
    </w:p>
    <w:p>
      <w:pPr>
        <w:jc w:val="both"/>
        <w:ind w:left="743" w:firstLine="754"/>
        <w:spacing w:after="0" w:line="246" w:lineRule="auto"/>
        <w:tabs>
          <w:tab w:leader="none" w:pos="1791" w:val="left"/>
        </w:tabs>
        <w:numPr>
          <w:ilvl w:val="2"/>
          <w:numId w:val="17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FF0000"/>
          <w:strike w:val="1"/>
        </w:rPr>
        <w:t>Adjusted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u w:val="single" w:color="auto"/>
          <w:color w:val="000000"/>
        </w:rPr>
        <w:t>DSS Advances</w:t>
      </w:r>
      <w:r>
        <w:rPr>
          <w:rFonts w:ascii="Times New Roman" w:cs="Times New Roman" w:eastAsia="Times New Roman" w:hAnsi="Times New Roman"/>
          <w:sz w:val="19"/>
          <w:szCs w:val="19"/>
          <w:color w:val="000000"/>
        </w:rPr>
        <w:t>. During such periods as such Advance is an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DSS Advance, a rate per annum</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equal at all times to the sum of (A)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000000"/>
        </w:rPr>
        <w:t xml:space="preserve"> Daily Simple SOFR in effect from time to time </w:t>
      </w:r>
      <w:r>
        <w:rPr>
          <w:rFonts w:ascii="Times New Roman" w:cs="Times New Roman" w:eastAsia="Times New Roman" w:hAnsi="Times New Roman"/>
          <w:sz w:val="19"/>
          <w:szCs w:val="19"/>
          <w:i w:val="1"/>
          <w:iCs w:val="1"/>
          <w:color w:val="000000"/>
        </w:rPr>
        <w:t>plus</w:t>
      </w:r>
      <w:r>
        <w:rPr>
          <w:rFonts w:ascii="Times New Roman" w:cs="Times New Roman" w:eastAsia="Times New Roman" w:hAnsi="Times New Roman"/>
          <w:sz w:val="19"/>
          <w:szCs w:val="19"/>
          <w:color w:val="000000"/>
        </w:rPr>
        <w:t xml:space="preserve"> (B) the Applicable Margin in respect of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000000"/>
        </w:rPr>
        <w:t xml:space="preserve"> DSS Advances in effect from time to time, payable in arrears on each Daily RFR Interest Payment Date for such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000000"/>
        </w:rPr>
        <w:t xml:space="preserve"> DSS Advance and on the date such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000000"/>
        </w:rPr>
        <w:t xml:space="preserve"> DSS Advance shall be Converted or paid in full.</w:t>
      </w:r>
    </w:p>
    <w:p>
      <w:pPr>
        <w:spacing w:after="0" w:line="184" w:lineRule="exact"/>
        <w:rPr>
          <w:rFonts w:ascii="Times New Roman" w:cs="Times New Roman" w:eastAsia="Times New Roman" w:hAnsi="Times New Roman"/>
          <w:sz w:val="19"/>
          <w:szCs w:val="19"/>
          <w:color w:val="010000"/>
        </w:rPr>
      </w:pPr>
    </w:p>
    <w:p>
      <w:pPr>
        <w:jc w:val="both"/>
        <w:ind w:left="3" w:firstLine="745"/>
        <w:spacing w:after="0" w:line="248" w:lineRule="auto"/>
        <w:tabs>
          <w:tab w:leader="none" w:pos="1291" w:val="left"/>
        </w:tabs>
        <w:numPr>
          <w:ilvl w:val="1"/>
          <w:numId w:val="17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Default Interest</w:t>
      </w:r>
      <w:r>
        <w:rPr>
          <w:rFonts w:ascii="Times New Roman" w:cs="Times New Roman" w:eastAsia="Times New Roman" w:hAnsi="Times New Roman"/>
          <w:sz w:val="19"/>
          <w:szCs w:val="19"/>
          <w:color w:val="auto"/>
        </w:rPr>
        <w:t>. Upon the occurrence and during the continuance of any Event of Default, the Borrower shall pay interest on (i) the unpaid principal amount of each Advance owing to each Lender, payable in arrears on the dates referred to in clause (a)</w:t>
      </w:r>
    </w:p>
    <w:p>
      <w:pPr>
        <w:jc w:val="both"/>
        <w:ind w:left="3" w:hanging="3"/>
        <w:spacing w:after="0" w:line="238" w:lineRule="auto"/>
        <w:tabs>
          <w:tab w:leader="none" w:pos="230"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(a)(ii) above and on demand, at a rate per annum equal at all times to 2% per annum above the rate per annum required to be paid on such Advance pursuant to clause (a)(i) or (a)(ii) above and (ii) to the fullest extent permitted by law, the amount of any interest, fee or other amount payable under the Loan Documents that is not paid when due, from the date such amount shall be due until such amount shall be paid in full, payable in arrears on the date such amount shall be paid in full and on demand, at a rate per annum equal at all times to 2% per annum above the rate per annum required to be paid, in the case of interest, on the Type of Advance on which such interest has accrued pursuant to clause (a)(i) or (a)(ii) above and, in all other cases, on Base Rate Advances pursuant to clause (a)(i) above.</w:t>
      </w:r>
    </w:p>
    <w:p>
      <w:pPr>
        <w:spacing w:after="0" w:line="192" w:lineRule="exact"/>
        <w:rPr>
          <w:rFonts w:ascii="Times New Roman" w:cs="Times New Roman" w:eastAsia="Times New Roman" w:hAnsi="Times New Roman"/>
          <w:sz w:val="19"/>
          <w:szCs w:val="19"/>
          <w:color w:val="auto"/>
        </w:rPr>
      </w:pPr>
    </w:p>
    <w:p>
      <w:pPr>
        <w:jc w:val="both"/>
        <w:ind w:left="3" w:firstLine="745"/>
        <w:spacing w:after="0" w:line="246" w:lineRule="auto"/>
        <w:tabs>
          <w:tab w:leader="none" w:pos="1291" w:val="left"/>
        </w:tabs>
        <w:numPr>
          <w:ilvl w:val="1"/>
          <w:numId w:val="17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Notice of Interest Period and Interest Rate</w:t>
      </w:r>
      <w:r>
        <w:rPr>
          <w:rFonts w:ascii="Times New Roman" w:cs="Times New Roman" w:eastAsia="Times New Roman" w:hAnsi="Times New Roman"/>
          <w:sz w:val="19"/>
          <w:szCs w:val="19"/>
          <w:color w:val="auto"/>
        </w:rPr>
        <w:t>. Promptly after receipt of a Notice of Borrowing pursuant to Section 2.02(a), a notice of Conversion pursuant to Section 2.09 or a notice of selection of an Interest Period pursuant to the definition of “Interest Period”, the Administrative Agent shall give notice to the Borrower and each Lender of the applicable Interest Period and the applicable interest rate determined by the Administrative Agent for purposes of clause (a)(i) or (a)(ii) above.</w:t>
      </w:r>
    </w:p>
    <w:p>
      <w:pPr>
        <w:spacing w:after="0" w:line="184" w:lineRule="exact"/>
        <w:rPr>
          <w:rFonts w:ascii="Times New Roman" w:cs="Times New Roman" w:eastAsia="Times New Roman" w:hAnsi="Times New Roman"/>
          <w:sz w:val="19"/>
          <w:szCs w:val="19"/>
          <w:color w:val="010000"/>
        </w:rPr>
      </w:pPr>
    </w:p>
    <w:p>
      <w:pPr>
        <w:jc w:val="both"/>
        <w:ind w:left="3" w:firstLine="745"/>
        <w:spacing w:after="0" w:line="244" w:lineRule="auto"/>
        <w:tabs>
          <w:tab w:leader="none" w:pos="1291" w:val="left"/>
        </w:tabs>
        <w:numPr>
          <w:ilvl w:val="1"/>
          <w:numId w:val="17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Interest Rate Determination</w:t>
      </w:r>
      <w:r>
        <w:rPr>
          <w:rFonts w:ascii="Times New Roman" w:cs="Times New Roman" w:eastAsia="Times New Roman" w:hAnsi="Times New Roman"/>
          <w:sz w:val="19"/>
          <w:szCs w:val="19"/>
          <w:color w:val="auto"/>
        </w:rPr>
        <w:t xml:space="preserve">. Subject to clause (e) below, if (x)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is unavailable and the Administrative Agent is unable to determine the Term SOFR Reference Rate for any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as provided in the definition of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(including because the Term SOFR Reference Rate is not available or published on a current basis) or</w:t>
      </w:r>
    </w:p>
    <w:p>
      <w:pPr>
        <w:spacing w:after="0" w:line="1" w:lineRule="exact"/>
        <w:rPr>
          <w:rFonts w:ascii="Times New Roman" w:cs="Times New Roman" w:eastAsia="Times New Roman" w:hAnsi="Times New Roman"/>
          <w:sz w:val="19"/>
          <w:szCs w:val="19"/>
          <w:color w:val="010000"/>
        </w:rPr>
      </w:pPr>
    </w:p>
    <w:p>
      <w:pPr>
        <w:jc w:val="both"/>
        <w:ind w:left="3" w:hanging="3"/>
        <w:spacing w:after="0"/>
        <w:tabs>
          <w:tab w:leader="none" w:pos="298"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Daily Simple SOFR is unavailable and the Administrative Agent is unable to determine Daily Simple SOFR for any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DSS Advances, as provided in the definition of</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Daily Simple SOFR (including because Daily Simple SOFR is not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available or published on a current basis),</w:t>
      </w:r>
    </w:p>
    <w:p>
      <w:pPr>
        <w:spacing w:after="0" w:line="188" w:lineRule="exact"/>
        <w:rPr>
          <w:rFonts w:ascii="Times New Roman" w:cs="Times New Roman" w:eastAsia="Times New Roman" w:hAnsi="Times New Roman"/>
          <w:sz w:val="19"/>
          <w:szCs w:val="19"/>
          <w:color w:val="auto"/>
        </w:rPr>
      </w:pPr>
    </w:p>
    <w:p>
      <w:pPr>
        <w:ind w:left="743" w:firstLine="754"/>
        <w:spacing w:after="0" w:line="265" w:lineRule="auto"/>
        <w:tabs>
          <w:tab w:leader="none" w:pos="1791" w:val="left"/>
        </w:tabs>
        <w:numPr>
          <w:ilvl w:val="2"/>
          <w:numId w:val="18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Administrative Agent shall forthwith notify the Borrower and the Lenders that the interest rate cannot be determined for such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or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DSS Advances, as applicable,</w:t>
      </w:r>
    </w:p>
    <w:p>
      <w:pPr>
        <w:spacing w:after="0" w:line="162" w:lineRule="exact"/>
        <w:rPr>
          <w:sz w:val="20"/>
          <w:szCs w:val="20"/>
          <w:color w:val="auto"/>
        </w:rPr>
      </w:pPr>
    </w:p>
    <w:p>
      <w:pPr>
        <w:jc w:val="both"/>
        <w:ind w:left="743" w:firstLine="754"/>
        <w:spacing w:after="0" w:line="253" w:lineRule="auto"/>
        <w:tabs>
          <w:tab w:leader="none" w:pos="1791" w:val="left"/>
        </w:tabs>
        <w:numPr>
          <w:ilvl w:val="0"/>
          <w:numId w:val="18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each such Advance will automatically, on the last day of the Interest Period in the case of </w:t>
      </w:r>
      <w:r>
        <w:rPr>
          <w:rFonts w:ascii="Times New Roman" w:cs="Times New Roman" w:eastAsia="Times New Roman" w:hAnsi="Times New Roman"/>
          <w:sz w:val="19"/>
          <w:szCs w:val="19"/>
          <w:color w:val="FF0000"/>
          <w:strike w:val="1"/>
        </w:rPr>
        <w:t>an Adjusted</w:t>
      </w:r>
      <w:r>
        <w:rPr>
          <w:rFonts w:ascii="Times New Roman" w:cs="Times New Roman" w:eastAsia="Times New Roman" w:hAnsi="Times New Roman"/>
          <w:sz w:val="19"/>
          <w:szCs w:val="19"/>
          <w:b w:val="1"/>
          <w:bCs w:val="1"/>
          <w:u w:val="single" w:color="auto"/>
          <w:color w:val="0000FF"/>
        </w:rPr>
        <w:t>a</w:t>
      </w:r>
      <w:r>
        <w:rPr>
          <w:rFonts w:ascii="Times New Roman" w:cs="Times New Roman" w:eastAsia="Times New Roman" w:hAnsi="Times New Roman"/>
          <w:sz w:val="19"/>
          <w:szCs w:val="19"/>
          <w:color w:val="auto"/>
        </w:rPr>
        <w:t xml:space="preserve"> Term SOFR Advance or on the next Daily RFR Business Day in the case of an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DSS Advance, as applicable, Convert into a Base Rate Advance (or if such Advance is then a Base Rate Advance, will continue as a Base Rate Advance),</w:t>
      </w:r>
    </w:p>
    <w:p>
      <w:pPr>
        <w:spacing w:after="0" w:line="177" w:lineRule="exact"/>
        <w:rPr>
          <w:rFonts w:ascii="Times New Roman" w:cs="Times New Roman" w:eastAsia="Times New Roman" w:hAnsi="Times New Roman"/>
          <w:sz w:val="19"/>
          <w:szCs w:val="19"/>
          <w:color w:val="010000"/>
        </w:rPr>
      </w:pPr>
    </w:p>
    <w:p>
      <w:pPr>
        <w:jc w:val="both"/>
        <w:ind w:left="743" w:firstLine="754"/>
        <w:spacing w:after="0" w:line="251" w:lineRule="auto"/>
        <w:tabs>
          <w:tab w:leader="none" w:pos="1791" w:val="left"/>
        </w:tabs>
        <w:numPr>
          <w:ilvl w:val="0"/>
          <w:numId w:val="18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obligation of the Lenders to make, or to Convert Advances into,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or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DSS Advances, as applicable, shall be suspended until the Administrative Agent shall notify the Borrower and the Lenders that the circumstances causing such suspension no longer exist, and</w:t>
      </w:r>
    </w:p>
    <w:p>
      <w:pPr>
        <w:spacing w:after="0" w:line="314"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671195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5" w:right="339" w:bottom="1440" w:gutter="0" w:footer="0" w:header="0"/>
        </w:sectPr>
      </w:pPr>
    </w:p>
    <w:bookmarkStart w:id="235" w:name="page236"/>
    <w:bookmarkEnd w:id="235"/>
    <w:p>
      <w:pPr>
        <w:jc w:val="both"/>
        <w:ind w:left="740" w:firstLine="754"/>
        <w:spacing w:after="0" w:line="248" w:lineRule="auto"/>
        <w:tabs>
          <w:tab w:leader="none" w:pos="1788" w:val="left"/>
        </w:tabs>
        <w:numPr>
          <w:ilvl w:val="1"/>
          <w:numId w:val="18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Borrower may revoke any pending request for </w:t>
      </w:r>
      <w:r>
        <w:rPr>
          <w:rFonts w:ascii="Times New Roman" w:cs="Times New Roman" w:eastAsia="Times New Roman" w:hAnsi="Times New Roman"/>
          <w:sz w:val="19"/>
          <w:szCs w:val="19"/>
          <w:color w:val="FF0000"/>
          <w:strike w:val="1"/>
        </w:rPr>
        <w:t>an Adjusted</w:t>
      </w:r>
      <w:r>
        <w:rPr>
          <w:rFonts w:ascii="Times New Roman" w:cs="Times New Roman" w:eastAsia="Times New Roman" w:hAnsi="Times New Roman"/>
          <w:sz w:val="19"/>
          <w:szCs w:val="19"/>
          <w:b w:val="1"/>
          <w:bCs w:val="1"/>
          <w:u w:val="single" w:color="auto"/>
          <w:color w:val="0000FF"/>
        </w:rPr>
        <w:t>a</w:t>
      </w:r>
      <w:r>
        <w:rPr>
          <w:rFonts w:ascii="Times New Roman" w:cs="Times New Roman" w:eastAsia="Times New Roman" w:hAnsi="Times New Roman"/>
          <w:sz w:val="19"/>
          <w:szCs w:val="19"/>
          <w:color w:val="auto"/>
        </w:rPr>
        <w:t xml:space="preserve"> Term SOFR Advance, to convert a Base Rate Advance to </w:t>
      </w:r>
      <w:r>
        <w:rPr>
          <w:rFonts w:ascii="Times New Roman" w:cs="Times New Roman" w:eastAsia="Times New Roman" w:hAnsi="Times New Roman"/>
          <w:sz w:val="19"/>
          <w:szCs w:val="19"/>
          <w:color w:val="FF0000"/>
          <w:strike w:val="1"/>
        </w:rPr>
        <w:t>an Adjusted</w:t>
      </w:r>
      <w:r>
        <w:rPr>
          <w:rFonts w:ascii="Times New Roman" w:cs="Times New Roman" w:eastAsia="Times New Roman" w:hAnsi="Times New Roman"/>
          <w:sz w:val="19"/>
          <w:szCs w:val="19"/>
          <w:b w:val="1"/>
          <w:bCs w:val="1"/>
          <w:u w:val="single" w:color="auto"/>
          <w:color w:val="0000FF"/>
        </w:rPr>
        <w:t>a</w:t>
      </w:r>
      <w:r>
        <w:rPr>
          <w:rFonts w:ascii="Times New Roman" w:cs="Times New Roman" w:eastAsia="Times New Roman" w:hAnsi="Times New Roman"/>
          <w:sz w:val="19"/>
          <w:szCs w:val="19"/>
          <w:color w:val="auto"/>
        </w:rPr>
        <w:t xml:space="preserve"> Term SOFR Advance or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DSS Advance, as applicable, or to continue </w:t>
      </w:r>
      <w:r>
        <w:rPr>
          <w:rFonts w:ascii="Times New Roman" w:cs="Times New Roman" w:eastAsia="Times New Roman" w:hAnsi="Times New Roman"/>
          <w:sz w:val="19"/>
          <w:szCs w:val="19"/>
          <w:color w:val="FF0000"/>
          <w:strike w:val="1"/>
        </w:rPr>
        <w:t>an Adjusted</w:t>
      </w:r>
      <w:r>
        <w:rPr>
          <w:rFonts w:ascii="Times New Roman" w:cs="Times New Roman" w:eastAsia="Times New Roman" w:hAnsi="Times New Roman"/>
          <w:sz w:val="19"/>
          <w:szCs w:val="19"/>
          <w:b w:val="1"/>
          <w:bCs w:val="1"/>
          <w:u w:val="single" w:color="auto"/>
          <w:color w:val="0000FF"/>
        </w:rPr>
        <w:t>a</w:t>
      </w:r>
      <w:r>
        <w:rPr>
          <w:rFonts w:ascii="Times New Roman" w:cs="Times New Roman" w:eastAsia="Times New Roman" w:hAnsi="Times New Roman"/>
          <w:sz w:val="19"/>
          <w:szCs w:val="19"/>
          <w:color w:val="auto"/>
        </w:rPr>
        <w:t xml:space="preserve"> Term SOFR Advance or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DSS Advance, as applicable,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 Borrower does not revoke any such request, the Borrower will be deemed to have requested a Base Rate Advance.</w:t>
      </w:r>
    </w:p>
    <w:p>
      <w:pPr>
        <w:spacing w:after="0" w:line="180" w:lineRule="exact"/>
        <w:rPr>
          <w:rFonts w:ascii="Times New Roman" w:cs="Times New Roman" w:eastAsia="Times New Roman" w:hAnsi="Times New Roman"/>
          <w:sz w:val="19"/>
          <w:szCs w:val="19"/>
          <w:color w:val="010000"/>
        </w:rPr>
      </w:pPr>
    </w:p>
    <w:p>
      <w:pPr>
        <w:ind w:right="20" w:firstLine="745"/>
        <w:spacing w:after="0" w:line="265" w:lineRule="auto"/>
        <w:tabs>
          <w:tab w:leader="none" w:pos="1288" w:val="left"/>
        </w:tabs>
        <w:numPr>
          <w:ilvl w:val="0"/>
          <w:numId w:val="1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Benchmark Replacement Setting. Notwithstanding anything to the contrary herein or in any other Loan Document (and any Guaranteed Hedge Agreement shall be deemed not to be a “Loan Document” for purposes of this Section):</w:t>
      </w:r>
    </w:p>
    <w:p>
      <w:pPr>
        <w:spacing w:after="0" w:line="165" w:lineRule="exact"/>
        <w:rPr>
          <w:rFonts w:ascii="Times New Roman" w:cs="Times New Roman" w:eastAsia="Times New Roman" w:hAnsi="Times New Roman"/>
          <w:sz w:val="19"/>
          <w:szCs w:val="19"/>
          <w:color w:val="010000"/>
        </w:rPr>
      </w:pPr>
    </w:p>
    <w:p>
      <w:pPr>
        <w:jc w:val="both"/>
        <w:ind w:left="740" w:firstLine="754"/>
        <w:spacing w:after="0" w:line="238" w:lineRule="auto"/>
        <w:tabs>
          <w:tab w:leader="none" w:pos="1788" w:val="left"/>
        </w:tabs>
        <w:numPr>
          <w:ilvl w:val="1"/>
          <w:numId w:val="1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Replacing Benchmarks</w:t>
      </w:r>
      <w:r>
        <w:rPr>
          <w:rFonts w:ascii="Times New Roman" w:cs="Times New Roman" w:eastAsia="Times New Roman" w:hAnsi="Times New Roman"/>
          <w:sz w:val="19"/>
          <w:szCs w:val="19"/>
          <w:color w:val="auto"/>
        </w:rPr>
        <w:t xml:space="preserve">. If a Benchmark Transition Event occurs prior to any setting of the then-current Benchmark, then (x) if a Benchmark Replacement is determined in accordance with clause (a)(1)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w:t>
      </w:r>
      <w:r>
        <w:rPr>
          <w:rFonts w:ascii="Times New Roman" w:cs="Times New Roman" w:eastAsia="Times New Roman" w:hAnsi="Times New Roman"/>
          <w:sz w:val="19"/>
          <w:szCs w:val="19"/>
          <w:color w:val="FF0000"/>
          <w:strike w:val="1"/>
        </w:rPr>
        <w:t>the definition of Adjusted Term SOFR shall be deemed modified to delete the addition of the Term SOFR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Adjustment to Term SOFR for any calculation and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(y) if a Benchmark Replacement is determined in accordance with clauses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(a)(2) or (b) of the definition of “Benchmark Replacement” for such Benchmark Replacement Date, such Benchmark Replacement will replace the then-current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conversion to or continuation of Advances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such request into a request for a borrowing of or conversion to Base Rate Advances. During the period referenced in the foregoing sentence, the component of Base Rate based upon the Benchmark will not be used in any determination of Base Rate.</w:t>
      </w:r>
    </w:p>
    <w:p>
      <w:pPr>
        <w:spacing w:after="0" w:line="201" w:lineRule="exact"/>
        <w:rPr>
          <w:rFonts w:ascii="Times New Roman" w:cs="Times New Roman" w:eastAsia="Times New Roman" w:hAnsi="Times New Roman"/>
          <w:sz w:val="19"/>
          <w:szCs w:val="19"/>
          <w:color w:val="010000"/>
        </w:rPr>
      </w:pPr>
    </w:p>
    <w:p>
      <w:pPr>
        <w:jc w:val="both"/>
        <w:ind w:left="740" w:firstLine="754"/>
        <w:spacing w:after="0" w:line="244" w:lineRule="auto"/>
        <w:tabs>
          <w:tab w:leader="none" w:pos="1788" w:val="left"/>
        </w:tabs>
        <w:numPr>
          <w:ilvl w:val="1"/>
          <w:numId w:val="1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Benchmark Replacement Conforming Changes</w:t>
      </w:r>
      <w:r>
        <w:rPr>
          <w:rFonts w:ascii="Times New Roman" w:cs="Times New Roman" w:eastAsia="Times New Roman" w:hAnsi="Times New Roman"/>
          <w:sz w:val="19"/>
          <w:szCs w:val="19"/>
          <w:color w:val="auto"/>
        </w:rPr>
        <w:t>. In connection with the implementation and administration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5" w:lineRule="exact"/>
        <w:rPr>
          <w:rFonts w:ascii="Times New Roman" w:cs="Times New Roman" w:eastAsia="Times New Roman" w:hAnsi="Times New Roman"/>
          <w:sz w:val="19"/>
          <w:szCs w:val="19"/>
          <w:color w:val="010000"/>
        </w:rPr>
      </w:pPr>
    </w:p>
    <w:p>
      <w:pPr>
        <w:jc w:val="both"/>
        <w:ind w:left="740" w:firstLine="754"/>
        <w:spacing w:after="0" w:line="246" w:lineRule="auto"/>
        <w:tabs>
          <w:tab w:leader="none" w:pos="1788" w:val="left"/>
        </w:tabs>
        <w:numPr>
          <w:ilvl w:val="1"/>
          <w:numId w:val="18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Notices; Standards for Decisions and Determinations</w:t>
      </w:r>
      <w:r>
        <w:rPr>
          <w:rFonts w:ascii="Times New Roman" w:cs="Times New Roman" w:eastAsia="Times New Roman" w:hAnsi="Times New Roman"/>
          <w:sz w:val="19"/>
          <w:szCs w:val="19"/>
          <w:color w:val="auto"/>
        </w:rPr>
        <w:t>. The Administrative Agent will promptly notify the Borrower and the Lenders of (A) the implementation of any Benchmark Replacement and (B) the effectiveness of any Conforming Changes. For the avoidance of doubt, any notice required to be delivered by the Administrative Agent as set forth in this Section 2.07(e) may be provided, at the option of the Administrative Agent (in its sole</w:t>
      </w:r>
    </w:p>
    <w:p>
      <w:pPr>
        <w:spacing w:after="0" w:line="31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671195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5" w:right="339" w:bottom="1440" w:gutter="0" w:footer="0" w:header="0"/>
        </w:sectPr>
      </w:pPr>
    </w:p>
    <w:bookmarkStart w:id="236" w:name="page237"/>
    <w:bookmarkEnd w:id="236"/>
    <w:p>
      <w:pPr>
        <w:jc w:val="both"/>
        <w:ind w:left="1492"/>
        <w:spacing w:after="0" w:line="241" w:lineRule="auto"/>
        <w:rPr>
          <w:sz w:val="20"/>
          <w:szCs w:val="20"/>
          <w:color w:val="auto"/>
        </w:rPr>
      </w:pPr>
      <w:r>
        <w:rPr>
          <w:rFonts w:ascii="Times New Roman" w:cs="Times New Roman" w:eastAsia="Times New Roman" w:hAnsi="Times New Roman"/>
          <w:sz w:val="19"/>
          <w:szCs w:val="19"/>
          <w:color w:val="auto"/>
        </w:rPr>
        <w:t>discretion), in one or more notices and may be delivered together with, or as part of any amendment which implements any Benchmark Replacement or Conforming Changes. Any determination, decision or election that may be made by the Administrative Agent or, if applicable, any Lender (or group of Lenders) pursuant to this Section titled “Benchmark Replacement Setting,”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titled “Benchmark Replacement Setting.”</w:t>
      </w:r>
    </w:p>
    <w:p>
      <w:pPr>
        <w:spacing w:after="0" w:line="189" w:lineRule="exact"/>
        <w:rPr>
          <w:sz w:val="20"/>
          <w:szCs w:val="20"/>
          <w:color w:val="auto"/>
        </w:rPr>
      </w:pPr>
    </w:p>
    <w:p>
      <w:pPr>
        <w:jc w:val="both"/>
        <w:ind w:left="1492" w:firstLine="754"/>
        <w:spacing w:after="0" w:line="244" w:lineRule="auto"/>
        <w:tabs>
          <w:tab w:leader="none" w:pos="2540" w:val="left"/>
        </w:tabs>
        <w:numPr>
          <w:ilvl w:val="0"/>
          <w:numId w:val="1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Unavailability of Tenor of Benchmark</w:t>
      </w:r>
      <w:r>
        <w:rPr>
          <w:rFonts w:ascii="Times New Roman" w:cs="Times New Roman" w:eastAsia="Times New Roman" w:hAnsi="Times New Roman"/>
          <w:sz w:val="19"/>
          <w:szCs w:val="19"/>
          <w:color w:val="auto"/>
        </w:rPr>
        <w:t>. At any time (including in connection with the implementation of a Benchmark Replacement), (A) if the then-current Benchmark is a term rate (including the Term SOFR Reference Rate), then the Administrative Agent may remove any tenor of such Benchmark that is unavailable or non-representative for Benchmark (including Benchmark Replacement) settings and (B) the Administrative Agent may reinstate any such previously removed tenor for Benchmark (including Benchmark Replacement) settings.</w:t>
      </w:r>
    </w:p>
    <w:p>
      <w:pPr>
        <w:spacing w:after="0" w:line="185" w:lineRule="exact"/>
        <w:rPr>
          <w:rFonts w:ascii="Times New Roman" w:cs="Times New Roman" w:eastAsia="Times New Roman" w:hAnsi="Times New Roman"/>
          <w:sz w:val="19"/>
          <w:szCs w:val="19"/>
          <w:color w:val="010000"/>
        </w:rPr>
      </w:pPr>
    </w:p>
    <w:p>
      <w:pPr>
        <w:jc w:val="both"/>
        <w:ind w:left="1492" w:firstLine="754"/>
        <w:spacing w:after="0" w:line="239" w:lineRule="auto"/>
        <w:tabs>
          <w:tab w:leader="none" w:pos="2540" w:val="left"/>
        </w:tabs>
        <w:numPr>
          <w:ilvl w:val="0"/>
          <w:numId w:val="1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Disclaimer</w:t>
      </w:r>
      <w:r>
        <w:rPr>
          <w:rFonts w:ascii="Times New Roman" w:cs="Times New Roman" w:eastAsia="Times New Roman" w:hAnsi="Times New Roman"/>
          <w:sz w:val="19"/>
          <w:szCs w:val="19"/>
          <w:color w:val="auto"/>
        </w:rPr>
        <w:t>. The Administrative Agent does not warrant or accept responsibility for, and shall not have any liability with respect to (A) the continuation of, administration of, submission of, calculation of or any other matter related to the Base Rate, any Benchmark, any component definition thereof or rates referenced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such Benchmark, or any other Benchmark prior to its discontinuance or unavailability, or (B) the effect, implementation or composition of any Conforming Changes. The Administrative Agent and its affiliates or other related entities may engage in transactions that affect the calculation of the Base Rate, any Benchmark,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Base Rate or any Benchmark, any component definition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1"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19"/>
          <w:szCs w:val="19"/>
          <w:color w:val="010000"/>
        </w:rPr>
        <w:t>Section 2.08</w:t>
      </w:r>
      <w:r>
        <w:rPr>
          <w:rFonts w:ascii="Times New Roman" w:cs="Times New Roman" w:eastAsia="Times New Roman" w:hAnsi="Times New Roman"/>
          <w:sz w:val="19"/>
          <w:szCs w:val="19"/>
          <w:u w:val="single" w:color="auto"/>
          <w:color w:val="000000"/>
        </w:rPr>
        <w:t>Fees</w:t>
      </w:r>
      <w:r>
        <w:rPr>
          <w:rFonts w:ascii="Times New Roman" w:cs="Times New Roman" w:eastAsia="Times New Roman" w:hAnsi="Times New Roman"/>
          <w:sz w:val="19"/>
          <w:szCs w:val="19"/>
          <w:color w:val="000000"/>
        </w:rPr>
        <w:t>.</w:t>
      </w:r>
    </w:p>
    <w:p>
      <w:pPr>
        <w:spacing w:after="0" w:line="214" w:lineRule="exact"/>
        <w:rPr>
          <w:sz w:val="20"/>
          <w:szCs w:val="20"/>
          <w:color w:val="auto"/>
        </w:rPr>
      </w:pPr>
    </w:p>
    <w:p>
      <w:pPr>
        <w:jc w:val="both"/>
        <w:ind w:left="-8" w:firstLine="1505"/>
        <w:spacing w:after="0" w:line="242" w:lineRule="auto"/>
        <w:tabs>
          <w:tab w:leader="none" w:pos="2028" w:val="left"/>
        </w:tabs>
        <w:numPr>
          <w:ilvl w:val="1"/>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Unused Fee</w:t>
      </w:r>
      <w:r>
        <w:rPr>
          <w:rFonts w:ascii="Times New Roman" w:cs="Times New Roman" w:eastAsia="Times New Roman" w:hAnsi="Times New Roman"/>
          <w:sz w:val="19"/>
          <w:szCs w:val="19"/>
          <w:color w:val="auto"/>
        </w:rPr>
        <w:t>. The Borrower shall pay to the Administrative Agent for the account of each Lender (other than any Defaulting Lender) an unused commitment fee (each, an “</w:t>
      </w:r>
      <w:r>
        <w:rPr>
          <w:rFonts w:ascii="Times New Roman" w:cs="Times New Roman" w:eastAsia="Times New Roman" w:hAnsi="Times New Roman"/>
          <w:sz w:val="19"/>
          <w:szCs w:val="19"/>
          <w:b w:val="1"/>
          <w:bCs w:val="1"/>
          <w:i w:val="1"/>
          <w:iCs w:val="1"/>
          <w:color w:val="auto"/>
        </w:rPr>
        <w:t>Unused Fee</w:t>
      </w:r>
      <w:r>
        <w:rPr>
          <w:rFonts w:ascii="Times New Roman" w:cs="Times New Roman" w:eastAsia="Times New Roman" w:hAnsi="Times New Roman"/>
          <w:sz w:val="19"/>
          <w:szCs w:val="19"/>
          <w:color w:val="auto"/>
        </w:rPr>
        <w:t>”) in accordance with this Section 2.08(a). The Unused Fee with respect to each Lender shall accrue from the date hereof or upon the effectiveness of any Assignment and Acceptance pursuant to which it became a Lender until the earliest of (i) the last day of the Delayed Draw Period, (ii) the date on which the full amount of the Facility is advanced to the Borrower,</w:t>
      </w:r>
    </w:p>
    <w:p>
      <w:pPr>
        <w:spacing w:after="0" w:line="2" w:lineRule="exact"/>
        <w:rPr>
          <w:rFonts w:ascii="Times New Roman" w:cs="Times New Roman" w:eastAsia="Times New Roman" w:hAnsi="Times New Roman"/>
          <w:sz w:val="19"/>
          <w:szCs w:val="19"/>
          <w:color w:val="auto"/>
        </w:rPr>
      </w:pPr>
    </w:p>
    <w:p>
      <w:pPr>
        <w:jc w:val="both"/>
        <w:ind w:left="-8" w:firstLine="8"/>
        <w:spacing w:after="0"/>
        <w:tabs>
          <w:tab w:leader="none" w:pos="332"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of termination by the Borrower of all of the unused portions of the Commitments or (iv) the date of effectiveness of any Assignment and Acceptance pursuant to which it ceases to be a Lender (such date, the “</w:t>
      </w:r>
      <w:r>
        <w:rPr>
          <w:rFonts w:ascii="Times New Roman" w:cs="Times New Roman" w:eastAsia="Times New Roman" w:hAnsi="Times New Roman"/>
          <w:sz w:val="19"/>
          <w:szCs w:val="19"/>
          <w:b w:val="1"/>
          <w:bCs w:val="1"/>
          <w:i w:val="1"/>
          <w:iCs w:val="1"/>
          <w:color w:val="auto"/>
        </w:rPr>
        <w:t>Unused Fee Accrual Date</w:t>
      </w:r>
      <w:r>
        <w:rPr>
          <w:rFonts w:ascii="Times New Roman" w:cs="Times New Roman" w:eastAsia="Times New Roman" w:hAnsi="Times New Roman"/>
          <w:sz w:val="19"/>
          <w:szCs w:val="19"/>
          <w:color w:val="auto"/>
        </w:rPr>
        <w:t>”) at a rate per annum of 0.20% of the daily average of the unused portion of such Lender’s Commitment during the applicable period and shall be payable to the</w:t>
      </w:r>
    </w:p>
    <w:p>
      <w:pPr>
        <w:spacing w:after="0" w:line="324" w:lineRule="exact"/>
        <w:rPr>
          <w:sz w:val="20"/>
          <w:szCs w:val="20"/>
          <w:color w:val="auto"/>
        </w:rPr>
      </w:pPr>
    </w:p>
    <w:p>
      <w:pPr>
        <w:jc w:val="center"/>
        <w:ind w:right="-291"/>
        <w:spacing w:after="0"/>
        <w:rPr>
          <w:sz w:val="20"/>
          <w:szCs w:val="20"/>
          <w:color w:val="auto"/>
        </w:rPr>
      </w:pPr>
      <w:r>
        <w:rPr>
          <w:rFonts w:ascii="Times New Roman" w:cs="Times New Roman" w:eastAsia="Times New Roman" w:hAnsi="Times New Roman"/>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671195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9" w:right="339" w:bottom="1440" w:gutter="0" w:footer="0" w:header="0"/>
        </w:sectPr>
      </w:pPr>
    </w:p>
    <w:bookmarkStart w:id="237" w:name="page238"/>
    <w:bookmarkEnd w:id="237"/>
    <w:p>
      <w:pPr>
        <w:ind w:right="20"/>
        <w:spacing w:after="0" w:line="252" w:lineRule="exact"/>
        <w:rPr>
          <w:sz w:val="20"/>
          <w:szCs w:val="20"/>
          <w:color w:val="auto"/>
        </w:rPr>
      </w:pPr>
      <w:r>
        <w:rPr>
          <w:rFonts w:ascii="Times New Roman" w:cs="Times New Roman" w:eastAsia="Times New Roman" w:hAnsi="Times New Roman"/>
          <w:sz w:val="19"/>
          <w:szCs w:val="19"/>
          <w:color w:val="auto"/>
        </w:rPr>
        <w:t>Administrative Agent quarterly in arrears (and on the Unused Fee Accrual Date) for the account of such Lender. The Unused Fees will be calculated on a 360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day basis.</w:t>
      </w:r>
    </w:p>
    <w:p>
      <w:pPr>
        <w:spacing w:after="0" w:line="159" w:lineRule="exact"/>
        <w:rPr>
          <w:sz w:val="20"/>
          <w:szCs w:val="20"/>
          <w:color w:val="auto"/>
        </w:rPr>
      </w:pPr>
    </w:p>
    <w:p>
      <w:pPr>
        <w:jc w:val="both"/>
        <w:ind w:firstLine="1505"/>
        <w:spacing w:after="0" w:line="251" w:lineRule="auto"/>
        <w:tabs>
          <w:tab w:leader="none" w:pos="2036"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Fees</w:t>
      </w:r>
      <w:r>
        <w:rPr>
          <w:rFonts w:ascii="Times New Roman" w:cs="Times New Roman" w:eastAsia="Times New Roman" w:hAnsi="Times New Roman"/>
          <w:sz w:val="19"/>
          <w:szCs w:val="19"/>
          <w:color w:val="auto"/>
        </w:rPr>
        <w:t>. The Borrower shall pay to the Administrative Agent and the Arrangers for their own account the fees, in the amounts and on the dates, set forth in the Fee Letter and such other fees as may from time to time be agreed between the Borrower and the Administrative Agent or the Arrangers.</w:t>
      </w:r>
    </w:p>
    <w:p>
      <w:pPr>
        <w:spacing w:after="0" w:line="178" w:lineRule="exact"/>
        <w:rPr>
          <w:rFonts w:ascii="Times New Roman" w:cs="Times New Roman" w:eastAsia="Times New Roman" w:hAnsi="Times New Roman"/>
          <w:sz w:val="19"/>
          <w:szCs w:val="19"/>
          <w:color w:val="auto"/>
        </w:rPr>
      </w:pPr>
    </w:p>
    <w:p>
      <w:pPr>
        <w:jc w:val="both"/>
        <w:ind w:firstLine="1505"/>
        <w:spacing w:after="0" w:line="251" w:lineRule="auto"/>
        <w:tabs>
          <w:tab w:leader="none" w:pos="2036"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Anything herein to the contrary notwithstanding, during such period as a Lender is a Defaulting Lender, such Defaulting Lender will not be entitled to any fees accruing during such period pursuant to Section 2.08(a) (without prejudice to the rights of the Non-Defaulting Lenders in respect of such fees).</w:t>
      </w:r>
    </w:p>
    <w:p>
      <w:pPr>
        <w:spacing w:after="0" w:line="178" w:lineRule="exact"/>
        <w:rPr>
          <w:rFonts w:ascii="Times New Roman" w:cs="Times New Roman" w:eastAsia="Times New Roman" w:hAnsi="Times New Roman"/>
          <w:sz w:val="19"/>
          <w:szCs w:val="19"/>
          <w:color w:val="auto"/>
        </w:rPr>
      </w:pPr>
    </w:p>
    <w:p>
      <w:pPr>
        <w:jc w:val="both"/>
        <w:ind w:firstLine="1505"/>
        <w:spacing w:after="0" w:line="251" w:lineRule="auto"/>
        <w:tabs>
          <w:tab w:leader="none" w:pos="2036"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Extension Fee</w:t>
      </w:r>
      <w:r>
        <w:rPr>
          <w:rFonts w:ascii="Times New Roman" w:cs="Times New Roman" w:eastAsia="Times New Roman" w:hAnsi="Times New Roman"/>
          <w:sz w:val="19"/>
          <w:szCs w:val="19"/>
          <w:color w:val="auto"/>
        </w:rPr>
        <w:t>. The Borrower shall pay to the Administrative Agent on each Extension Date, for the account of each Lender, a Facility extension fee, in an amount equal to 0.15% of the aggregate principal balance of each Lender’s Commitment then outstanding (the “</w:t>
      </w:r>
      <w:r>
        <w:rPr>
          <w:rFonts w:ascii="Times New Roman" w:cs="Times New Roman" w:eastAsia="Times New Roman" w:hAnsi="Times New Roman"/>
          <w:sz w:val="19"/>
          <w:szCs w:val="19"/>
          <w:b w:val="1"/>
          <w:bCs w:val="1"/>
          <w:i w:val="1"/>
          <w:iCs w:val="1"/>
          <w:color w:val="auto"/>
        </w:rPr>
        <w:t>Extension Fee</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010000"/>
        </w:rPr>
        <w:t>Section 2.09</w:t>
      </w:r>
      <w:r>
        <w:rPr>
          <w:rFonts w:ascii="Times New Roman" w:cs="Times New Roman" w:eastAsia="Times New Roman" w:hAnsi="Times New Roman"/>
          <w:sz w:val="19"/>
          <w:szCs w:val="19"/>
          <w:u w:val="single" w:color="auto"/>
          <w:color w:val="000000"/>
        </w:rPr>
        <w:t>Conversion of Advances</w:t>
      </w:r>
      <w:r>
        <w:rPr>
          <w:rFonts w:ascii="Times New Roman" w:cs="Times New Roman" w:eastAsia="Times New Roman" w:hAnsi="Times New Roman"/>
          <w:sz w:val="19"/>
          <w:szCs w:val="19"/>
          <w:color w:val="000000"/>
        </w:rPr>
        <w:t>.</w:t>
      </w:r>
    </w:p>
    <w:p>
      <w:pPr>
        <w:spacing w:after="0" w:line="214" w:lineRule="exact"/>
        <w:rPr>
          <w:sz w:val="20"/>
          <w:szCs w:val="20"/>
          <w:color w:val="auto"/>
        </w:rPr>
      </w:pPr>
    </w:p>
    <w:p>
      <w:pPr>
        <w:jc w:val="both"/>
        <w:ind w:firstLine="1505"/>
        <w:spacing w:after="0"/>
        <w:tabs>
          <w:tab w:leader="none" w:pos="2036"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Optional</w:t>
      </w:r>
      <w:r>
        <w:rPr>
          <w:rFonts w:ascii="Times New Roman" w:cs="Times New Roman" w:eastAsia="Times New Roman" w:hAnsi="Times New Roman"/>
          <w:sz w:val="19"/>
          <w:szCs w:val="19"/>
          <w:color w:val="auto"/>
        </w:rPr>
        <w:t xml:space="preserve">. The Borrower may on any Business Day, upon notice given to the Administrative Agent not later than 12:00 Noon (New York City time) on the third Business Day prior to the date of the proposed Conversion and subject to the provisions of Sections 2.07 and 2.10, Convert all or any portion of the Advances of one Type comprising the same Borrowing into Advances of the other Type;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any Conversion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Term SOFR Advances into Base Rate Advances shall be made only on the last day of an Interest Period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for such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any Conversion of Base Rate Advances into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or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DSS Advances shall be in an amount not less than the minimum amount specified in Section 2.02(b) and each Conversion of Advances comprising part of the same Borrowing shall be made ratably among the Lenders in accordance with their Commitments. Each such notice of Conversion shall, within the restrictions specified above, specify (i) the date of such Conversion, (ii) the Advances to be Converted and (iii) if such Conversion is into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the duration of the initial Interest Period for such Advances. Each notice of Conversion shall be irrevocable and binding on the Borrower.</w:t>
      </w:r>
    </w:p>
    <w:p>
      <w:pPr>
        <w:spacing w:after="0" w:line="191" w:lineRule="exact"/>
        <w:rPr>
          <w:rFonts w:ascii="Times New Roman" w:cs="Times New Roman" w:eastAsia="Times New Roman" w:hAnsi="Times New Roman"/>
          <w:sz w:val="19"/>
          <w:szCs w:val="19"/>
          <w:color w:val="auto"/>
        </w:rPr>
      </w:pPr>
    </w:p>
    <w:p>
      <w:pPr>
        <w:ind w:left="2040" w:hanging="535"/>
        <w:spacing w:after="0"/>
        <w:tabs>
          <w:tab w:leader="none" w:pos="2040"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Mandatory</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both"/>
        <w:ind w:firstLine="1686"/>
        <w:spacing w:after="0" w:line="251" w:lineRule="auto"/>
        <w:tabs>
          <w:tab w:leader="none" w:pos="2036"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On the date on which the aggregate unpaid principal amount of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and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DSS Advances comprising any Borrowing shall be reduced, by payment or prepayment or otherwise, to less than $1,000,000, such Advances shall automatically Convert into Base Rate Advances.</w:t>
      </w:r>
    </w:p>
    <w:p>
      <w:pPr>
        <w:spacing w:after="0" w:line="179" w:lineRule="exact"/>
        <w:rPr>
          <w:sz w:val="20"/>
          <w:szCs w:val="20"/>
          <w:color w:val="auto"/>
        </w:rPr>
      </w:pPr>
    </w:p>
    <w:p>
      <w:pPr>
        <w:jc w:val="both"/>
        <w:ind w:firstLine="1659"/>
        <w:spacing w:after="0" w:line="246" w:lineRule="auto"/>
        <w:tabs>
          <w:tab w:leader="none" w:pos="2036"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Borrower shall fail to select the duration of any Interest Period for any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in accordance with the provisions contained in the definition of “Interest Period” in Section 1.01, the Administrative Agent will forthwith so notify the Borrower and the Lenders, whereupon each such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 will automatically, on the last day of the then existing Interest Period therefor, Convert into a Base Rate Advance.</w:t>
      </w:r>
    </w:p>
    <w:p>
      <w:pPr>
        <w:spacing w:after="0" w:line="184" w:lineRule="exact"/>
        <w:rPr>
          <w:sz w:val="20"/>
          <w:szCs w:val="20"/>
          <w:color w:val="auto"/>
        </w:rPr>
      </w:pPr>
    </w:p>
    <w:p>
      <w:pPr>
        <w:jc w:val="both"/>
        <w:ind w:firstLine="1633"/>
        <w:spacing w:after="0" w:line="246" w:lineRule="auto"/>
        <w:tabs>
          <w:tab w:leader="none" w:pos="2036"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occurrence and during the continuance of any Event of Default, (y) each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 will automatically, on the last day of the then existing Interest Period therefor, and each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DSS Advance will automatically, on the next Daily RFR Business Day, Convert into a Base Rate Advance and (z) the obligation of the Lenders to make, or to Convert Advances into,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or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DSS Advances shall be suspended.</w:t>
      </w:r>
    </w:p>
    <w:p>
      <w:pPr>
        <w:spacing w:after="0" w:line="184" w:lineRule="exact"/>
        <w:rPr>
          <w:rFonts w:ascii="Times New Roman" w:cs="Times New Roman" w:eastAsia="Times New Roman" w:hAnsi="Times New Roman"/>
          <w:sz w:val="19"/>
          <w:szCs w:val="19"/>
          <w:color w:val="auto"/>
        </w:rPr>
      </w:pPr>
    </w:p>
    <w:p>
      <w:pPr>
        <w:ind w:firstLine="1638"/>
        <w:spacing w:after="0" w:line="265" w:lineRule="auto"/>
        <w:tabs>
          <w:tab w:leader="none" w:pos="2036"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Under the circumstances described in Section 2.07(d) or 2.07(e), all outstanding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and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DSS Advances shall be Converted to Base Rate Advances as provided in Section 2.07(d) or 2.07(e).</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38" w:name="page239"/>
    <w:bookmarkEnd w:id="238"/>
    <w:p>
      <w:pPr>
        <w:ind w:left="1500"/>
        <w:spacing w:after="0"/>
        <w:rPr>
          <w:sz w:val="20"/>
          <w:szCs w:val="20"/>
          <w:color w:val="auto"/>
        </w:rPr>
      </w:pPr>
      <w:r>
        <w:rPr>
          <w:rFonts w:ascii="Times New Roman" w:cs="Times New Roman" w:eastAsia="Times New Roman" w:hAnsi="Times New Roman"/>
          <w:sz w:val="19"/>
          <w:szCs w:val="19"/>
          <w:color w:val="010000"/>
        </w:rPr>
        <w:t>Section 2.10</w:t>
      </w:r>
      <w:r>
        <w:rPr>
          <w:rFonts w:ascii="Times New Roman" w:cs="Times New Roman" w:eastAsia="Times New Roman" w:hAnsi="Times New Roman"/>
          <w:sz w:val="19"/>
          <w:szCs w:val="19"/>
          <w:u w:val="single" w:color="auto"/>
          <w:color w:val="000000"/>
        </w:rPr>
        <w:t>Increased Costs, Etc.</w:t>
      </w:r>
    </w:p>
    <w:p>
      <w:pPr>
        <w:spacing w:after="0" w:line="214" w:lineRule="exact"/>
        <w:rPr>
          <w:sz w:val="20"/>
          <w:szCs w:val="20"/>
          <w:color w:val="auto"/>
        </w:rPr>
      </w:pPr>
    </w:p>
    <w:p>
      <w:pPr>
        <w:ind w:left="2040" w:hanging="535"/>
        <w:spacing w:after="0"/>
        <w:tabs>
          <w:tab w:leader="none" w:pos="2040" w:val="left"/>
        </w:tabs>
        <w:numPr>
          <w:ilvl w:val="1"/>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due to either (i) the introduction of or any change in or in the interpretation or application of any law or regulation or</w:t>
      </w:r>
    </w:p>
    <w:p>
      <w:pPr>
        <w:spacing w:after="0" w:line="17" w:lineRule="exact"/>
        <w:rPr>
          <w:rFonts w:ascii="Times New Roman" w:cs="Times New Roman" w:eastAsia="Times New Roman" w:hAnsi="Times New Roman"/>
          <w:sz w:val="19"/>
          <w:szCs w:val="19"/>
          <w:color w:val="auto"/>
        </w:rPr>
      </w:pPr>
    </w:p>
    <w:p>
      <w:pPr>
        <w:ind w:left="300" w:hanging="292"/>
        <w:spacing w:after="0" w:line="237" w:lineRule="auto"/>
        <w:tabs>
          <w:tab w:leader="none" w:pos="300"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compliance with any guideline or request from any central bank or other Governmental Authority (whether or not having the force of law),</w:t>
      </w:r>
    </w:p>
    <w:p>
      <w:pPr>
        <w:jc w:val="both"/>
        <w:spacing w:after="0" w:line="23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there shall be any increase in the cost to any Lender of agreeing to make or of making, funding or maintaining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or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DSS Advances or (B) there shall be any reduction in the amount of any sum received or receivable by such Lender with respect thereto (excluding, for purposes of this Section 2.10, any such increased costs or reduction resulting from Indemnified Taxes, Taxes described in clauses</w:t>
      </w:r>
    </w:p>
    <w:p>
      <w:pPr>
        <w:jc w:val="both"/>
        <w:ind w:firstLine="8"/>
        <w:spacing w:after="0" w:line="238" w:lineRule="auto"/>
        <w:tabs>
          <w:tab w:leader="none" w:pos="276"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through (d) of the definition of Excluded Taxes or Connection Income Taxes (as to which Section 2.12 shall govern)), then the Borrower shall from time to time, upon demand by such Lender (with a copy of such demand to the Administrative Agent), pay to the Administrative Agent for the account of such Lender additional amounts sufficient to compensate such Lender for such increased cost;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a Lender claiming additional amounts under this Section 2.10(a) agrees to use reasonable efforts (consistent with its internal policy and legal and regulatory restrictions) to designate a different Applicable Lending Office or to assign its rights and obligations hereunder to another of its offices, branches or Affiliates, if the making of such a designation or assignment would avoid the need for, or reduce the amount of, such increased cost that may thereafter accrue and would not, in the reasonable judgment of such Lender, be otherwise disadvantageous to such Lender. A certificate as to the amount of such increased cost, submitted to the Borrower by such Lender, shall be conclusive and binding for all purposes, absent manifest error.</w:t>
      </w:r>
    </w:p>
    <w:p>
      <w:pPr>
        <w:spacing w:after="0" w:line="190" w:lineRule="exact"/>
        <w:rPr>
          <w:rFonts w:ascii="Times New Roman" w:cs="Times New Roman" w:eastAsia="Times New Roman" w:hAnsi="Times New Roman"/>
          <w:sz w:val="19"/>
          <w:szCs w:val="19"/>
          <w:color w:val="auto"/>
        </w:rPr>
      </w:pPr>
    </w:p>
    <w:p>
      <w:pPr>
        <w:jc w:val="both"/>
        <w:ind w:firstLine="1505"/>
        <w:spacing w:after="0" w:line="241" w:lineRule="auto"/>
        <w:tabs>
          <w:tab w:leader="none" w:pos="2036"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Lender determines in good faith that compliance with any law or regulation or any guideline or request from any central bank or other Governmental Authority (whether or not having the force of law) affects or would affect the amount of capital or liquidity required or expected to be maintained by such Lender or any corporation controlling such Lender and that the amount of such capital or liquidity is increased by or based upon the existence of such Lender’s commitment to lend, then, upon demand by such Lender or such corporation (with a copy of such demand to the Administrative Agent), the Borrower shall pay to the Administrative Agent for the account of such Lender, from time to time as specified by such Lender, additional amounts sufficient to compensate such Lender in the light of such circumstances, to the extent that such Lender reasonably determines such increase in capital or liquidity to be allocable to the existence of such Lender’s commitment to lend. A certificate as to such amounts submitted to the Borrower by such Lender shall be conclusive and binding for all purposes, absent manifest error.</w:t>
      </w:r>
    </w:p>
    <w:p>
      <w:pPr>
        <w:spacing w:after="0" w:line="159"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9"/>
          <w:szCs w:val="19"/>
          <w:color w:val="auto"/>
        </w:rPr>
        <w:t>Notwithstanding anything to the contrary contained in this Agreement, the Dodd</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Frank Wall Street Reform and Consumer Protection Act, as amended, and all requests, rules, guidelines or directives thereunder or issued in connection therewith, in each case regardless of the date enacted, adopted, implemented or issued, and all requests, rules, guidelines or directives promulgated by the Bank for International Settlements, or the Basel Committee on Banking Supervision (or any successor or similar authority) or United States or foreign regulatory authorities, in each case pursuant to Basel Supervision known as Basel III and regardless of the date enacted, adopted, implemented or issued, shall be deemed an introduction or change of the type referred to in Section 2.10(a) and this Section 2.10(b).</w:t>
      </w:r>
    </w:p>
    <w:p>
      <w:pPr>
        <w:spacing w:after="0" w:line="190" w:lineRule="exact"/>
        <w:rPr>
          <w:sz w:val="20"/>
          <w:szCs w:val="20"/>
          <w:color w:val="auto"/>
        </w:rPr>
      </w:pPr>
    </w:p>
    <w:p>
      <w:pPr>
        <w:jc w:val="both"/>
        <w:ind w:firstLine="1505"/>
        <w:spacing w:after="0" w:line="241" w:lineRule="auto"/>
        <w:tabs>
          <w:tab w:leader="none" w:pos="2036"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with respect to (i) any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the Required Lenders notify the Administrative Agent that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Term SOFR for any Interest Period for such Advances will not adequately reflect the cost to such Lenders of making, funding or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maintaining their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000000"/>
        </w:rPr>
        <w:t xml:space="preserve"> Term SOFR Advances for such Interest Period, or (ii) any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000000"/>
        </w:rPr>
        <w:t xml:space="preserve"> DSS Advances, the Required Lenders notify the Administrative Agent that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000000"/>
        </w:rPr>
        <w:t xml:space="preserve"> Daily Simple SOFR will not adequately reflect the cost to such Lenders of making, funding or maintaining their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DSS Advances, the Administrative Agent shall forthwith so notify the Borrower and the Lenders, whereupon (A) each such</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Term SOFR Advance will automatically, on the last day of the then existing Interest Period therefor, or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000000"/>
        </w:rPr>
        <w:t xml:space="preserve"> DSS Advance on the next Daily RFR Business Day, as applicable, Convert into a Base Rate Advance and (B) the obligation of the Lenders to make, or to Convert Advances into,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Term SOFR Advances or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DSS Advances, as</w:t>
      </w:r>
    </w:p>
    <w:p>
      <w:pPr>
        <w:spacing w:after="0" w:line="32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39" w:name="page240"/>
    <w:bookmarkEnd w:id="239"/>
    <w:p>
      <w:pPr>
        <w:spacing w:after="0" w:line="265" w:lineRule="auto"/>
        <w:rPr>
          <w:sz w:val="20"/>
          <w:szCs w:val="20"/>
          <w:color w:val="auto"/>
        </w:rPr>
      </w:pPr>
      <w:r>
        <w:rPr>
          <w:rFonts w:ascii="Times New Roman" w:cs="Times New Roman" w:eastAsia="Times New Roman" w:hAnsi="Times New Roman"/>
          <w:sz w:val="19"/>
          <w:szCs w:val="19"/>
          <w:color w:val="auto"/>
        </w:rPr>
        <w:t>applicable, shall be suspended until the Administrative Agent shall notify the Borrower that such Lenders have determined that the circumstances causing such suspension no longer exist.</w:t>
      </w:r>
    </w:p>
    <w:p>
      <w:pPr>
        <w:spacing w:after="0" w:line="166" w:lineRule="exact"/>
        <w:rPr>
          <w:sz w:val="20"/>
          <w:szCs w:val="20"/>
          <w:color w:val="auto"/>
        </w:rPr>
      </w:pPr>
    </w:p>
    <w:p>
      <w:pPr>
        <w:jc w:val="both"/>
        <w:ind w:firstLine="1505"/>
        <w:spacing w:after="0" w:line="239" w:lineRule="auto"/>
        <w:tabs>
          <w:tab w:leader="none" w:pos="2036"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 other provision of this Agreement, if the introduction of or any change in or in the interpretation or application of any law or regulation shall make it unlawful, or any central bank or other Governmental Authority shall assert that it is unlawful, for any Lender or its Applicable Lending Office to perform its obligations hereunder to make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or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DSS Advances or to continue to fund or maintain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or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DSS Advances hereunder, then, on notice thereof and demand therefor by such Lender to the Borrower through the Administrative Agent, (i) each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 or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DSS Advance, as applicable, will automatically, upon such demand, Convert into a Base Rate Advance and (ii) the obligation of the Lenders to make, or to Convert Advances into,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and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DSS Advances shall be suspended until the Administrative Agent shall notify the Borrower that such Lender has determined that the circumstances causing such suspension no longer exist;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before making any such demand, such Lender agrees to use reasonable efforts (consistent with its internal policy and legal and regulatory restrictions) to designate a different Applicable Lending Office if the making of such a designation would allow such Lender or its Applicable Lending Office to continue to perform its obligations to make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or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DSS Advances or to continue to fund or maintain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or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DSS Advances and would not, in the reasonable judgment of such Lender, be otherwise disadvantageous to such Lender.</w:t>
      </w:r>
    </w:p>
    <w:p>
      <w:pPr>
        <w:spacing w:after="0" w:line="19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010000"/>
        </w:rPr>
        <w:t>Section 2.11</w:t>
      </w:r>
      <w:r>
        <w:rPr>
          <w:rFonts w:ascii="Times New Roman" w:cs="Times New Roman" w:eastAsia="Times New Roman" w:hAnsi="Times New Roman"/>
          <w:sz w:val="19"/>
          <w:szCs w:val="19"/>
          <w:u w:val="single" w:color="auto"/>
          <w:color w:val="000000"/>
        </w:rPr>
        <w:t>Payments and Computations</w:t>
      </w:r>
      <w:r>
        <w:rPr>
          <w:rFonts w:ascii="Times New Roman" w:cs="Times New Roman" w:eastAsia="Times New Roman" w:hAnsi="Times New Roman"/>
          <w:sz w:val="19"/>
          <w:szCs w:val="19"/>
          <w:color w:val="000000"/>
        </w:rPr>
        <w:t>.</w:t>
      </w:r>
    </w:p>
    <w:p>
      <w:pPr>
        <w:spacing w:after="0" w:line="214" w:lineRule="exact"/>
        <w:rPr>
          <w:sz w:val="20"/>
          <w:szCs w:val="20"/>
          <w:color w:val="auto"/>
        </w:rPr>
      </w:pPr>
    </w:p>
    <w:p>
      <w:pPr>
        <w:jc w:val="both"/>
        <w:ind w:firstLine="1505"/>
        <w:spacing w:after="0" w:line="219" w:lineRule="exact"/>
        <w:tabs>
          <w:tab w:leader="none" w:pos="2036"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make each payment hereunder and under the Notes, irrespective of any right of counterclaim or set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off (except as otherwise provided in Section 2.13), not later than 12:00 Noon (New York City time) on the day when due in Dollars to the Administrative Agent at the Administrative Agent’s Account in same day funds, with payments being received by the Administrative Agent after such time being deemed to have been received on the next succeeding Business Day. The Administrative Agent shall promptly thereafter cause like funds to be distributed (i) if such payment by the Borrower is in respect of principal, interest, commitment fees or any other Obligation then payable hereunder and under the Notes to more than one Lender, to such Lenders for the account of their respective Applicable Lending Offices ratably in accordance with the amounts of such respective Obligations then payable to such Lenders and (ii) if such payment by the Borrower is in respect of any Obligation then payable hereunder to one Lender, to such Lender for the account of its Applicable Lending Office, in each case to be applied in accordance with the terms of this Agreement. Upon any Acceding Lender becoming a Lender hereunder as a result of a Commitment Increase pursuant to Section 2.17 and upon the Administrative Agent’s receipt of such Lender’s Accession Agreement and recording of information contained therein in the Register, from and after the applicable Increase Date, the Administrative Agent shall make all payments hereunder and under any Notes issued in connection therewith in respect of the interest assumed thereby to such Acceding Lender. Upon its acceptance of an Assignment and Acceptance and recording of the information contained therein in the Register pursuant to Section 9.07(d), from and after the effective date of such Assignment and Acceptance, the Administrative Agent shall make all payments hereunder and under the Notes in respect of the interest assigned thereby to the Lender assignee thereunder, and the parties to such Assignment and Acceptance shall make all appropriate adjustments in such payments for periods prior to such effective date directly between themselves.</w:t>
      </w:r>
    </w:p>
    <w:p>
      <w:pPr>
        <w:spacing w:after="0" w:line="189" w:lineRule="exact"/>
        <w:rPr>
          <w:rFonts w:ascii="Times New Roman" w:cs="Times New Roman" w:eastAsia="Times New Roman" w:hAnsi="Times New Roman"/>
          <w:sz w:val="19"/>
          <w:szCs w:val="19"/>
          <w:color w:val="auto"/>
        </w:rPr>
      </w:pPr>
    </w:p>
    <w:p>
      <w:pPr>
        <w:jc w:val="both"/>
        <w:ind w:firstLine="1505"/>
        <w:spacing w:after="0" w:line="251" w:lineRule="auto"/>
        <w:tabs>
          <w:tab w:leader="none" w:pos="2036"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hereby authorizes each Lender and each of its Affiliates, if and to the extent payment owed to such Lender is not made when due hereunder or, in the case of a Lender, under the Note held by such Lender, to charge from time to time</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to the fullest extent permitted by law, against any or all of the Borrower’s accounts with such Lender any amount so due.</w:t>
      </w:r>
    </w:p>
    <w:p>
      <w:pPr>
        <w:spacing w:after="0" w:line="178" w:lineRule="exact"/>
        <w:rPr>
          <w:rFonts w:ascii="Times New Roman" w:cs="Times New Roman" w:eastAsia="Times New Roman" w:hAnsi="Times New Roman"/>
          <w:sz w:val="19"/>
          <w:szCs w:val="19"/>
          <w:color w:val="auto"/>
        </w:rPr>
      </w:pPr>
    </w:p>
    <w:p>
      <w:pPr>
        <w:jc w:val="both"/>
        <w:ind w:firstLine="1505"/>
        <w:spacing w:after="0" w:line="251" w:lineRule="auto"/>
        <w:tabs>
          <w:tab w:leader="none" w:pos="2036"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computations of interest based on PNC’s Prime Rate shall be made by the Administrative Agent on the basis of a year of 365 or 366 days, as the case may be, and all computations of interest based on the Term SOFR Reference Rate, Daily Simple SOFR, or the Federal Funds Open Rate and of</w:t>
      </w: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40" w:name="page241"/>
    <w:bookmarkEnd w:id="240"/>
    <w:p>
      <w:pPr>
        <w:jc w:val="both"/>
        <w:spacing w:after="0" w:line="251" w:lineRule="auto"/>
        <w:rPr>
          <w:sz w:val="20"/>
          <w:szCs w:val="20"/>
          <w:color w:val="auto"/>
        </w:rPr>
      </w:pPr>
      <w:r>
        <w:rPr>
          <w:rFonts w:ascii="Times New Roman" w:cs="Times New Roman" w:eastAsia="Times New Roman" w:hAnsi="Times New Roman"/>
          <w:sz w:val="19"/>
          <w:szCs w:val="19"/>
          <w:color w:val="auto"/>
        </w:rPr>
        <w:t>fees shall be made by the Administrative Agent on the basis of a year of 360 days, in each case for the actual number of days (including the first day but excluding the last day) occurring in the period for which such interest, fees or commissions are payable. Each determination by the Administrative Agent of an interest rate, fee or commission hereunder shall be conclusive and binding for all purposes, absent manifest error.</w:t>
      </w:r>
    </w:p>
    <w:p>
      <w:pPr>
        <w:spacing w:after="0" w:line="179" w:lineRule="exact"/>
        <w:rPr>
          <w:sz w:val="20"/>
          <w:szCs w:val="20"/>
          <w:color w:val="auto"/>
        </w:rPr>
      </w:pPr>
    </w:p>
    <w:p>
      <w:pPr>
        <w:jc w:val="both"/>
        <w:ind w:firstLine="1505"/>
        <w:spacing w:after="0" w:line="244" w:lineRule="auto"/>
        <w:tabs>
          <w:tab w:leader="none" w:pos="2036"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Whenever any payment hereunder or under the Notes shall be stated to be due on a day other than a Business Day, such payment shall be made on the next succeeding Business Day, and such extension of time shall in such case be included in the computation of payment of interest or commitment fee, as the case may be;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if such extension would cause payment of interest on or principal of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Advances to be made in the next following calendar month, such payment shall be made on the next preceding Business Day.</w:t>
      </w:r>
    </w:p>
    <w:p>
      <w:pPr>
        <w:spacing w:after="0" w:line="185" w:lineRule="exact"/>
        <w:rPr>
          <w:rFonts w:ascii="Times New Roman" w:cs="Times New Roman" w:eastAsia="Times New Roman" w:hAnsi="Times New Roman"/>
          <w:sz w:val="19"/>
          <w:szCs w:val="19"/>
          <w:color w:val="auto"/>
        </w:rPr>
      </w:pPr>
    </w:p>
    <w:p>
      <w:pPr>
        <w:jc w:val="both"/>
        <w:ind w:firstLine="1505"/>
        <w:spacing w:after="0" w:line="242" w:lineRule="auto"/>
        <w:tabs>
          <w:tab w:leader="none" w:pos="2036"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Administrative Agent shall have received notice from the Borrower prior to the date on which any payment is due to any Lender hereunder that the Borrower will not make such payment in full, the Administrative Agent may assume that the Borrower has made such payment in full to the Administrative Agent on such date and the Administrative Agent may, in reliance upon such assumption, cause to be distributed to each such Lender on such due date an amount equal to the amount then due such Lender. If and to the extent the Borrower shall not have so made such payment in full to the Administrative Agent, each such Lender shall repay to the Administrative Agent forthwith on demand such amount distributed to such Lender together with interest thereon, for each day from the date such amount is distributed to such Lender until the date such Lender repays such amount to the Administrative Agent, at the Federal Funds Open Rate.</w:t>
      </w:r>
    </w:p>
    <w:p>
      <w:pPr>
        <w:spacing w:after="0" w:line="185" w:lineRule="exact"/>
        <w:rPr>
          <w:rFonts w:ascii="Times New Roman" w:cs="Times New Roman" w:eastAsia="Times New Roman" w:hAnsi="Times New Roman"/>
          <w:sz w:val="19"/>
          <w:szCs w:val="19"/>
          <w:color w:val="auto"/>
        </w:rPr>
      </w:pPr>
    </w:p>
    <w:p>
      <w:pPr>
        <w:jc w:val="both"/>
        <w:ind w:firstLine="1505"/>
        <w:spacing w:after="0" w:line="246" w:lineRule="auto"/>
        <w:tabs>
          <w:tab w:leader="none" w:pos="2036"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following order of priority:</w:t>
      </w:r>
    </w:p>
    <w:p>
      <w:pPr>
        <w:spacing w:after="0" w:line="180" w:lineRule="exact"/>
        <w:rPr>
          <w:rFonts w:ascii="Times New Roman" w:cs="Times New Roman" w:eastAsia="Times New Roman" w:hAnsi="Times New Roman"/>
          <w:sz w:val="19"/>
          <w:szCs w:val="19"/>
          <w:color w:val="auto"/>
        </w:rPr>
      </w:pPr>
    </w:p>
    <w:p>
      <w:pPr>
        <w:jc w:val="both"/>
        <w:ind w:left="760" w:firstLine="1494"/>
        <w:spacing w:after="0" w:line="248" w:lineRule="auto"/>
        <w:tabs>
          <w:tab w:leader="none" w:pos="2557" w:val="left"/>
        </w:tabs>
        <w:numPr>
          <w:ilvl w:val="1"/>
          <w:numId w:val="19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to the payment of all of the fees, indemnification payments, costs and expenses that are due and payable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Administrative Agent (solely in its capacity as the Administrative Agent) under or in respect of this Agreement and the other Loan Documents on such date, ratably based upon the respective aggregate amounts of all such fees, indemnification payments, costs and expenses owing to the Administrative Agent on such date;</w:t>
      </w:r>
    </w:p>
    <w:p>
      <w:pPr>
        <w:spacing w:after="0" w:line="176" w:lineRule="exact"/>
        <w:rPr>
          <w:rFonts w:ascii="Times New Roman" w:cs="Times New Roman" w:eastAsia="Times New Roman" w:hAnsi="Times New Roman"/>
          <w:sz w:val="19"/>
          <w:szCs w:val="19"/>
          <w:color w:val="010000"/>
        </w:rPr>
      </w:pPr>
    </w:p>
    <w:p>
      <w:pPr>
        <w:jc w:val="both"/>
        <w:ind w:left="760" w:firstLine="1494"/>
        <w:spacing w:after="0" w:line="253" w:lineRule="auto"/>
        <w:tabs>
          <w:tab w:leader="none" w:pos="2557" w:val="left"/>
        </w:tabs>
        <w:numPr>
          <w:ilvl w:val="1"/>
          <w:numId w:val="19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to the payment of all of the indemnification payments, costs and expenses that are due and payable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Lenders under Section 9.04 and any similar section of any of the other Loan Documents on such date, ratably based upon the respective aggregate amounts of all such indemnification payments, costs and expenses owing to the Lenders on such date;</w:t>
      </w:r>
    </w:p>
    <w:p>
      <w:pPr>
        <w:spacing w:after="0" w:line="173" w:lineRule="exact"/>
        <w:rPr>
          <w:rFonts w:ascii="Times New Roman" w:cs="Times New Roman" w:eastAsia="Times New Roman" w:hAnsi="Times New Roman"/>
          <w:sz w:val="19"/>
          <w:szCs w:val="19"/>
          <w:color w:val="010000"/>
        </w:rPr>
      </w:pPr>
    </w:p>
    <w:p>
      <w:pPr>
        <w:jc w:val="both"/>
        <w:ind w:left="760" w:firstLine="1494"/>
        <w:spacing w:after="0" w:line="253" w:lineRule="auto"/>
        <w:tabs>
          <w:tab w:leader="none" w:pos="2557" w:val="left"/>
        </w:tabs>
        <w:numPr>
          <w:ilvl w:val="1"/>
          <w:numId w:val="19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i w:val="1"/>
          <w:iCs w:val="1"/>
          <w:color w:val="auto"/>
        </w:rPr>
        <w:t>third</w:t>
      </w:r>
      <w:r>
        <w:rPr>
          <w:rFonts w:ascii="Times New Roman" w:cs="Times New Roman" w:eastAsia="Times New Roman" w:hAnsi="Times New Roman"/>
          <w:sz w:val="19"/>
          <w:szCs w:val="19"/>
          <w:color w:val="auto"/>
        </w:rPr>
        <w:t>, to the payment of all of the amounts that are due and payable to the Administrative Agent and the Lenders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under Sections 2.10 and 2.12 on such date, ratably based upon the respective aggregate amounts thereof owing to the Administrative Agent and the Lenders on such date;</w:t>
      </w:r>
    </w:p>
    <w:p>
      <w:pPr>
        <w:spacing w:after="0" w:line="173" w:lineRule="exact"/>
        <w:rPr>
          <w:rFonts w:ascii="Times New Roman" w:cs="Times New Roman" w:eastAsia="Times New Roman" w:hAnsi="Times New Roman"/>
          <w:sz w:val="19"/>
          <w:szCs w:val="19"/>
          <w:color w:val="010000"/>
        </w:rPr>
      </w:pPr>
    </w:p>
    <w:p>
      <w:pPr>
        <w:ind w:left="760" w:firstLine="1494"/>
        <w:spacing w:after="0" w:line="270" w:lineRule="auto"/>
        <w:tabs>
          <w:tab w:leader="none" w:pos="2557" w:val="left"/>
        </w:tabs>
        <w:numPr>
          <w:ilvl w:val="1"/>
          <w:numId w:val="19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to the payment of all of the fees that are due and payable to the Lenders under Section 2.08(a) on such date,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ratably based upon the respective aggregate Commitments of the Lenders under the Facility on such date;</w:t>
      </w:r>
    </w:p>
    <w:p>
      <w:pPr>
        <w:spacing w:after="0" w:line="156" w:lineRule="exact"/>
        <w:rPr>
          <w:rFonts w:ascii="Times New Roman" w:cs="Times New Roman" w:eastAsia="Times New Roman" w:hAnsi="Times New Roman"/>
          <w:sz w:val="19"/>
          <w:szCs w:val="19"/>
          <w:color w:val="010000"/>
        </w:rPr>
      </w:pPr>
    </w:p>
    <w:p>
      <w:pPr>
        <w:jc w:val="both"/>
        <w:ind w:left="760" w:firstLine="1494"/>
        <w:spacing w:after="0" w:line="253" w:lineRule="auto"/>
        <w:tabs>
          <w:tab w:leader="none" w:pos="2557" w:val="left"/>
        </w:tabs>
        <w:numPr>
          <w:ilvl w:val="1"/>
          <w:numId w:val="19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i w:val="1"/>
          <w:iCs w:val="1"/>
          <w:color w:val="auto"/>
        </w:rPr>
        <w:t>fifth</w:t>
      </w:r>
      <w:r>
        <w:rPr>
          <w:rFonts w:ascii="Times New Roman" w:cs="Times New Roman" w:eastAsia="Times New Roman" w:hAnsi="Times New Roman"/>
          <w:sz w:val="19"/>
          <w:szCs w:val="19"/>
          <w:color w:val="auto"/>
        </w:rPr>
        <w:t>, to the payment of all of the accrued and unpaid interest on the Obligations of the Borrower under or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respect of the Loan Documents that is due and payable to the Administrative Agent and the Lenders under Section 2.07(b) on such date, ratably based upon the respective aggregate amounts of all such interest owing to the Administrative Agent and the Lenders on such date;</w:t>
      </w:r>
    </w:p>
    <w:p>
      <w:pPr>
        <w:spacing w:after="0" w:line="3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41" w:name="page242"/>
    <w:bookmarkEnd w:id="241"/>
    <w:p>
      <w:pPr>
        <w:jc w:val="both"/>
        <w:ind w:left="460" w:firstLine="1494"/>
        <w:spacing w:after="0" w:line="248" w:lineRule="auto"/>
        <w:tabs>
          <w:tab w:leader="none" w:pos="2257" w:val="left"/>
        </w:tabs>
        <w:numPr>
          <w:ilvl w:val="0"/>
          <w:numId w:val="19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i w:val="1"/>
          <w:iCs w:val="1"/>
          <w:color w:val="auto"/>
        </w:rPr>
        <w:t>sixth</w:t>
      </w:r>
      <w:r>
        <w:rPr>
          <w:rFonts w:ascii="Times New Roman" w:cs="Times New Roman" w:eastAsia="Times New Roman" w:hAnsi="Times New Roman"/>
          <w:sz w:val="19"/>
          <w:szCs w:val="19"/>
          <w:color w:val="auto"/>
        </w:rPr>
        <w:t>, to the payment of all of the accrued and unpaid interest on the Advances that is due and payable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Agent and the Lenders under Section 2.07(a) on such date or any periodic scheduled payments due under any Guaranteed Hedge Agreement of which the Administrative Agent has received not less than five (5) Business Days’ prior written notice, ratably based upon the respective aggregate amounts of all such interest owing to the Administrative Agent and the Lenders on such date;</w:t>
      </w:r>
    </w:p>
    <w:p>
      <w:pPr>
        <w:spacing w:after="0" w:line="177" w:lineRule="exact"/>
        <w:rPr>
          <w:sz w:val="20"/>
          <w:szCs w:val="20"/>
          <w:color w:val="auto"/>
        </w:rPr>
      </w:pPr>
    </w:p>
    <w:p>
      <w:pPr>
        <w:jc w:val="both"/>
        <w:ind w:left="460" w:firstLine="1497"/>
        <w:spacing w:after="0" w:line="253" w:lineRule="auto"/>
        <w:rPr>
          <w:sz w:val="20"/>
          <w:szCs w:val="20"/>
          <w:color w:val="auto"/>
        </w:rPr>
      </w:pPr>
      <w:r>
        <w:rPr>
          <w:rFonts w:ascii="Times New Roman" w:cs="Times New Roman" w:eastAsia="Times New Roman" w:hAnsi="Times New Roman"/>
          <w:sz w:val="19"/>
          <w:szCs w:val="19"/>
          <w:color w:val="010000"/>
        </w:rPr>
        <w:t>(vii)</w:t>
      </w:r>
      <w:r>
        <w:rPr>
          <w:rFonts w:ascii="Times New Roman" w:cs="Times New Roman" w:eastAsia="Times New Roman" w:hAnsi="Times New Roman"/>
          <w:sz w:val="19"/>
          <w:szCs w:val="19"/>
          <w:i w:val="1"/>
          <w:iCs w:val="1"/>
          <w:color w:val="000000"/>
        </w:rPr>
        <w:t>seventh</w:t>
      </w:r>
      <w:r>
        <w:rPr>
          <w:rFonts w:ascii="Times New Roman" w:cs="Times New Roman" w:eastAsia="Times New Roman" w:hAnsi="Times New Roman"/>
          <w:sz w:val="19"/>
          <w:szCs w:val="19"/>
          <w:color w:val="000000"/>
        </w:rPr>
        <w:t>, to the payment of any other accrued and unpaid interest comprising Obligations of the Loan Parties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owing under or in respect of the Loan Documents that is due and payable on such date, ratably based upon the respective aggregate amounts of all such interest owing to the respective obligees thereof on such date;</w:t>
      </w:r>
    </w:p>
    <w:p>
      <w:pPr>
        <w:spacing w:after="0" w:line="173" w:lineRule="exact"/>
        <w:rPr>
          <w:sz w:val="20"/>
          <w:szCs w:val="20"/>
          <w:color w:val="auto"/>
        </w:rPr>
      </w:pPr>
    </w:p>
    <w:p>
      <w:pPr>
        <w:jc w:val="both"/>
        <w:ind w:left="460" w:firstLine="1497"/>
        <w:spacing w:after="0" w:line="248" w:lineRule="auto"/>
        <w:rPr>
          <w:sz w:val="20"/>
          <w:szCs w:val="20"/>
          <w:color w:val="auto"/>
        </w:rPr>
      </w:pPr>
      <w:r>
        <w:rPr>
          <w:rFonts w:ascii="Times New Roman" w:cs="Times New Roman" w:eastAsia="Times New Roman" w:hAnsi="Times New Roman"/>
          <w:sz w:val="19"/>
          <w:szCs w:val="19"/>
          <w:color w:val="010000"/>
        </w:rPr>
        <w:t>(viii)</w:t>
      </w:r>
      <w:r>
        <w:rPr>
          <w:rFonts w:ascii="Times New Roman" w:cs="Times New Roman" w:eastAsia="Times New Roman" w:hAnsi="Times New Roman"/>
          <w:sz w:val="19"/>
          <w:szCs w:val="19"/>
          <w:i w:val="1"/>
          <w:iCs w:val="1"/>
          <w:color w:val="000000"/>
        </w:rPr>
        <w:t>eighth</w:t>
      </w:r>
      <w:r>
        <w:rPr>
          <w:rFonts w:ascii="Times New Roman" w:cs="Times New Roman" w:eastAsia="Times New Roman" w:hAnsi="Times New Roman"/>
          <w:sz w:val="19"/>
          <w:szCs w:val="19"/>
          <w:color w:val="000000"/>
        </w:rPr>
        <w:t>, to the payment of the principal amount of all of the outstanding Advances and any termination payments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due under a Guaranteed Hedge Agreement of which Administrative Agent has received not less than five (5) Business Days’ prior written notice that are due and payable to the Administrative Agent and the Lenders on such date, ratably based upon the respective aggregate amounts of all such Advances and termination payments owing to the Administrative Agent and the Lenders on such date; and</w:t>
      </w:r>
    </w:p>
    <w:p>
      <w:pPr>
        <w:spacing w:after="0" w:line="177" w:lineRule="exact"/>
        <w:rPr>
          <w:sz w:val="20"/>
          <w:szCs w:val="20"/>
          <w:color w:val="auto"/>
        </w:rPr>
      </w:pPr>
    </w:p>
    <w:p>
      <w:pPr>
        <w:jc w:val="both"/>
        <w:ind w:left="460" w:firstLine="1494"/>
        <w:spacing w:after="0" w:line="253" w:lineRule="auto"/>
        <w:tabs>
          <w:tab w:leader="none" w:pos="2257" w:val="left"/>
        </w:tabs>
        <w:numPr>
          <w:ilvl w:val="0"/>
          <w:numId w:val="20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i w:val="1"/>
          <w:iCs w:val="1"/>
          <w:color w:val="auto"/>
        </w:rPr>
        <w:t>ninth</w:t>
      </w:r>
      <w:r>
        <w:rPr>
          <w:rFonts w:ascii="Times New Roman" w:cs="Times New Roman" w:eastAsia="Times New Roman" w:hAnsi="Times New Roman"/>
          <w:sz w:val="19"/>
          <w:szCs w:val="19"/>
          <w:color w:val="auto"/>
        </w:rPr>
        <w:t>, to the payment of all other Obligations of the Loan Parties owing under or in respect of the Loan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Documents that are due and payable to the Administrative Agent and the Lenders on such date, ratably based upon the respective aggregate amounts of all such Obligations owing to the respective obligees thereof on such date.</w:t>
      </w:r>
    </w:p>
    <w:p>
      <w:pPr>
        <w:spacing w:after="0" w:line="17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9"/>
          <w:szCs w:val="19"/>
          <w:color w:val="010000"/>
        </w:rPr>
        <w:t>Section 2.12</w:t>
      </w:r>
      <w:r>
        <w:rPr>
          <w:rFonts w:ascii="Times New Roman" w:cs="Times New Roman" w:eastAsia="Times New Roman" w:hAnsi="Times New Roman"/>
          <w:sz w:val="19"/>
          <w:szCs w:val="19"/>
          <w:u w:val="single" w:color="auto"/>
          <w:color w:val="000000"/>
        </w:rPr>
        <w:t>Taxes</w:t>
      </w:r>
      <w:r>
        <w:rPr>
          <w:rFonts w:ascii="Times New Roman" w:cs="Times New Roman" w:eastAsia="Times New Roman" w:hAnsi="Times New Roman"/>
          <w:sz w:val="19"/>
          <w:szCs w:val="19"/>
          <w:color w:val="000000"/>
        </w:rPr>
        <w:t>.</w:t>
      </w:r>
    </w:p>
    <w:p>
      <w:pPr>
        <w:spacing w:after="0" w:line="214" w:lineRule="exact"/>
        <w:rPr>
          <w:sz w:val="20"/>
          <w:szCs w:val="20"/>
          <w:color w:val="auto"/>
        </w:rPr>
      </w:pPr>
    </w:p>
    <w:p>
      <w:pPr>
        <w:jc w:val="both"/>
        <w:ind w:left="-300" w:firstLine="1505"/>
        <w:spacing w:after="0"/>
        <w:tabs>
          <w:tab w:leader="none" w:pos="1736"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payments by or on account of any Obligation of any Loan Party or the Administrative Agent hereunder or under any Loan Document shall be made, in accordance with Section 2.11 or the applicable provisions of such other Loan Document, if any,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93" w:lineRule="exact"/>
        <w:rPr>
          <w:rFonts w:ascii="Times New Roman" w:cs="Times New Roman" w:eastAsia="Times New Roman" w:hAnsi="Times New Roman"/>
          <w:sz w:val="19"/>
          <w:szCs w:val="19"/>
          <w:color w:val="auto"/>
        </w:rPr>
      </w:pPr>
    </w:p>
    <w:p>
      <w:pPr>
        <w:ind w:left="-300" w:firstLine="1505"/>
        <w:spacing w:after="0" w:line="265" w:lineRule="auto"/>
        <w:tabs>
          <w:tab w:leader="none" w:pos="1736"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Loan Party shall timely pay to the relevant Governmental Authority in accordance with applicable law, or at the option of the Administrative Agent timely reimburse it for the payment of, any Other Taxes.</w:t>
      </w:r>
    </w:p>
    <w:p>
      <w:pPr>
        <w:spacing w:after="0" w:line="165" w:lineRule="exact"/>
        <w:rPr>
          <w:rFonts w:ascii="Times New Roman" w:cs="Times New Roman" w:eastAsia="Times New Roman" w:hAnsi="Times New Roman"/>
          <w:sz w:val="19"/>
          <w:szCs w:val="19"/>
          <w:color w:val="auto"/>
        </w:rPr>
      </w:pPr>
    </w:p>
    <w:p>
      <w:pPr>
        <w:jc w:val="both"/>
        <w:ind w:left="-300" w:firstLine="1505"/>
        <w:spacing w:after="0" w:line="242" w:lineRule="auto"/>
        <w:tabs>
          <w:tab w:leader="none" w:pos="1736"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duplication of Sections 2.12(a) or 2.12(b), the Loan Parties shall indemnify each Recipient for the full amount of Indemnified Taxes (including Indemnified Taxes imposed or asserted on or attributable to amounts payable under this Section 2.12) payable or paid by such Recipient, or required to be deducted or withheld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Loan Parties by a Lender (with a copy to the Administrative Agent), or by the Administrative Agent on its own behalf or on behalf of a Lender, shall be conclusive absent manifest error. This indemnification shall be made within ten days from the date such Lender or the Administrative Agent (as the case may be) makes written demand therefor.</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671195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405" w:right="339" w:bottom="1440" w:gutter="0" w:footer="0" w:header="0"/>
        </w:sectPr>
      </w:pPr>
    </w:p>
    <w:bookmarkStart w:id="242" w:name="page243"/>
    <w:bookmarkEnd w:id="242"/>
    <w:p>
      <w:pPr>
        <w:jc w:val="both"/>
        <w:ind w:left="-300" w:firstLine="1505"/>
        <w:spacing w:after="0"/>
        <w:tabs>
          <w:tab w:leader="none" w:pos="1736"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shall severally indemnify the Administrative Agent, within ten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9.07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Section 2.12(d).</w:t>
      </w:r>
    </w:p>
    <w:p>
      <w:pPr>
        <w:spacing w:after="0" w:line="191" w:lineRule="exact"/>
        <w:rPr>
          <w:rFonts w:ascii="Times New Roman" w:cs="Times New Roman" w:eastAsia="Times New Roman" w:hAnsi="Times New Roman"/>
          <w:sz w:val="19"/>
          <w:szCs w:val="19"/>
          <w:color w:val="auto"/>
        </w:rPr>
      </w:pPr>
    </w:p>
    <w:p>
      <w:pPr>
        <w:jc w:val="both"/>
        <w:ind w:left="-300" w:firstLine="1505"/>
        <w:spacing w:after="0"/>
        <w:tabs>
          <w:tab w:leader="none" w:pos="1736"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practicable after, but in any case within 30 days after, the date of any payment of Taxes by any Loan Party to a Governmental Authority pursuant to this Section 2.12, such Loan Party shall deliver to the Administrative Agent, at its address referred to in Section 9.02, the original or a certified copy of a receipt issued by such Governmental Authority evidencing such payment, a copy of the return reporting such payment or other evidence of such payment reasonably satisfactory to the Administrative Agent. In the case of any payment hereunder or under the other Loan Documents by or on behalf of a Loan Party through an account or branch outside the United States or by or on behalf of a Loan Party by a payor that is not a U.S. Person, if such Loan Party determines that no Taxes are payable in respect thereof, such Loan Party shall furnish, or shall cause such payor to furnish, to the Administrative Agent, at such address, an opinion of counsel acceptable to the Administrative Agent stating that such payment is exempt from Taxes. For purposes of subsections (e) and (g) of this Section 2.12, the term “</w:t>
      </w:r>
      <w:r>
        <w:rPr>
          <w:rFonts w:ascii="Times New Roman" w:cs="Times New Roman" w:eastAsia="Times New Roman" w:hAnsi="Times New Roman"/>
          <w:sz w:val="19"/>
          <w:szCs w:val="19"/>
          <w:b w:val="1"/>
          <w:bCs w:val="1"/>
          <w:i w:val="1"/>
          <w:iCs w:val="1"/>
          <w:color w:val="auto"/>
        </w:rPr>
        <w:t>United States</w:t>
      </w:r>
      <w:r>
        <w:rPr>
          <w:rFonts w:ascii="Times New Roman" w:cs="Times New Roman" w:eastAsia="Times New Roman" w:hAnsi="Times New Roman"/>
          <w:sz w:val="19"/>
          <w:szCs w:val="19"/>
          <w:color w:val="auto"/>
        </w:rPr>
        <w:t>” shall have the meaning specified in Section 7701(a)(9) of the Internal Revenue Code.</w:t>
      </w:r>
    </w:p>
    <w:p>
      <w:pPr>
        <w:spacing w:after="0" w:line="193" w:lineRule="exact"/>
        <w:rPr>
          <w:rFonts w:ascii="Times New Roman" w:cs="Times New Roman" w:eastAsia="Times New Roman" w:hAnsi="Times New Roman"/>
          <w:sz w:val="19"/>
          <w:szCs w:val="19"/>
          <w:color w:val="auto"/>
        </w:rPr>
      </w:pPr>
    </w:p>
    <w:p>
      <w:pPr>
        <w:jc w:val="both"/>
        <w:ind w:left="-300" w:firstLine="1505"/>
        <w:spacing w:after="0"/>
        <w:tabs>
          <w:tab w:leader="none" w:pos="1736"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that is entitled to an exemption from, or reduction of, withholding Taxes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any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2.12(g)(i), (ii) and (iv)) shall not be required if in the applicable Lender’s reasonable judgment such completion, execution or submission would subject such Lender to any material unreimbursed cost or expense or would materially prejudice the legal or commercial position of such Lender.</w:t>
      </w:r>
    </w:p>
    <w:p>
      <w:pPr>
        <w:spacing w:after="0" w:line="191" w:lineRule="exact"/>
        <w:rPr>
          <w:rFonts w:ascii="Times New Roman" w:cs="Times New Roman" w:eastAsia="Times New Roman" w:hAnsi="Times New Roman"/>
          <w:sz w:val="19"/>
          <w:szCs w:val="19"/>
          <w:color w:val="auto"/>
        </w:rPr>
      </w:pPr>
    </w:p>
    <w:p>
      <w:pPr>
        <w:ind w:left="1740" w:hanging="535"/>
        <w:spacing w:after="0"/>
        <w:tabs>
          <w:tab w:leader="none" w:pos="1740"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generality of Section 2.12(f),</w:t>
      </w:r>
    </w:p>
    <w:p>
      <w:pPr>
        <w:spacing w:after="0" w:line="213" w:lineRule="exact"/>
        <w:rPr>
          <w:rFonts w:ascii="Times New Roman" w:cs="Times New Roman" w:eastAsia="Times New Roman" w:hAnsi="Times New Roman"/>
          <w:sz w:val="19"/>
          <w:szCs w:val="19"/>
          <w:color w:val="auto"/>
        </w:rPr>
      </w:pPr>
    </w:p>
    <w:p>
      <w:pPr>
        <w:jc w:val="both"/>
        <w:ind w:left="460" w:firstLine="1494"/>
        <w:spacing w:after="0" w:line="224" w:lineRule="exact"/>
        <w:tabs>
          <w:tab w:leader="none" w:pos="2257" w:val="left"/>
        </w:tabs>
        <w:numPr>
          <w:ilvl w:val="1"/>
          <w:numId w:val="20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Lender that is a U.S. Person shall, on or prior to the date of its execution and delivery of this Agreement in the case of each Initial Lender, and on the date of the Assignment and Acceptance or Accession Agreement pursuant to which it becomes a Lender in the case of each other Lender, and from time to time thereafter as reasonably requested in writing by the Borrower, provide the Administrative Agent and the Borrower with executed originals of Internal Revenue Service Form W</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9 certifying that such Lender is exempt from U.S. federal backup withholding tax;</w:t>
      </w:r>
    </w:p>
    <w:p>
      <w:pPr>
        <w:spacing w:after="0" w:line="183" w:lineRule="exact"/>
        <w:rPr>
          <w:rFonts w:ascii="Times New Roman" w:cs="Times New Roman" w:eastAsia="Times New Roman" w:hAnsi="Times New Roman"/>
          <w:sz w:val="19"/>
          <w:szCs w:val="19"/>
          <w:color w:val="010000"/>
        </w:rPr>
      </w:pPr>
    </w:p>
    <w:p>
      <w:pPr>
        <w:jc w:val="both"/>
        <w:ind w:left="460" w:firstLine="1494"/>
        <w:spacing w:after="0" w:line="254" w:lineRule="auto"/>
        <w:tabs>
          <w:tab w:leader="none" w:pos="2257" w:val="left"/>
        </w:tabs>
        <w:numPr>
          <w:ilvl w:val="1"/>
          <w:numId w:val="20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Lender that is not a U.S. Person (a “</w:t>
      </w:r>
      <w:r>
        <w:rPr>
          <w:rFonts w:ascii="Times New Roman" w:cs="Times New Roman" w:eastAsia="Times New Roman" w:hAnsi="Times New Roman"/>
          <w:sz w:val="19"/>
          <w:szCs w:val="19"/>
          <w:b w:val="1"/>
          <w:bCs w:val="1"/>
          <w:i w:val="1"/>
          <w:iCs w:val="1"/>
          <w:color w:val="auto"/>
        </w:rPr>
        <w:t>Foreign Lender</w:t>
      </w:r>
      <w:r>
        <w:rPr>
          <w:rFonts w:ascii="Times New Roman" w:cs="Times New Roman" w:eastAsia="Times New Roman" w:hAnsi="Times New Roman"/>
          <w:sz w:val="19"/>
          <w:szCs w:val="19"/>
          <w:color w:val="auto"/>
        </w:rPr>
        <w:t>”) shall, to the extent it is legally entitled to do so, on or prior to the date of its execution and delivery of this Agreement in the case of each Initial Lender, and on the date of the Assignment and Acceptance or Accession</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671195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409" w:right="339" w:bottom="1440" w:gutter="0" w:footer="0" w:header="0"/>
        </w:sectPr>
      </w:pPr>
    </w:p>
    <w:bookmarkStart w:id="243" w:name="page244"/>
    <w:bookmarkEnd w:id="243"/>
    <w:p>
      <w:pPr>
        <w:jc w:val="both"/>
        <w:spacing w:after="0" w:line="251" w:lineRule="auto"/>
        <w:rPr>
          <w:sz w:val="20"/>
          <w:szCs w:val="20"/>
          <w:color w:val="auto"/>
        </w:rPr>
      </w:pPr>
      <w:r>
        <w:rPr>
          <w:rFonts w:ascii="Times New Roman" w:cs="Times New Roman" w:eastAsia="Times New Roman" w:hAnsi="Times New Roman"/>
          <w:sz w:val="19"/>
          <w:szCs w:val="19"/>
          <w:color w:val="auto"/>
        </w:rPr>
        <w:t>Agreement pursuant to which it becomes a Lender in the case of each other Lender, and from time to time thereafter as reasonably requested in writing by the Borrower (but only so long thereafter as such Lender remains lawfully able to do so), provide the Administrative Agent and the Borrower with whichever of the following is applicable:</w:t>
      </w:r>
    </w:p>
    <w:p>
      <w:pPr>
        <w:spacing w:after="0" w:line="179" w:lineRule="exact"/>
        <w:rPr>
          <w:sz w:val="20"/>
          <w:szCs w:val="20"/>
          <w:color w:val="auto"/>
        </w:rPr>
      </w:pPr>
    </w:p>
    <w:p>
      <w:pPr>
        <w:jc w:val="both"/>
        <w:ind w:left="740" w:firstLine="1503"/>
        <w:spacing w:after="0" w:line="225" w:lineRule="exact"/>
        <w:tabs>
          <w:tab w:leader="none" w:pos="2807" w:val="left"/>
        </w:tabs>
        <w:numPr>
          <w:ilvl w:val="1"/>
          <w:numId w:val="20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the case of a Foreign Lender claiming the benefits of an income tax treaty to which the United Sates is a party, (x) with respect to payments of interest under any Loan Document, executed originals of Internal Revenue Service Form W</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8BEN or W-8BEN-E, as applicable, establishing an exemption from, or reduction of, U.S. federal withholding Tax pursuant to the “interest” article of such tax treaty and (y) with respect to any other applicable payments under any Loan Document, Internal Revenue Service Form W</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8BEN or W-8BEN-E, as applicable, establishing an exemption from, or reduction of, U.S. federal withholding Tax pursuant to the “business profits” or “other income” article of such tax treaty;</w:t>
      </w:r>
    </w:p>
    <w:p>
      <w:pPr>
        <w:spacing w:after="0" w:line="160" w:lineRule="exact"/>
        <w:rPr>
          <w:rFonts w:ascii="Times New Roman" w:cs="Times New Roman" w:eastAsia="Times New Roman" w:hAnsi="Times New Roman"/>
          <w:sz w:val="19"/>
          <w:szCs w:val="19"/>
          <w:color w:val="010000"/>
        </w:rPr>
      </w:pPr>
    </w:p>
    <w:p>
      <w:pPr>
        <w:ind w:left="2820" w:hanging="577"/>
        <w:spacing w:after="0" w:line="219" w:lineRule="exact"/>
        <w:tabs>
          <w:tab w:leader="none" w:pos="2820" w:val="left"/>
        </w:tabs>
        <w:numPr>
          <w:ilvl w:val="1"/>
          <w:numId w:val="20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executed originals of Internal Revenue Service Form W</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8ECI;</w:t>
      </w:r>
    </w:p>
    <w:p>
      <w:pPr>
        <w:spacing w:after="0" w:line="256" w:lineRule="exact"/>
        <w:rPr>
          <w:rFonts w:ascii="Times New Roman" w:cs="Times New Roman" w:eastAsia="Times New Roman" w:hAnsi="Times New Roman"/>
          <w:sz w:val="19"/>
          <w:szCs w:val="19"/>
          <w:color w:val="010000"/>
        </w:rPr>
      </w:pPr>
    </w:p>
    <w:p>
      <w:pPr>
        <w:jc w:val="both"/>
        <w:ind w:left="740" w:firstLine="1503"/>
        <w:spacing w:after="0" w:line="230" w:lineRule="exact"/>
        <w:tabs>
          <w:tab w:leader="none" w:pos="2807" w:val="left"/>
        </w:tabs>
        <w:numPr>
          <w:ilvl w:val="1"/>
          <w:numId w:val="20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the case of a Foreign Lender claiming the benefits of the exemption for portfolio interest under Section 881(c) of the Internal Revenue Code (x) a certificate substantially in the form of Exhibit 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hereto to the effect that such Foreign Lender is not (A) a “bank” within the meaning of Section 881(c)(3)(A) of the Internal Revenue Code, (B) a “10 percent shareholder” of any Loan Party within the meaning of Section 881(c)(3)(B) of the Internal Revenue Code, or (C) a “controlled foreign corporation” described in Section 881(c)(3)(C) of the Internal Revenue Code (a “</w:t>
      </w:r>
      <w:r>
        <w:rPr>
          <w:rFonts w:ascii="Times New Roman" w:cs="Times New Roman" w:eastAsia="Times New Roman" w:hAnsi="Times New Roman"/>
          <w:sz w:val="19"/>
          <w:szCs w:val="19"/>
          <w:b w:val="1"/>
          <w:bCs w:val="1"/>
          <w:i w:val="1"/>
          <w:iCs w:val="1"/>
          <w:color w:val="auto"/>
        </w:rPr>
        <w:t>U.S. Tax Compliance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Certificate</w:t>
      </w:r>
      <w:r>
        <w:rPr>
          <w:rFonts w:ascii="Times New Roman" w:cs="Times New Roman" w:eastAsia="Times New Roman" w:hAnsi="Times New Roman"/>
          <w:sz w:val="19"/>
          <w:szCs w:val="19"/>
          <w:color w:val="auto"/>
        </w:rPr>
        <w:t>”) and (y) executed originals of Internal Revenue Service Form W</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8BEN or W-8BEN-E, as applicable; or</w:t>
      </w:r>
    </w:p>
    <w:p>
      <w:pPr>
        <w:spacing w:after="0" w:line="162" w:lineRule="exact"/>
        <w:rPr>
          <w:rFonts w:ascii="Times New Roman" w:cs="Times New Roman" w:eastAsia="Times New Roman" w:hAnsi="Times New Roman"/>
          <w:sz w:val="19"/>
          <w:szCs w:val="19"/>
          <w:color w:val="010000"/>
        </w:rPr>
      </w:pPr>
    </w:p>
    <w:p>
      <w:pPr>
        <w:jc w:val="both"/>
        <w:ind w:left="740" w:firstLine="1503"/>
        <w:spacing w:after="0" w:line="226" w:lineRule="exact"/>
        <w:tabs>
          <w:tab w:leader="none" w:pos="2807" w:val="left"/>
        </w:tabs>
        <w:numPr>
          <w:ilvl w:val="1"/>
          <w:numId w:val="20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to the extent that the Foreign Lender is not the beneficial owner, executed originals of Internal Revenue Service Form W</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8IMY, accompanied by Internal Revenue Service Form W</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8BEN or W-8BEN-E, as applicable, a U.S. Tax Compliance Certificate substantially in the form of Exhibit 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 or Exhibit 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3, Internal Revenue Service Form W</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9 and/or other certification documents from each beneficial owner, as applicable;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if the Foreign Lender is a partnership and one or more direct or indirect partners of such Foreign Lender are claiming the portfolio interest exemption, such Foreign Lender may provide a U.S. Tax Compliance Certificate substantially in the form of Exhibit 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4 on behalf of each such direct and indirect partner;</w:t>
      </w:r>
    </w:p>
    <w:p>
      <w:pPr>
        <w:spacing w:after="0" w:line="188" w:lineRule="exact"/>
        <w:rPr>
          <w:rFonts w:ascii="Times New Roman" w:cs="Times New Roman" w:eastAsia="Times New Roman" w:hAnsi="Times New Roman"/>
          <w:sz w:val="19"/>
          <w:szCs w:val="19"/>
          <w:color w:val="010000"/>
        </w:rPr>
      </w:pPr>
    </w:p>
    <w:p>
      <w:pPr>
        <w:jc w:val="both"/>
        <w:ind w:firstLine="1494"/>
        <w:spacing w:after="0" w:line="259" w:lineRule="auto"/>
        <w:tabs>
          <w:tab w:leader="none" w:pos="1797" w:val="left"/>
        </w:tabs>
        <w:numPr>
          <w:ilvl w:val="0"/>
          <w:numId w:val="2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any applicable law as a basis for claiming exemption from or a reduction in U.S. federal withholding Tax, duly completed, together with such supplementary documentation as may be prescribed by any applicable law to permit the Borrower or the Administrative Agent to determine the withholding or deduction required to be made; and</w:t>
      </w:r>
    </w:p>
    <w:p>
      <w:pPr>
        <w:spacing w:after="0" w:line="171" w:lineRule="exact"/>
        <w:rPr>
          <w:rFonts w:ascii="Times New Roman" w:cs="Times New Roman" w:eastAsia="Times New Roman" w:hAnsi="Times New Roman"/>
          <w:sz w:val="18"/>
          <w:szCs w:val="18"/>
          <w:color w:val="010000"/>
        </w:rPr>
      </w:pPr>
    </w:p>
    <w:p>
      <w:pPr>
        <w:jc w:val="both"/>
        <w:ind w:firstLine="1494"/>
        <w:spacing w:after="0" w:line="242" w:lineRule="auto"/>
        <w:tabs>
          <w:tab w:leader="none" w:pos="1797" w:val="left"/>
        </w:tabs>
        <w:numPr>
          <w:ilvl w:val="0"/>
          <w:numId w:val="20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w:t>
      </w:r>
    </w:p>
    <w:p>
      <w:pPr>
        <w:spacing w:after="0" w:line="3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671195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244" w:name="page245"/>
    <w:bookmarkEnd w:id="244"/>
    <w:p>
      <w:pPr>
        <w:jc w:val="both"/>
        <w:ind w:left="460"/>
        <w:spacing w:after="0" w:line="246" w:lineRule="auto"/>
        <w:rPr>
          <w:sz w:val="20"/>
          <w:szCs w:val="20"/>
          <w:color w:val="auto"/>
        </w:rPr>
      </w:pPr>
      <w:r>
        <w:rPr>
          <w:rFonts w:ascii="Times New Roman" w:cs="Times New Roman" w:eastAsia="Times New Roman" w:hAnsi="Times New Roman"/>
          <w:sz w:val="19"/>
          <w:szCs w:val="19"/>
          <w:color w:val="auto"/>
        </w:rPr>
        <w:t>necessary for the Borrower and the Administrative Agent to comply with their obligations under FATCA and to determine that such Lender has complied with such Lender’s obligations under FATCA or to determine the amount to deduct and withhold from such payment. Solely for the purposes of this subsection (g), “FATCA” shall include any amendments made to FATCA after the date of this Agreement.</w:t>
      </w:r>
    </w:p>
    <w:p>
      <w:pPr>
        <w:spacing w:after="0" w:line="184" w:lineRule="exact"/>
        <w:rPr>
          <w:sz w:val="20"/>
          <w:szCs w:val="20"/>
          <w:color w:val="auto"/>
        </w:rPr>
      </w:pPr>
    </w:p>
    <w:p>
      <w:pPr>
        <w:jc w:val="both"/>
        <w:ind w:left="460" w:firstLine="1494"/>
        <w:spacing w:after="0" w:line="251" w:lineRule="auto"/>
        <w:tabs>
          <w:tab w:leader="none" w:pos="2257" w:val="left"/>
        </w:tabs>
        <w:numPr>
          <w:ilvl w:val="1"/>
          <w:numId w:val="20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78" w:lineRule="exact"/>
        <w:rPr>
          <w:rFonts w:ascii="Times New Roman" w:cs="Times New Roman" w:eastAsia="Times New Roman" w:hAnsi="Times New Roman"/>
          <w:sz w:val="19"/>
          <w:szCs w:val="19"/>
          <w:color w:val="010000"/>
        </w:rPr>
      </w:pPr>
    </w:p>
    <w:p>
      <w:pPr>
        <w:jc w:val="both"/>
        <w:ind w:left="-300" w:firstLine="1505"/>
        <w:spacing w:after="0" w:line="220" w:lineRule="exact"/>
        <w:tabs>
          <w:tab w:leader="none" w:pos="1736" w:val="left"/>
        </w:tabs>
        <w:numPr>
          <w:ilvl w:val="0"/>
          <w:numId w:val="20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any party determines, in its sole discretion exercised in good faith, that it has received a refund of any Taxes as to which it has received an indemnification payment pursuant to this Section 2.12 (including by the payment of additional amounts pursuant to this Section 2.12), it shall pay to the indemnifying party an amount equal to such refund (but only to the extent of indemnity payments made under this Section with respect to the Taxes giving rise to such refund), net of all out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subsection (h) (plus any penalties, interest or other charges imposed by the relevant Governmental Authority) in the event that such indemnified party is required to repay such refund to such Governmental Authority. Notwithstanding anything to the contrary in this subsection (h), in no event will the indemnified party be required to pay any amount to an indemnifying party pursuant to this subsection (h) if such payment would place the indemnified party in a less favorable net after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indemnified party to make available its Tax returns (or any other information relating to its Taxes that it deems confidential) to the indemnifying party or any other Person. No party shall have any obligation to pursue, or any right to assert, any refund of Indemnified Taxes that may be paid by another party.</w:t>
      </w:r>
    </w:p>
    <w:p>
      <w:pPr>
        <w:spacing w:after="0" w:line="195" w:lineRule="exact"/>
        <w:rPr>
          <w:rFonts w:ascii="Times New Roman" w:cs="Times New Roman" w:eastAsia="Times New Roman" w:hAnsi="Times New Roman"/>
          <w:sz w:val="19"/>
          <w:szCs w:val="19"/>
          <w:color w:val="010000"/>
        </w:rPr>
      </w:pPr>
    </w:p>
    <w:p>
      <w:pPr>
        <w:jc w:val="both"/>
        <w:ind w:left="-300" w:firstLine="1505"/>
        <w:spacing w:after="0" w:line="251" w:lineRule="auto"/>
        <w:tabs>
          <w:tab w:leader="none" w:pos="1736" w:val="left"/>
        </w:tabs>
        <w:numPr>
          <w:ilvl w:val="0"/>
          <w:numId w:val="20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Should a Lender become subject to Taxes because of its failure to deliver a form or other document required hereunder, the Loan Parties shall take such steps as such Lender shall reasonably request to assist such Lender to recover such Taxes;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expenses incurred by any Loan Party in connection therewith shall be reimbursed by the requesting Lender.</w:t>
      </w:r>
    </w:p>
    <w:p>
      <w:pPr>
        <w:spacing w:after="0" w:line="178" w:lineRule="exact"/>
        <w:rPr>
          <w:rFonts w:ascii="Times New Roman" w:cs="Times New Roman" w:eastAsia="Times New Roman" w:hAnsi="Times New Roman"/>
          <w:sz w:val="19"/>
          <w:szCs w:val="19"/>
          <w:color w:val="010000"/>
        </w:rPr>
      </w:pPr>
    </w:p>
    <w:p>
      <w:pPr>
        <w:jc w:val="both"/>
        <w:ind w:left="-300" w:firstLine="1505"/>
        <w:spacing w:after="0" w:line="242" w:lineRule="auto"/>
        <w:tabs>
          <w:tab w:leader="none" w:pos="1736" w:val="left"/>
        </w:tabs>
        <w:numPr>
          <w:ilvl w:val="0"/>
          <w:numId w:val="20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Lender claiming any Indemnified Taxes or additional amounts payable to any Lender or any Governmental Authority for the account of any Lender pursuant to this Section 2.12 agrees to use reasonable efforts (consistent with its internal policy and legal and regulatory restrictions) to change the jurisdiction of its Applicable Lending Office or assign its rights and obligations hereunder to another of its offices, branches or Affiliates if the making of such a change would avoid the need for, or reduce the amount of, any such Indemnified Taxes or additional amounts that may thereafter accrue and would not, in the reasonable judgment of such Lender, be otherwise disadvantageous to such Lender.</w:t>
      </w:r>
    </w:p>
    <w:p>
      <w:pPr>
        <w:spacing w:after="0" w:line="190" w:lineRule="exact"/>
        <w:rPr>
          <w:rFonts w:ascii="Times New Roman" w:cs="Times New Roman" w:eastAsia="Times New Roman" w:hAnsi="Times New Roman"/>
          <w:sz w:val="19"/>
          <w:szCs w:val="19"/>
          <w:color w:val="010000"/>
        </w:rPr>
      </w:pPr>
    </w:p>
    <w:p>
      <w:pPr>
        <w:jc w:val="both"/>
        <w:ind w:left="-300" w:firstLine="1505"/>
        <w:spacing w:after="0"/>
        <w:tabs>
          <w:tab w:leader="none" w:pos="1736" w:val="left"/>
        </w:tabs>
        <w:numPr>
          <w:ilvl w:val="0"/>
          <w:numId w:val="20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the event that an additional payment is made under Section 2.12(a) or (c) for the account of any Lender and such Lender, in its sole discretion, determines that it has finally and irrevocably received or been granted a credit against or release or remission for, or repayment of, any tax paid or payable by it in respect of or calculated with reference to the deduction or withholding giving rise to such payment, such Lender shall, to the extent that it determines that it can do so without prejudice to the retention of the amount of such credit, relief, remission or repayment, pay to the applicable Loan Party such amount as such Lender shall, in its sole discretion, have determined to be attributable to such deduction or withholding and which will leave such Lender (after such payment) in no worse position than it would have been in if the applicable Loan Party had not been required to make such deduction or withholding. Nothing herein contained shall interfere with the right of a Lender to arrange its tax affairs in whatever manner it thinks fit nor oblige any Lender to claim any tax credit or to disclose any information relating to its affairs or any computations in respect thereof, and no</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671195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409" w:right="339" w:bottom="1440" w:gutter="0" w:footer="0" w:header="0"/>
        </w:sectPr>
      </w:pPr>
    </w:p>
    <w:bookmarkStart w:id="245" w:name="page246"/>
    <w:bookmarkEnd w:id="245"/>
    <w:p>
      <w:pPr>
        <w:spacing w:after="0" w:line="265" w:lineRule="auto"/>
        <w:rPr>
          <w:sz w:val="20"/>
          <w:szCs w:val="20"/>
          <w:color w:val="auto"/>
        </w:rPr>
      </w:pPr>
      <w:r>
        <w:rPr>
          <w:rFonts w:ascii="Times New Roman" w:cs="Times New Roman" w:eastAsia="Times New Roman" w:hAnsi="Times New Roman"/>
          <w:sz w:val="19"/>
          <w:szCs w:val="19"/>
          <w:color w:val="auto"/>
        </w:rPr>
        <w:t>Loan Party shall be entitled to review the tax records of any Lender or the Administrative Agent, or require any Lender to do anything that would prejudice its ability to benefit from any other credits, reliefs, remissions or repayments to which it may be entitled.</w:t>
      </w:r>
    </w:p>
    <w:p>
      <w:pPr>
        <w:spacing w:after="0" w:line="166" w:lineRule="exact"/>
        <w:rPr>
          <w:sz w:val="20"/>
          <w:szCs w:val="20"/>
          <w:color w:val="auto"/>
        </w:rPr>
      </w:pPr>
    </w:p>
    <w:p>
      <w:pPr>
        <w:jc w:val="both"/>
        <w:ind w:firstLine="1505"/>
        <w:spacing w:after="0" w:line="246" w:lineRule="auto"/>
        <w:tabs>
          <w:tab w:leader="none" w:pos="2036" w:val="left"/>
        </w:tabs>
        <w:numPr>
          <w:ilvl w:val="0"/>
          <w:numId w:val="20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Without prejudice to the survival of any other agreement of any party hereunder or under any other Loan Document, the agreements and obligations under this Section 2.12 shall survive the resignation or replacement of the Administrative Agent, the assignment of rights by, or the replacement of, a Lender, the termination of the Commitments and the payment in full of principal, interest and all other amounts payable hereunder and under any of the other Loan Documents.</w:t>
      </w:r>
    </w:p>
    <w:p>
      <w:pPr>
        <w:spacing w:after="0" w:line="184" w:lineRule="exact"/>
        <w:rPr>
          <w:sz w:val="20"/>
          <w:szCs w:val="20"/>
          <w:color w:val="auto"/>
        </w:rPr>
      </w:pPr>
    </w:p>
    <w:p>
      <w:pPr>
        <w:jc w:val="both"/>
        <w:ind w:firstLine="1497"/>
        <w:spacing w:after="0" w:line="219" w:lineRule="exact"/>
        <w:rPr>
          <w:sz w:val="20"/>
          <w:szCs w:val="20"/>
          <w:color w:val="auto"/>
        </w:rPr>
      </w:pPr>
      <w:r>
        <w:rPr>
          <w:rFonts w:ascii="Times New Roman" w:cs="Times New Roman" w:eastAsia="Times New Roman" w:hAnsi="Times New Roman"/>
          <w:sz w:val="19"/>
          <w:szCs w:val="19"/>
          <w:color w:val="010000"/>
        </w:rPr>
        <w:t>Section 2.13</w:t>
      </w:r>
      <w:r>
        <w:rPr>
          <w:rFonts w:ascii="Times New Roman" w:cs="Times New Roman" w:eastAsia="Times New Roman" w:hAnsi="Times New Roman"/>
          <w:sz w:val="19"/>
          <w:szCs w:val="19"/>
          <w:u w:val="single" w:color="auto"/>
          <w:color w:val="000000"/>
        </w:rPr>
        <w:t>Sharing of Payments, Etc.</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Subject to the provisions of Section 2.11(f), if any Lender shall obtain at any time any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payment (whether voluntary, involuntary, through the exercise of any right of set</w:t>
      </w:r>
      <w:r>
        <w:rPr>
          <w:rFonts w:ascii="MS PGothic" w:cs="MS PGothic" w:eastAsia="MS PGothic" w:hAnsi="MS PGothic"/>
          <w:sz w:val="19"/>
          <w:szCs w:val="19"/>
          <w:color w:val="000000"/>
        </w:rPr>
        <w:t>‑</w:t>
      </w:r>
      <w:r>
        <w:rPr>
          <w:rFonts w:ascii="Times New Roman" w:cs="Times New Roman" w:eastAsia="Times New Roman" w:hAnsi="Times New Roman"/>
          <w:sz w:val="19"/>
          <w:szCs w:val="19"/>
          <w:color w:val="000000"/>
        </w:rPr>
        <w:t xml:space="preserve">off, or otherwise, other than as a result of an assignment pursuant to Section 9.07) (a) on account of Obligations due and payable to such Lender hereunder and under the Notes at such time in excess of its ratable share (according to the proportion of (i) the amount of such Obligations due and payable to such Lender at such time to (ii) the aggregate amount of the Obligations due and payable to all Lenders hereunder and under the Notes at such time) of payments on account of the Obligations due and payable to all Lenders hereunder and under the Notes at such time obtained by all the Lenders at such time or (b) on account of Obligations owing (but not due and payable) to such Lender hereunder and under the Notes at such time in excess of its ratable share (according to the proportion of (i) the amount of such Obligations owing to such Lender at such time to (ii) the aggregate amount of the Obligations owing (but not due and payable) to all Lenders hereunder and under the Notes at such time) of payments on account of the Obligations owing (but not due and payable) to all Lenders hereunder and under the Notes at such time obtained by all of the Lenders at such time, such Lender shall forthwith purchase from the other Lenders such interests or participating interests in the Obligations due and payable or owing to them, as the case may be, as shall be necessary to cause such purchasing Lender to share the excess payment ratably with each of them;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i w:val="1"/>
          <w:iCs w:val="1"/>
          <w:color w:val="000000"/>
        </w:rPr>
        <w:t>however</w:t>
      </w:r>
      <w:r>
        <w:rPr>
          <w:rFonts w:ascii="Times New Roman" w:cs="Times New Roman" w:eastAsia="Times New Roman" w:hAnsi="Times New Roman"/>
          <w:sz w:val="19"/>
          <w:szCs w:val="19"/>
          <w:color w:val="000000"/>
        </w:rPr>
        <w:t>, that if all or any portion of such excess payment is thereafter recovered from such purchasing Lender, such purchase from each other Lender shall be rescinded and such other Lender shall repay to the purchasing Lender the purchase price to the extent of such Lender’s ratable share (according to the proportion of (i) the purchase price paid to such Lender to (ii) the aggregate purchase price paid to all Lenders) of such recovery together with an amount equal to such Lender’s ratable share (according to the proportion of (i) the amount of such other Lender’s required repayment to (ii) the total amount so recovered from the purchasing Lender) of any interest or other amount paid or payable by the purchasing Lender in respect of the total amount so recovered. The Borrower agrees that any Lender so purchasing an interest or participating interest from another Lender pursuant to this Section 2.13 may, to the fullest extent permitted by law, exercise all its rights of payment (including the right of set</w:t>
      </w:r>
      <w:r>
        <w:rPr>
          <w:rFonts w:ascii="MS PGothic" w:cs="MS PGothic" w:eastAsia="MS PGothic" w:hAnsi="MS PGothic"/>
          <w:sz w:val="19"/>
          <w:szCs w:val="19"/>
          <w:color w:val="000000"/>
        </w:rPr>
        <w:t>‑</w:t>
      </w:r>
      <w:r>
        <w:rPr>
          <w:rFonts w:ascii="Times New Roman" w:cs="Times New Roman" w:eastAsia="Times New Roman" w:hAnsi="Times New Roman"/>
          <w:sz w:val="19"/>
          <w:szCs w:val="19"/>
          <w:color w:val="000000"/>
        </w:rPr>
        <w:t>off) with respect to such interest or participating interest, as the case may be, as fully as if such Lender were the direct creditor of the Borrower in the amount of such interest or participating interest, as the case may be.</w:t>
      </w:r>
    </w:p>
    <w:p>
      <w:pPr>
        <w:spacing w:after="0" w:line="191"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19"/>
          <w:szCs w:val="19"/>
          <w:color w:val="010000"/>
        </w:rPr>
        <w:t>Section 2.14</w:t>
      </w:r>
      <w:r>
        <w:rPr>
          <w:rFonts w:ascii="Times New Roman" w:cs="Times New Roman" w:eastAsia="Times New Roman" w:hAnsi="Times New Roman"/>
          <w:sz w:val="19"/>
          <w:szCs w:val="19"/>
          <w:u w:val="single" w:color="auto"/>
          <w:color w:val="000000"/>
        </w:rPr>
        <w:t>Use of Proceeds</w:t>
      </w:r>
      <w:r>
        <w:rPr>
          <w:rFonts w:ascii="Times New Roman" w:cs="Times New Roman" w:eastAsia="Times New Roman" w:hAnsi="Times New Roman"/>
          <w:sz w:val="19"/>
          <w:szCs w:val="19"/>
          <w:color w:val="000000"/>
        </w:rPr>
        <w:t>. The proceeds of the Advances shall be available (and the Borrower agrees that it shall use such</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proceeds) solely for (i) general corporate purposes of the Borrower and its Subsidiaries, (ii) the acquisition of assets, (iii) capital expenditures, (iv) working capital expenses, (v) the development and redevelopment of assets, (vi) the repayment in full (or refinancing) of certain Existing Debt, and</w:t>
      </w:r>
    </w:p>
    <w:p>
      <w:pPr>
        <w:spacing w:after="0" w:line="2" w:lineRule="exact"/>
        <w:rPr>
          <w:sz w:val="20"/>
          <w:szCs w:val="20"/>
          <w:color w:val="auto"/>
        </w:rPr>
      </w:pPr>
    </w:p>
    <w:p>
      <w:pPr>
        <w:jc w:val="both"/>
        <w:ind w:firstLine="8"/>
        <w:spacing w:after="0" w:line="224" w:lineRule="exact"/>
        <w:tabs>
          <w:tab w:leader="none" w:pos="375"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payment of fees and expenses related to the Facility and the other transactions not in contravention of the Loan Documents. The Borrower will not directly or indirectly use the proceeds of the Advances, or lend, contribute or otherwise make available to any Subsidiary, joint venture partner or other Person such extensions of credit or proceeds, (A) to fund any activities or businesses of or with any Person, or in any country or territory, that, at the time of such funding, is, or whose government is, the subject </w:t>
      </w:r>
      <w:r>
        <w:rPr>
          <w:rFonts w:ascii="Times New Roman" w:cs="Times New Roman" w:eastAsia="Times New Roman" w:hAnsi="Times New Roman"/>
          <w:sz w:val="19"/>
          <w:szCs w:val="19"/>
          <w:b w:val="1"/>
          <w:bCs w:val="1"/>
          <w:u w:val="single" w:color="auto"/>
          <w:color w:val="0000FF"/>
        </w:rPr>
        <w:t>or target</w:t>
      </w:r>
      <w:r>
        <w:rPr>
          <w:rFonts w:ascii="Times New Roman" w:cs="Times New Roman" w:eastAsia="Times New Roman" w:hAnsi="Times New Roman"/>
          <w:sz w:val="19"/>
          <w:szCs w:val="19"/>
          <w:color w:val="auto"/>
        </w:rPr>
        <w:t xml:space="preserve"> of Sanctions, or (B) in any other manner that would result in a violation of Sanctions by any Person (including any Person participating in the Facility, whether as Administrative Agent, Lender, underwriter, advisor, investor, or otherwise) or any Anti</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Corruption Laws.</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010000"/>
        </w:rPr>
        <w:t>Section 2.15</w:t>
      </w:r>
      <w:r>
        <w:rPr>
          <w:rFonts w:ascii="Times New Roman" w:cs="Times New Roman" w:eastAsia="Times New Roman" w:hAnsi="Times New Roman"/>
          <w:sz w:val="19"/>
          <w:szCs w:val="19"/>
          <w:u w:val="single" w:color="auto"/>
          <w:color w:val="000000"/>
        </w:rPr>
        <w:t>Evidence of Debt</w:t>
      </w:r>
      <w:r>
        <w:rPr>
          <w:rFonts w:ascii="Times New Roman" w:cs="Times New Roman" w:eastAsia="Times New Roman" w:hAnsi="Times New Roman"/>
          <w:sz w:val="19"/>
          <w:szCs w:val="19"/>
          <w:color w:val="000000"/>
        </w:rPr>
        <w:t>.</w:t>
      </w:r>
    </w:p>
    <w:p>
      <w:pPr>
        <w:spacing w:after="0" w:line="34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46" w:name="page247"/>
    <w:bookmarkEnd w:id="246"/>
    <w:p>
      <w:pPr>
        <w:jc w:val="both"/>
        <w:ind w:firstLine="1505"/>
        <w:spacing w:after="0"/>
        <w:tabs>
          <w:tab w:leader="none" w:pos="2036"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shall maintain in accordance with its usual practice an account or accounts evidencing the indebtedness of the Borrower to such Lender resulting from each Advance owing to such Lender from time to time, including the amounts of principal and interest payable and paid to such Lender from time to time hereunder. The Borrower agrees that upon notice by any Lender to the Borrower (with a copy of such notice to the Administrative Agent) to the effect that a promissory note or other evidence of indebtedness is required or appropriate in order for such Lender to evidence (whether for purposes of pledge, enforcement or otherwise) the Advances owing to, or to be made by, such Lender, the Borrower shall promptly execute and deliver to such Lender, with a copy to the Administrative Agent, a Note, in substantially the form of Exhibit A hereto, payable to the order of such Lender in a principal amount equal to the Commitment of such Lender. All references to Notes in the Loan Documents shall mean Notes, if any, to the extent issued hereunder. To the extent no Note has been issued to a Lender, this Agreement shall be deemed to comprise conclusive evidence for all purposes of the indebtedness resulting from the Advances and extensions of credit hereunder.</w:t>
      </w:r>
    </w:p>
    <w:p>
      <w:pPr>
        <w:spacing w:after="0" w:line="193" w:lineRule="exact"/>
        <w:rPr>
          <w:rFonts w:ascii="Times New Roman" w:cs="Times New Roman" w:eastAsia="Times New Roman" w:hAnsi="Times New Roman"/>
          <w:sz w:val="19"/>
          <w:szCs w:val="19"/>
          <w:color w:val="auto"/>
        </w:rPr>
      </w:pPr>
    </w:p>
    <w:p>
      <w:pPr>
        <w:jc w:val="both"/>
        <w:ind w:firstLine="1505"/>
        <w:spacing w:after="0" w:line="242" w:lineRule="auto"/>
        <w:tabs>
          <w:tab w:leader="none" w:pos="2036"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Register maintained by the Administrative Agent pursuant to Section 9.07(d) shall include a control account, and a subsidiary account for each Lender, in which accounts (taken together) shall be recorded (i) the date and amount of each Borrowing made hereunder, the Type of Advances comprising such Borrowing and, if appropriate, the Interest Period applicable thereto, (ii) the terms of each Assignment and Acceptance delivered to and accepted by it, (iii) the amount of any principal or interest due and payable or to become due and payable from the Borrower to each Lender hereunder, and (iv) the amount of any sum received by the Administrative Agent from the Borrower hereunder and each Lender’s share thereof.</w:t>
      </w:r>
    </w:p>
    <w:p>
      <w:pPr>
        <w:spacing w:after="0" w:line="190" w:lineRule="exact"/>
        <w:rPr>
          <w:rFonts w:ascii="Times New Roman" w:cs="Times New Roman" w:eastAsia="Times New Roman" w:hAnsi="Times New Roman"/>
          <w:sz w:val="19"/>
          <w:szCs w:val="19"/>
          <w:color w:val="auto"/>
        </w:rPr>
      </w:pPr>
    </w:p>
    <w:p>
      <w:pPr>
        <w:jc w:val="both"/>
        <w:ind w:firstLine="1505"/>
        <w:spacing w:after="0" w:line="242" w:lineRule="auto"/>
        <w:tabs>
          <w:tab w:leader="none" w:pos="2036"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Entries made in good faith by the Administrative Agent in the Register pursuant to subsection (b) above, and by each Lender in its account or accounts pursuant to subsection (a) above, shall be </w:t>
      </w:r>
      <w:r>
        <w:rPr>
          <w:rFonts w:ascii="Times New Roman" w:cs="Times New Roman" w:eastAsia="Times New Roman" w:hAnsi="Times New Roman"/>
          <w:sz w:val="19"/>
          <w:szCs w:val="19"/>
          <w:i w:val="1"/>
          <w:iCs w:val="1"/>
          <w:color w:val="auto"/>
        </w:rPr>
        <w:t>prima facie</w:t>
      </w:r>
      <w:r>
        <w:rPr>
          <w:rFonts w:ascii="Times New Roman" w:cs="Times New Roman" w:eastAsia="Times New Roman" w:hAnsi="Times New Roman"/>
          <w:sz w:val="19"/>
          <w:szCs w:val="19"/>
          <w:color w:val="auto"/>
        </w:rPr>
        <w:t xml:space="preserve"> evidence of the amount of principal and interest due and payable or to become due and payable from the Borrower to, in the case of the Register, each Lender and, in the case of such account or accounts, such Lender, under this Agreement, absent manifest error;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failure of the Administrative Agent or such Lender to make an entry, or any finding that an entry is incorrect, in the Register or such account or accounts shall not limit or otherwise affect the obligations of the Borrower under this Agreement.</w:t>
      </w:r>
    </w:p>
    <w:p>
      <w:pPr>
        <w:spacing w:after="0" w:line="19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19"/>
          <w:szCs w:val="19"/>
          <w:color w:val="010000"/>
        </w:rPr>
        <w:t>Section 2.16</w:t>
      </w:r>
      <w:r>
        <w:rPr>
          <w:rFonts w:ascii="Times New Roman" w:cs="Times New Roman" w:eastAsia="Times New Roman" w:hAnsi="Times New Roman"/>
          <w:sz w:val="19"/>
          <w:szCs w:val="19"/>
          <w:u w:val="single" w:color="auto"/>
          <w:color w:val="000000"/>
        </w:rPr>
        <w:t>Extensions of the Maturity Date</w:t>
      </w:r>
      <w:r>
        <w:rPr>
          <w:rFonts w:ascii="Times New Roman" w:cs="Times New Roman" w:eastAsia="Times New Roman" w:hAnsi="Times New Roman"/>
          <w:sz w:val="19"/>
          <w:szCs w:val="19"/>
          <w:color w:val="000000"/>
        </w:rPr>
        <w:t>. The Borrower may request, by written notice to the Administrative Agent, (a) at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least 30 days but not more than 90 days prior to the Maturity Date, a twelve month extension of the Maturity Date with respect to the Commitments then outstanding and (b) thereafter, at least 30 days but not more than 90 days prior to the Maturity Date (as extended pursuant to clause (a) of this sentence) a single additional twelve month extension of the Maturity Date with respect to the Commitments then outstanding (each, an “</w:t>
      </w:r>
      <w:r>
        <w:rPr>
          <w:rFonts w:ascii="Times New Roman" w:cs="Times New Roman" w:eastAsia="Times New Roman" w:hAnsi="Times New Roman"/>
          <w:sz w:val="19"/>
          <w:szCs w:val="19"/>
          <w:b w:val="1"/>
          <w:bCs w:val="1"/>
          <w:i w:val="1"/>
          <w:iCs w:val="1"/>
          <w:color w:val="000000"/>
        </w:rPr>
        <w:t>Extension</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b w:val="1"/>
          <w:bCs w:val="1"/>
          <w:i w:val="1"/>
          <w:iCs w:val="1"/>
          <w:color w:val="000000"/>
        </w:rPr>
        <w:t>Request</w:t>
      </w:r>
      <w:r>
        <w:rPr>
          <w:rFonts w:ascii="Times New Roman" w:cs="Times New Roman" w:eastAsia="Times New Roman" w:hAnsi="Times New Roman"/>
          <w:sz w:val="19"/>
          <w:szCs w:val="19"/>
          <w:color w:val="000000"/>
        </w:rPr>
        <w:t>”). The Administrative Agent shall promptly notify each Lender of such Extension Request and the Maturity Date in effect at such time</w:t>
      </w:r>
      <w:r>
        <w:rPr>
          <w:rFonts w:ascii="Times New Roman" w:cs="Times New Roman" w:eastAsia="Times New Roman" w:hAnsi="Times New Roman"/>
          <w:sz w:val="19"/>
          <w:szCs w:val="19"/>
          <w:b w:val="1"/>
          <w:bCs w:val="1"/>
          <w:i w:val="1"/>
          <w:iCs w:val="1"/>
          <w:color w:val="000000"/>
        </w:rPr>
        <w:t xml:space="preserve"> </w:t>
      </w:r>
      <w:r>
        <w:rPr>
          <w:rFonts w:ascii="Times New Roman" w:cs="Times New Roman" w:eastAsia="Times New Roman" w:hAnsi="Times New Roman"/>
          <w:sz w:val="19"/>
          <w:szCs w:val="19"/>
          <w:color w:val="000000"/>
        </w:rPr>
        <w:t>shall, effective as of the applicable Extension Date (as defined below), be extended for an additional twelve month period, provided that, on such Extension Date the Administrative Agent shall have received (i) payment in full of the Extension Fee set forth in Section 2.08(d) and (ii) such certificates or other information as may be required pursuant to Section 3.02. “</w:t>
      </w:r>
      <w:r>
        <w:rPr>
          <w:rFonts w:ascii="Times New Roman" w:cs="Times New Roman" w:eastAsia="Times New Roman" w:hAnsi="Times New Roman"/>
          <w:sz w:val="19"/>
          <w:szCs w:val="19"/>
          <w:b w:val="1"/>
          <w:bCs w:val="1"/>
          <w:i w:val="1"/>
          <w:iCs w:val="1"/>
          <w:color w:val="000000"/>
        </w:rPr>
        <w:t>Extension Date</w:t>
      </w:r>
      <w:r>
        <w:rPr>
          <w:rFonts w:ascii="Times New Roman" w:cs="Times New Roman" w:eastAsia="Times New Roman" w:hAnsi="Times New Roman"/>
          <w:sz w:val="19"/>
          <w:szCs w:val="19"/>
          <w:color w:val="000000"/>
        </w:rPr>
        <w:t>” means, in the case of each extension option, the first date after the delivery by the Borrower of the related Extension Request that the conditions set forth in the immediately preceding sentence are satisfied. In the event that an extension is effected pursuant to this Section 2.16 (but subject to provisions of Sections 2.05, 2.06 and 6.01), the aggregate principal amount of all Advances shall be repaid in full ratably to the Lenders on the Maturity Date as so extended. As of the Extension Date, any and all references in this Agreement or any of the other Loan Documents to the “Maturity Date” shall refer to the Maturity Date as so extended.</w:t>
      </w:r>
    </w:p>
    <w:p>
      <w:pPr>
        <w:spacing w:after="0" w:line="19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010000"/>
        </w:rPr>
        <w:t>Section 2.17</w:t>
      </w:r>
      <w:r>
        <w:rPr>
          <w:rFonts w:ascii="Times New Roman" w:cs="Times New Roman" w:eastAsia="Times New Roman" w:hAnsi="Times New Roman"/>
          <w:sz w:val="19"/>
          <w:szCs w:val="19"/>
          <w:u w:val="single" w:color="auto"/>
          <w:color w:val="000000"/>
        </w:rPr>
        <w:t>Increase in the Aggregate Commitments</w:t>
      </w:r>
      <w:r>
        <w:rPr>
          <w:rFonts w:ascii="Times New Roman" w:cs="Times New Roman" w:eastAsia="Times New Roman" w:hAnsi="Times New Roman"/>
          <w:sz w:val="19"/>
          <w:szCs w:val="19"/>
          <w:color w:val="000000"/>
        </w:rPr>
        <w:t>.</w:t>
      </w:r>
    </w:p>
    <w:p>
      <w:pPr>
        <w:spacing w:after="0" w:line="214" w:lineRule="exact"/>
        <w:rPr>
          <w:sz w:val="20"/>
          <w:szCs w:val="20"/>
          <w:color w:val="auto"/>
        </w:rPr>
      </w:pPr>
    </w:p>
    <w:p>
      <w:pPr>
        <w:jc w:val="both"/>
        <w:ind w:firstLine="1505"/>
        <w:spacing w:after="0" w:line="246" w:lineRule="auto"/>
        <w:tabs>
          <w:tab w:leader="none" w:pos="2036"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may, at any time after termination of the Delayed Draw Period, by written notice to the Administrative Agent, request an increase in the aggregate amount of the Commitments by not less than $25,000,000 (each such proposed increase, a “</w:t>
      </w:r>
      <w:r>
        <w:rPr>
          <w:rFonts w:ascii="Times New Roman" w:cs="Times New Roman" w:eastAsia="Times New Roman" w:hAnsi="Times New Roman"/>
          <w:sz w:val="19"/>
          <w:szCs w:val="19"/>
          <w:b w:val="1"/>
          <w:bCs w:val="1"/>
          <w:i w:val="1"/>
          <w:iCs w:val="1"/>
          <w:color w:val="auto"/>
        </w:rPr>
        <w:t>Commitment Increase</w:t>
      </w:r>
      <w:r>
        <w:rPr>
          <w:rFonts w:ascii="Times New Roman" w:cs="Times New Roman" w:eastAsia="Times New Roman" w:hAnsi="Times New Roman"/>
          <w:sz w:val="19"/>
          <w:szCs w:val="19"/>
          <w:color w:val="auto"/>
        </w:rPr>
        <w:t>”) to be effective as of a date that is at least 90 days prior to the Maturity Date (the “</w:t>
      </w:r>
      <w:r>
        <w:rPr>
          <w:rFonts w:ascii="Times New Roman" w:cs="Times New Roman" w:eastAsia="Times New Roman" w:hAnsi="Times New Roman"/>
          <w:sz w:val="19"/>
          <w:szCs w:val="19"/>
          <w:b w:val="1"/>
          <w:bCs w:val="1"/>
          <w:i w:val="1"/>
          <w:iCs w:val="1"/>
          <w:color w:val="auto"/>
        </w:rPr>
        <w:t>Increase Date</w:t>
      </w:r>
      <w:r>
        <w:rPr>
          <w:rFonts w:ascii="Times New Roman" w:cs="Times New Roman" w:eastAsia="Times New Roman" w:hAnsi="Times New Roman"/>
          <w:sz w:val="19"/>
          <w:szCs w:val="19"/>
          <w:color w:val="auto"/>
        </w:rPr>
        <w:t xml:space="preserve">”) as specified in the related notice to the Administrative Agent;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 in no event shall the aggregate amount of the Facility at any</w:t>
      </w:r>
    </w:p>
    <w:p>
      <w:pPr>
        <w:spacing w:after="0" w:line="3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47" w:name="page248"/>
    <w:bookmarkEnd w:id="247"/>
    <w:p>
      <w:pPr>
        <w:spacing w:after="0" w:line="265" w:lineRule="auto"/>
        <w:rPr>
          <w:sz w:val="20"/>
          <w:szCs w:val="20"/>
          <w:color w:val="auto"/>
        </w:rPr>
      </w:pPr>
      <w:r>
        <w:rPr>
          <w:rFonts w:ascii="Times New Roman" w:cs="Times New Roman" w:eastAsia="Times New Roman" w:hAnsi="Times New Roman"/>
          <w:sz w:val="19"/>
          <w:szCs w:val="19"/>
          <w:color w:val="auto"/>
        </w:rPr>
        <w:t>time exceed $350,000,000 and (ii) on the date of any request by the Borrower for a Commitment Increase and on the related Increase Date, the applicable conditions set forth in Article III shall be satisfied.</w:t>
      </w:r>
    </w:p>
    <w:p>
      <w:pPr>
        <w:spacing w:after="0" w:line="166" w:lineRule="exact"/>
        <w:rPr>
          <w:sz w:val="20"/>
          <w:szCs w:val="20"/>
          <w:color w:val="auto"/>
        </w:rPr>
      </w:pPr>
    </w:p>
    <w:p>
      <w:pPr>
        <w:jc w:val="both"/>
        <w:ind w:firstLine="1505"/>
        <w:spacing w:after="0" w:line="239" w:lineRule="auto"/>
        <w:tabs>
          <w:tab w:leader="none" w:pos="2036"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promptly notify the Lenders and such other Eligible Assignees as are designated by the Borrower and are reasonably acceptable to the Administrative Agent of each request by the Borrower for a Commitment Increase, which notice shall include (i) the proposed amount of such Commitment Increase, (ii) the proposed Increase Date and (iii) the date by which Lenders and such other Eligible Assignees wishing to participate in the Commitment Increase must commit to an increase in the amount of their respective Commitments or to establish their Commitments, as applicable (the “</w:t>
      </w:r>
      <w:r>
        <w:rPr>
          <w:rFonts w:ascii="Times New Roman" w:cs="Times New Roman" w:eastAsia="Times New Roman" w:hAnsi="Times New Roman"/>
          <w:sz w:val="19"/>
          <w:szCs w:val="19"/>
          <w:b w:val="1"/>
          <w:bCs w:val="1"/>
          <w:i w:val="1"/>
          <w:iCs w:val="1"/>
          <w:color w:val="auto"/>
        </w:rPr>
        <w:t>Commitment Date</w:t>
      </w:r>
      <w:r>
        <w:rPr>
          <w:rFonts w:ascii="Times New Roman" w:cs="Times New Roman" w:eastAsia="Times New Roman" w:hAnsi="Times New Roman"/>
          <w:sz w:val="19"/>
          <w:szCs w:val="19"/>
          <w:color w:val="auto"/>
        </w:rPr>
        <w:t>”). Each Lender and other Eligible Assignee that is willing to participate in such requested Commitment Increase shall, in its sole discretion, give written notice to the Administrative Agent on or prior to the Commitment Date of the amount by which it is willing to increase or establish, as applicable, its Commitment (each, a “</w:t>
      </w:r>
      <w:r>
        <w:rPr>
          <w:rFonts w:ascii="Times New Roman" w:cs="Times New Roman" w:eastAsia="Times New Roman" w:hAnsi="Times New Roman"/>
          <w:sz w:val="19"/>
          <w:szCs w:val="19"/>
          <w:b w:val="1"/>
          <w:bCs w:val="1"/>
          <w:i w:val="1"/>
          <w:iCs w:val="1"/>
          <w:color w:val="auto"/>
        </w:rPr>
        <w:t>Proposed Increased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Commitment</w:t>
      </w:r>
      <w:r>
        <w:rPr>
          <w:rFonts w:ascii="Times New Roman" w:cs="Times New Roman" w:eastAsia="Times New Roman" w:hAnsi="Times New Roman"/>
          <w:sz w:val="19"/>
          <w:szCs w:val="19"/>
          <w:color w:val="auto"/>
        </w:rPr>
        <w:t>”). If the Lenders and such other Eligible Assignees notify the Administrative Agent that they are willing to increase (or establish, as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applicable) the amount of their respective Commitments by an aggregate amount that exceeds the amount of the requested Commitment Increase, then the requested Commitment Increase shall be allocated to each Lender and such other Eligible Assignee willing to participate therein in an amount equal to such Commitment Increase multiplied by the ratio of each Lender’s and other Eligible Assignee’s Proposed Increased Commitment to the aggregate amount of all Proposed Increased Commitments. In no event, however, shall any Lender be required to participate in a Commitment Increase.</w:t>
      </w:r>
    </w:p>
    <w:p>
      <w:pPr>
        <w:spacing w:after="0" w:line="195" w:lineRule="exact"/>
        <w:rPr>
          <w:rFonts w:ascii="Times New Roman" w:cs="Times New Roman" w:eastAsia="Times New Roman" w:hAnsi="Times New Roman"/>
          <w:sz w:val="19"/>
          <w:szCs w:val="19"/>
          <w:color w:val="auto"/>
        </w:rPr>
      </w:pPr>
    </w:p>
    <w:p>
      <w:pPr>
        <w:jc w:val="both"/>
        <w:ind w:firstLine="1505"/>
        <w:spacing w:after="0" w:line="246" w:lineRule="auto"/>
        <w:tabs>
          <w:tab w:leader="none" w:pos="2036"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Promptly following each Commitment Date, the Administrative Agent shall notify the Borrower as to the amount, if any, by which the Lenders and other Eligible Assignees are willing to participate in the applicable requested Commitment Increase;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Commitment of each such other Eligible Assignee shall be in an amount not less than $5,000,000 or an integral multiple of $1,000,000 in excess thereof.</w:t>
      </w:r>
    </w:p>
    <w:p>
      <w:pPr>
        <w:spacing w:after="0" w:line="184" w:lineRule="exact"/>
        <w:rPr>
          <w:rFonts w:ascii="Times New Roman" w:cs="Times New Roman" w:eastAsia="Times New Roman" w:hAnsi="Times New Roman"/>
          <w:sz w:val="19"/>
          <w:szCs w:val="19"/>
          <w:color w:val="auto"/>
        </w:rPr>
      </w:pPr>
    </w:p>
    <w:p>
      <w:pPr>
        <w:jc w:val="both"/>
        <w:ind w:firstLine="1505"/>
        <w:spacing w:after="0" w:line="242" w:lineRule="auto"/>
        <w:tabs>
          <w:tab w:leader="none" w:pos="2036"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each Increase Date, (x) each Eligible Assignee other than a Lender that accepts an offer to participate in a requested Commitment Increase in accordance with Section 2.17(b) (an “</w:t>
      </w:r>
      <w:r>
        <w:rPr>
          <w:rFonts w:ascii="Times New Roman" w:cs="Times New Roman" w:eastAsia="Times New Roman" w:hAnsi="Times New Roman"/>
          <w:sz w:val="19"/>
          <w:szCs w:val="19"/>
          <w:b w:val="1"/>
          <w:bCs w:val="1"/>
          <w:i w:val="1"/>
          <w:iCs w:val="1"/>
          <w:color w:val="auto"/>
        </w:rPr>
        <w:t>Acceding Lender</w:t>
      </w:r>
      <w:r>
        <w:rPr>
          <w:rFonts w:ascii="Times New Roman" w:cs="Times New Roman" w:eastAsia="Times New Roman" w:hAnsi="Times New Roman"/>
          <w:sz w:val="19"/>
          <w:szCs w:val="19"/>
          <w:color w:val="auto"/>
        </w:rPr>
        <w:t>”) shall become a Lender party to this Agreement as of such Increase Date and such Acceding Lender’s Commitment shall be governed by the terms and provisions of this Agreement and (y) the applicable Commitment of each Lender that is willing to participate in such requested Commitment Increase (each, an “</w:t>
      </w:r>
      <w:r>
        <w:rPr>
          <w:rFonts w:ascii="Times New Roman" w:cs="Times New Roman" w:eastAsia="Times New Roman" w:hAnsi="Times New Roman"/>
          <w:sz w:val="19"/>
          <w:szCs w:val="19"/>
          <w:b w:val="1"/>
          <w:bCs w:val="1"/>
          <w:i w:val="1"/>
          <w:iCs w:val="1"/>
          <w:color w:val="auto"/>
        </w:rPr>
        <w:t>Increasing Lender</w:t>
      </w:r>
      <w:r>
        <w:rPr>
          <w:rFonts w:ascii="Times New Roman" w:cs="Times New Roman" w:eastAsia="Times New Roman" w:hAnsi="Times New Roman"/>
          <w:sz w:val="19"/>
          <w:szCs w:val="19"/>
          <w:color w:val="auto"/>
        </w:rPr>
        <w:t xml:space="preserve">”) shall be so increased by the amount of such Commitment Increase (or by the amount allocated to such Lender pursuant to the penultimate sentence of Section 2.17(b)) as of such Increase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Administrative Agent shall have received at or before 12:00 Noon (New York City time) on such Increase Date the following, each dated such date:</w:t>
      </w:r>
    </w:p>
    <w:p>
      <w:pPr>
        <w:spacing w:after="0" w:line="185" w:lineRule="exact"/>
        <w:rPr>
          <w:rFonts w:ascii="Times New Roman" w:cs="Times New Roman" w:eastAsia="Times New Roman" w:hAnsi="Times New Roman"/>
          <w:sz w:val="19"/>
          <w:szCs w:val="19"/>
          <w:color w:val="auto"/>
        </w:rPr>
      </w:pPr>
    </w:p>
    <w:p>
      <w:pPr>
        <w:jc w:val="both"/>
        <w:ind w:left="760" w:firstLine="1494"/>
        <w:spacing w:after="0" w:line="251" w:lineRule="auto"/>
        <w:tabs>
          <w:tab w:leader="none" w:pos="2557" w:val="left"/>
        </w:tabs>
        <w:numPr>
          <w:ilvl w:val="1"/>
          <w:numId w:val="21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 accession agreement from each Acceding Lender, if any, in form and substance satisfactory to the Borrower and the Administrative Agent (each, an “</w:t>
      </w:r>
      <w:r>
        <w:rPr>
          <w:rFonts w:ascii="Times New Roman" w:cs="Times New Roman" w:eastAsia="Times New Roman" w:hAnsi="Times New Roman"/>
          <w:sz w:val="19"/>
          <w:szCs w:val="19"/>
          <w:b w:val="1"/>
          <w:bCs w:val="1"/>
          <w:i w:val="1"/>
          <w:iCs w:val="1"/>
          <w:color w:val="auto"/>
        </w:rPr>
        <w:t>Accession Agreement</w:t>
      </w:r>
      <w:r>
        <w:rPr>
          <w:rFonts w:ascii="Times New Roman" w:cs="Times New Roman" w:eastAsia="Times New Roman" w:hAnsi="Times New Roman"/>
          <w:sz w:val="19"/>
          <w:szCs w:val="19"/>
          <w:color w:val="auto"/>
        </w:rPr>
        <w:t>”), duly executed by such Acceding Lender, the Administrative Agent and the Borrower;</w:t>
      </w:r>
    </w:p>
    <w:p>
      <w:pPr>
        <w:spacing w:after="0" w:line="178" w:lineRule="exact"/>
        <w:rPr>
          <w:rFonts w:ascii="Times New Roman" w:cs="Times New Roman" w:eastAsia="Times New Roman" w:hAnsi="Times New Roman"/>
          <w:sz w:val="19"/>
          <w:szCs w:val="19"/>
          <w:color w:val="010000"/>
        </w:rPr>
      </w:pPr>
    </w:p>
    <w:p>
      <w:pPr>
        <w:jc w:val="both"/>
        <w:ind w:left="760" w:firstLine="1494"/>
        <w:spacing w:after="0" w:line="251" w:lineRule="auto"/>
        <w:tabs>
          <w:tab w:leader="none" w:pos="2557" w:val="left"/>
        </w:tabs>
        <w:numPr>
          <w:ilvl w:val="1"/>
          <w:numId w:val="21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confirmation from each Increasing Lender of the increase in the amount of its Commitment in a writing satisfactory to the Borrower and the Administrative Agent, together with an amended Schedule I hereto as may be necessary for such Schedule I to be accurate and complete, certified as correct and complete by a Responsible Officer of the Borrower; and</w:t>
      </w:r>
    </w:p>
    <w:p>
      <w:pPr>
        <w:spacing w:after="0" w:line="178" w:lineRule="exact"/>
        <w:rPr>
          <w:rFonts w:ascii="Times New Roman" w:cs="Times New Roman" w:eastAsia="Times New Roman" w:hAnsi="Times New Roman"/>
          <w:sz w:val="19"/>
          <w:szCs w:val="19"/>
          <w:color w:val="010000"/>
        </w:rPr>
      </w:pPr>
    </w:p>
    <w:p>
      <w:pPr>
        <w:ind w:left="2560" w:hanging="306"/>
        <w:spacing w:after="0"/>
        <w:tabs>
          <w:tab w:leader="none" w:pos="2560" w:val="left"/>
        </w:tabs>
        <w:numPr>
          <w:ilvl w:val="1"/>
          <w:numId w:val="21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such certificates or other information as may be required pursuant to Section 3.02.</w:t>
      </w:r>
    </w:p>
    <w:p>
      <w:pPr>
        <w:spacing w:after="0" w:line="2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On each Increase Date, upon fulfillment of the conditions set forth in the immediately preceding sentence of this Section 2.17(d), the Administrative Agent shall notify the Lenders (including, without limitation, each Acceding Lender) and the Borrower, at or before 1:00 P.M. (New York City time), by posting such notice on an Approved Electronic Platform in accordance with Section 9.02(c), of the occurrence of the Commitment Increase to be</w:t>
      </w:r>
    </w:p>
    <w:p>
      <w:pPr>
        <w:spacing w:after="0" w:line="3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48" w:name="page249"/>
    <w:bookmarkEnd w:id="248"/>
    <w:p>
      <w:pPr>
        <w:spacing w:after="0" w:line="265" w:lineRule="auto"/>
        <w:rPr>
          <w:sz w:val="20"/>
          <w:szCs w:val="20"/>
          <w:color w:val="auto"/>
        </w:rPr>
      </w:pPr>
      <w:r>
        <w:rPr>
          <w:rFonts w:ascii="Times New Roman" w:cs="Times New Roman" w:eastAsia="Times New Roman" w:hAnsi="Times New Roman"/>
          <w:sz w:val="19"/>
          <w:szCs w:val="19"/>
          <w:color w:val="auto"/>
        </w:rPr>
        <w:t>effected on such Increase Date and shall record in the Register the relevant information with respect to each Increasing Lender and each Acceding Lender on such date.</w:t>
      </w:r>
    </w:p>
    <w:p>
      <w:pPr>
        <w:spacing w:after="0" w:line="1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010000"/>
        </w:rPr>
        <w:t>Section 2.18</w:t>
      </w:r>
      <w:r>
        <w:rPr>
          <w:rFonts w:ascii="Times New Roman" w:cs="Times New Roman" w:eastAsia="Times New Roman" w:hAnsi="Times New Roman"/>
          <w:sz w:val="19"/>
          <w:szCs w:val="19"/>
          <w:u w:val="single" w:color="auto"/>
          <w:color w:val="000000"/>
        </w:rPr>
        <w:t>Defaulting Lenders</w:t>
      </w:r>
      <w:r>
        <w:rPr>
          <w:rFonts w:ascii="Times New Roman" w:cs="Times New Roman" w:eastAsia="Times New Roman" w:hAnsi="Times New Roman"/>
          <w:sz w:val="19"/>
          <w:szCs w:val="19"/>
          <w:color w:val="000000"/>
        </w:rPr>
        <w:t>.</w:t>
      </w:r>
    </w:p>
    <w:p>
      <w:pPr>
        <w:spacing w:after="0" w:line="214" w:lineRule="exact"/>
        <w:rPr>
          <w:sz w:val="20"/>
          <w:szCs w:val="20"/>
          <w:color w:val="auto"/>
        </w:rPr>
      </w:pPr>
    </w:p>
    <w:p>
      <w:pPr>
        <w:jc w:val="both"/>
        <w:ind w:firstLine="1505"/>
        <w:spacing w:after="0" w:line="224" w:lineRule="exact"/>
        <w:tabs>
          <w:tab w:leader="none" w:pos="2036" w:val="left"/>
        </w:tabs>
        <w:numPr>
          <w:ilvl w:val="0"/>
          <w:numId w:val="21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a Lender becomes, and during the period it remains, a Defaulting Lender, any amount paid by the Borrower or otherwise received by the Administrative Agent for the account of a Defaulting Lender under this Agreement (whether on account of principal, interest, fees, indemnity payments or other amounts) will not be paid or distributed to such Defaulting Lender, but will instead be retained by the Administrative Agent in a segregated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interest bearing account until (subject to Section 2.18(d)) the termination of the Commitments and payment in full of all obligations of the Borrower hereunder and will be applied by the Administrative Agent, to the fullest extent permitted by law, to the making of payments from time to time in the following order of priority: </w:t>
      </w: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xml:space="preserve"> to the payment of any amounts owing by such Defaulting Lender to the Administrative Agent under this Agreement, </w:t>
      </w: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xml:space="preserve"> to the payment of post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default interest and then current interest due and payable to the Lenders hereunder other than Defaulting Lenders, ratably among them in accordance with the amounts of such interest then due and payable to them, </w:t>
      </w:r>
      <w:r>
        <w:rPr>
          <w:rFonts w:ascii="Times New Roman" w:cs="Times New Roman" w:eastAsia="Times New Roman" w:hAnsi="Times New Roman"/>
          <w:sz w:val="19"/>
          <w:szCs w:val="19"/>
          <w:i w:val="1"/>
          <w:iCs w:val="1"/>
          <w:color w:val="auto"/>
        </w:rPr>
        <w:t>third</w:t>
      </w:r>
      <w:r>
        <w:rPr>
          <w:rFonts w:ascii="Times New Roman" w:cs="Times New Roman" w:eastAsia="Times New Roman" w:hAnsi="Times New Roman"/>
          <w:sz w:val="19"/>
          <w:szCs w:val="19"/>
          <w:color w:val="auto"/>
        </w:rPr>
        <w:t xml:space="preserve"> to the payment of fees then due and payable to the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Defaulting Lenders hereunder, ratably among them in accordance with the amounts of such fees then due and payable to them, </w:t>
      </w: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xml:space="preserve"> to pay principal then due and payable to the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Defaulting Lenders hereunder ratably in accordance with the amounts thereof then due and payable to them, </w:t>
      </w:r>
      <w:r>
        <w:rPr>
          <w:rFonts w:ascii="Times New Roman" w:cs="Times New Roman" w:eastAsia="Times New Roman" w:hAnsi="Times New Roman"/>
          <w:sz w:val="19"/>
          <w:szCs w:val="19"/>
          <w:i w:val="1"/>
          <w:iCs w:val="1"/>
          <w:color w:val="auto"/>
        </w:rPr>
        <w:t>fifth</w:t>
      </w:r>
      <w:r>
        <w:rPr>
          <w:rFonts w:ascii="Times New Roman" w:cs="Times New Roman" w:eastAsia="Times New Roman" w:hAnsi="Times New Roman"/>
          <w:sz w:val="19"/>
          <w:szCs w:val="19"/>
          <w:color w:val="auto"/>
        </w:rPr>
        <w:t xml:space="preserve"> to the ratable payment of other amounts then due and payable to the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Defaulting Lenders, and </w:t>
      </w:r>
      <w:r>
        <w:rPr>
          <w:rFonts w:ascii="Times New Roman" w:cs="Times New Roman" w:eastAsia="Times New Roman" w:hAnsi="Times New Roman"/>
          <w:sz w:val="19"/>
          <w:szCs w:val="19"/>
          <w:i w:val="1"/>
          <w:iCs w:val="1"/>
          <w:color w:val="auto"/>
        </w:rPr>
        <w:t>sixth</w:t>
      </w:r>
      <w:r>
        <w:rPr>
          <w:rFonts w:ascii="Times New Roman" w:cs="Times New Roman" w:eastAsia="Times New Roman" w:hAnsi="Times New Roman"/>
          <w:sz w:val="19"/>
          <w:szCs w:val="19"/>
          <w:color w:val="auto"/>
        </w:rPr>
        <w:t xml:space="preserve"> after the termination of the Commitments and payment in full of all obligations of the Borrower hereunder, to pay amounts owing under this Agreement to such Defaulting Lender or as a court of competent jurisdiction may otherwise direct.</w:t>
      </w:r>
    </w:p>
    <w:p>
      <w:pPr>
        <w:spacing w:after="0" w:line="192" w:lineRule="exact"/>
        <w:rPr>
          <w:rFonts w:ascii="Times New Roman" w:cs="Times New Roman" w:eastAsia="Times New Roman" w:hAnsi="Times New Roman"/>
          <w:sz w:val="19"/>
          <w:szCs w:val="19"/>
          <w:color w:val="010000"/>
        </w:rPr>
      </w:pPr>
    </w:p>
    <w:p>
      <w:pPr>
        <w:jc w:val="both"/>
        <w:ind w:firstLine="1505"/>
        <w:spacing w:after="0" w:line="241" w:lineRule="auto"/>
        <w:tabs>
          <w:tab w:leader="none" w:pos="2036" w:val="left"/>
        </w:tabs>
        <w:numPr>
          <w:ilvl w:val="0"/>
          <w:numId w:val="21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Anything herein to the contrary notwithstanding, if at any time the Required Lenders determine that the Person serving as the Administrative Agent is (without taking into account any provision in the definition of “Defaulting Lender” requiring notice from the Administrative Agent or any other party) a Defaulting Lender pursuant to clause (iv) of the definition thereof, the Required Lenders (determined after giving effect to Section 9.01) may by notice to the Borrower and such Person remove such Person as the Administrative Agent and appoint a replacement Administrative Agent hereunder, which appointment shall,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Default or Event of Default shall have occurred and be continuing, be subject to the consent of the Borrower, such consent not to be unreasonably withheld, conditioned or delayed. Such removal will, to the fullest extent permitted by applicable law, be effective on the earlier of (i) the date a replacement Agent is appointed and (ii) the date 30 days after the giving of such notice by the Required Lenders (regardless of whether a replacement Agent has been appointed).</w:t>
      </w:r>
    </w:p>
    <w:p>
      <w:pPr>
        <w:spacing w:after="0" w:line="188" w:lineRule="exact"/>
        <w:rPr>
          <w:rFonts w:ascii="Times New Roman" w:cs="Times New Roman" w:eastAsia="Times New Roman" w:hAnsi="Times New Roman"/>
          <w:sz w:val="19"/>
          <w:szCs w:val="19"/>
          <w:color w:val="010000"/>
        </w:rPr>
      </w:pPr>
    </w:p>
    <w:p>
      <w:pPr>
        <w:jc w:val="both"/>
        <w:ind w:firstLine="1505"/>
        <w:spacing w:after="0" w:line="244" w:lineRule="auto"/>
        <w:tabs>
          <w:tab w:leader="none" w:pos="2036" w:val="left"/>
        </w:tabs>
        <w:numPr>
          <w:ilvl w:val="0"/>
          <w:numId w:val="21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Borrower may terminate the unused amount of the Commitment of a Defaulting Lender upon not less than 30 days’ prior notice to the Administrative Agent (which will promptly notify the Lenders thereof), and in such event the provisions of Section 2.18(a) will apply to all amounts thereafter paid by the Borrower for the account of such Defaulting Lender under this Agreement (whether on account of principal, interest, fees, indemnity or other amounts),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termination will not be deemed to be a waiver or release of any claim the Borrower, the Administrative Agent or any Lender may have against such Defaulting Lender.</w:t>
      </w:r>
    </w:p>
    <w:p>
      <w:pPr>
        <w:spacing w:after="0" w:line="185" w:lineRule="exact"/>
        <w:rPr>
          <w:rFonts w:ascii="Times New Roman" w:cs="Times New Roman" w:eastAsia="Times New Roman" w:hAnsi="Times New Roman"/>
          <w:sz w:val="19"/>
          <w:szCs w:val="19"/>
          <w:color w:val="010000"/>
        </w:rPr>
      </w:pPr>
    </w:p>
    <w:p>
      <w:pPr>
        <w:jc w:val="both"/>
        <w:ind w:firstLine="1505"/>
        <w:spacing w:after="0" w:line="226" w:lineRule="exact"/>
        <w:tabs>
          <w:tab w:leader="none" w:pos="2036" w:val="left"/>
        </w:tabs>
        <w:numPr>
          <w:ilvl w:val="0"/>
          <w:numId w:val="21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If the Borrower and the Administrative Agent agree in writing, in their discretion, that a Lender is no longer a Defaulting Lender or a Potential Defaulting Lender, as the case may be, the Administrative Agent will so notify the parties hereto, whereupon as of the effective date specified in such notice and subject to any conditions set forth therein (which may include arrangements with respect to any amounts then held in the segregated account referred to in Section 2.18(a)), such Lender will, to the extent applicable, purchase at par such portion of outstanding Advances of the other Lenders and/or make such other adjustments as the Administrative Agent may determine to be necessary to cause the Facility Exposure of the Lenders to be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in accordance with their respective Commitments, whereupon such Lender will cease to be a Defaulting Lender or Potential Defaulting Lender and will be a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Defaulting Lender (and such Facility</w:t>
      </w:r>
    </w:p>
    <w:p>
      <w:pPr>
        <w:spacing w:after="0" w:line="29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49" w:name="page250"/>
    <w:bookmarkEnd w:id="249"/>
    <w:p>
      <w:pPr>
        <w:jc w:val="both"/>
        <w:spacing w:after="0" w:line="225" w:lineRule="exact"/>
        <w:rPr>
          <w:sz w:val="20"/>
          <w:szCs w:val="20"/>
          <w:color w:val="auto"/>
        </w:rPr>
      </w:pPr>
      <w:r>
        <w:rPr>
          <w:rFonts w:ascii="Times New Roman" w:cs="Times New Roman" w:eastAsia="Times New Roman" w:hAnsi="Times New Roman"/>
          <w:sz w:val="19"/>
          <w:szCs w:val="19"/>
          <w:color w:val="auto"/>
        </w:rPr>
        <w:t xml:space="preserve">Exposure of each Lender will automatically be adjusted on a prospective basis to reflect the foregoing);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no adjustments will be made retroactively with respect to fees accrued or payments made by or on behalf of the Borrower while such Lender was a Defaulting Lender; and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except to the extent otherwise expressly agreed by the affected parties, no change hereunder from Defaulting Lender or Potential Defaulting Lender to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Defaulting Lender will constitute a waiver or release of any claim of any party hereunder arising from such Lender’s having been a Defaulting Lender or Potential Defaulting Lender.</w:t>
      </w:r>
    </w:p>
    <w:p>
      <w:pPr>
        <w:spacing w:after="0" w:line="189"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9"/>
          <w:szCs w:val="19"/>
          <w:color w:val="010000"/>
        </w:rPr>
        <w:t>Section 2.19</w:t>
      </w:r>
      <w:r>
        <w:rPr>
          <w:rFonts w:ascii="Times New Roman" w:cs="Times New Roman" w:eastAsia="Times New Roman" w:hAnsi="Times New Roman"/>
          <w:sz w:val="19"/>
          <w:szCs w:val="19"/>
          <w:u w:val="single" w:color="auto"/>
          <w:color w:val="000000"/>
        </w:rPr>
        <w:t>Replacement of Lenders</w:t>
      </w:r>
      <w:r>
        <w:rPr>
          <w:rFonts w:ascii="Times New Roman" w:cs="Times New Roman" w:eastAsia="Times New Roman" w:hAnsi="Times New Roman"/>
          <w:sz w:val="19"/>
          <w:szCs w:val="19"/>
          <w:color w:val="000000"/>
        </w:rPr>
        <w:t>. If any Lender requests compensation under Section 2.10, or if the Borrower is required to</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pay any additional amounts to any Lender or any Governmental Authority for the account of any Lender pursuant to Section 2.12 and, in each case, such Lender has declined or is unable to designate a different Applicable Lending Office, or if any Lender is a Defaulting Lender or a Non-Consenting Lender, then the Borrower may, at its sole expense and effort, upon notice to such Lender and the Administrative Agent, require such Lender (a “</w:t>
      </w:r>
      <w:r>
        <w:rPr>
          <w:rFonts w:ascii="Times New Roman" w:cs="Times New Roman" w:eastAsia="Times New Roman" w:hAnsi="Times New Roman"/>
          <w:sz w:val="19"/>
          <w:szCs w:val="19"/>
          <w:b w:val="1"/>
          <w:bCs w:val="1"/>
          <w:i w:val="1"/>
          <w:iCs w:val="1"/>
          <w:color w:val="000000"/>
        </w:rPr>
        <w:t>Departing Lender</w:t>
      </w:r>
      <w:r>
        <w:rPr>
          <w:rFonts w:ascii="Times New Roman" w:cs="Times New Roman" w:eastAsia="Times New Roman" w:hAnsi="Times New Roman"/>
          <w:sz w:val="19"/>
          <w:szCs w:val="19"/>
          <w:color w:val="000000"/>
        </w:rPr>
        <w:t xml:space="preserve">”) to assign and delegate, without recourse (in accordance with and subject to the restrictions contained in, and consents required by, Sections 9.01(b) and 9.07, as applicable, in each case except to the extent provided in this Section 2.19), all of its interests, rights (other than its existing rights to payments pursuant to Section 2.10 or Section 2.12) and obligations under this Agreement and the other Loan Documents to a Replacement Lender that shall assume such obligations (which may be another Lender, if a Lender accepts such assignment), </w:t>
      </w:r>
      <w:r>
        <w:rPr>
          <w:rFonts w:ascii="Times New Roman" w:cs="Times New Roman" w:eastAsia="Times New Roman" w:hAnsi="Times New Roman"/>
          <w:sz w:val="19"/>
          <w:szCs w:val="19"/>
          <w:i w:val="1"/>
          <w:iCs w:val="1"/>
          <w:color w:val="000000"/>
        </w:rPr>
        <w:t xml:space="preserve">provided </w:t>
      </w:r>
      <w:r>
        <w:rPr>
          <w:rFonts w:ascii="Times New Roman" w:cs="Times New Roman" w:eastAsia="Times New Roman" w:hAnsi="Times New Roman"/>
          <w:sz w:val="19"/>
          <w:szCs w:val="19"/>
          <w:color w:val="000000"/>
        </w:rPr>
        <w:t>that:</w:t>
      </w:r>
    </w:p>
    <w:p>
      <w:pPr>
        <w:spacing w:after="0" w:line="194" w:lineRule="exact"/>
        <w:rPr>
          <w:sz w:val="20"/>
          <w:szCs w:val="20"/>
          <w:color w:val="auto"/>
        </w:rPr>
      </w:pPr>
    </w:p>
    <w:p>
      <w:pPr>
        <w:ind w:left="2040" w:hanging="535"/>
        <w:spacing w:after="0"/>
        <w:tabs>
          <w:tab w:leader="none" w:pos="2040" w:val="left"/>
        </w:tabs>
        <w:numPr>
          <w:ilvl w:val="0"/>
          <w:numId w:val="21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shall have paid to the Administrative Agent the assignment fee (if any) specified in Section 9.07;</w:t>
      </w:r>
    </w:p>
    <w:p>
      <w:pPr>
        <w:spacing w:after="0" w:line="213" w:lineRule="exact"/>
        <w:rPr>
          <w:rFonts w:ascii="Times New Roman" w:cs="Times New Roman" w:eastAsia="Times New Roman" w:hAnsi="Times New Roman"/>
          <w:sz w:val="19"/>
          <w:szCs w:val="19"/>
          <w:color w:val="010000"/>
        </w:rPr>
      </w:pPr>
    </w:p>
    <w:p>
      <w:pPr>
        <w:jc w:val="both"/>
        <w:ind w:left="760" w:firstLine="745"/>
        <w:spacing w:after="0" w:line="246" w:lineRule="auto"/>
        <w:tabs>
          <w:tab w:leader="none" w:pos="2048" w:val="left"/>
        </w:tabs>
        <w:numPr>
          <w:ilvl w:val="0"/>
          <w:numId w:val="21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such Departing Lender shall have received payment of an amount equal to the outstanding principal of its Advances, accrued interest thereon, accrued fees and all other amounts payable to it hereunder and under the other Loan Documents from the applicable Replacement Lender (to the extent of such outstanding principal and accrued interest and fees) or the Borrower (in the case of all other amounts);</w:t>
      </w:r>
    </w:p>
    <w:p>
      <w:pPr>
        <w:spacing w:after="0" w:line="184" w:lineRule="exact"/>
        <w:rPr>
          <w:rFonts w:ascii="Times New Roman" w:cs="Times New Roman" w:eastAsia="Times New Roman" w:hAnsi="Times New Roman"/>
          <w:sz w:val="19"/>
          <w:szCs w:val="19"/>
          <w:color w:val="010000"/>
        </w:rPr>
      </w:pPr>
    </w:p>
    <w:p>
      <w:pPr>
        <w:ind w:left="760" w:firstLine="745"/>
        <w:spacing w:after="0" w:line="265" w:lineRule="auto"/>
        <w:tabs>
          <w:tab w:leader="none" w:pos="2048" w:val="left"/>
        </w:tabs>
        <w:numPr>
          <w:ilvl w:val="0"/>
          <w:numId w:val="21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the case of any such assignment resulting from a claim for compensation under Section 2.10 or payments required to be made pursuant to Section 2.12, such assignment will result in a reduction in such compensation or payments thereafter;</w:t>
      </w:r>
    </w:p>
    <w:p>
      <w:pPr>
        <w:spacing w:after="0" w:line="165" w:lineRule="exact"/>
        <w:rPr>
          <w:rFonts w:ascii="Times New Roman" w:cs="Times New Roman" w:eastAsia="Times New Roman" w:hAnsi="Times New Roman"/>
          <w:sz w:val="19"/>
          <w:szCs w:val="19"/>
          <w:color w:val="010000"/>
        </w:rPr>
      </w:pPr>
    </w:p>
    <w:p>
      <w:pPr>
        <w:ind w:left="2040" w:hanging="535"/>
        <w:spacing w:after="0"/>
        <w:tabs>
          <w:tab w:leader="none" w:pos="2040" w:val="left"/>
        </w:tabs>
        <w:numPr>
          <w:ilvl w:val="0"/>
          <w:numId w:val="21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such assignment does not conflict with applicable law; and</w:t>
      </w:r>
    </w:p>
    <w:p>
      <w:pPr>
        <w:spacing w:after="0" w:line="213" w:lineRule="exact"/>
        <w:rPr>
          <w:rFonts w:ascii="Times New Roman" w:cs="Times New Roman" w:eastAsia="Times New Roman" w:hAnsi="Times New Roman"/>
          <w:sz w:val="19"/>
          <w:szCs w:val="19"/>
          <w:color w:val="010000"/>
        </w:rPr>
      </w:pPr>
    </w:p>
    <w:p>
      <w:pPr>
        <w:ind w:left="760" w:firstLine="745"/>
        <w:spacing w:after="0" w:line="265" w:lineRule="auto"/>
        <w:tabs>
          <w:tab w:leader="none" w:pos="2048" w:val="left"/>
        </w:tabs>
        <w:numPr>
          <w:ilvl w:val="0"/>
          <w:numId w:val="21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the case of any assignment resulting from a Lender becoming a Non-Consenting Lender, the applicable Replacement Lender shall have consented to the applicable amendment, waiver or consent.</w:t>
      </w:r>
    </w:p>
    <w:p>
      <w:pPr>
        <w:spacing w:after="0" w:line="16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A Lender shall not be required to make any such assignment or delegation if, prior thereto, as a result of a waiver by such Lender or otherwise, the circumstances entitling the Borrower to require such assignment and delegation cease to apply. Each Departing Lender required to make an assignment pursuant to this Section 2.19 shall promptly execute and deliver an Assignment and Acceptance with the applicable Replacement Lender. If such Departing Lender does not execute and deliver to the Administrative Agent a duly completed Assignment and Acceptance and/or any other documentation necessary to reflect such replacement within a period of time deemed reasonable by the Administrative Agent after the later of (i) the date on which the Replacement Lender executes and delivers such Assignment and Acceptance and/or such other documentation and</w:t>
      </w:r>
    </w:p>
    <w:p>
      <w:pPr>
        <w:spacing w:after="0" w:line="5" w:lineRule="exact"/>
        <w:rPr>
          <w:sz w:val="20"/>
          <w:szCs w:val="20"/>
          <w:color w:val="auto"/>
        </w:rPr>
      </w:pPr>
    </w:p>
    <w:p>
      <w:pPr>
        <w:jc w:val="both"/>
        <w:ind w:firstLine="8"/>
        <w:spacing w:after="0" w:line="239" w:lineRule="auto"/>
        <w:tabs>
          <w:tab w:leader="none" w:pos="285"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on which the Departing Lender receives all payments described in clause (b) of this Section 2.19, then such Departing Lender shall be deemed to have executed and delivered such Assignment and Acceptance and/or such other documentation as of such date and the Borrower shall be entitled (but not obligated) to execute and deliver such Assignment and Acceptance and/or such other documentation on behalf of such Departing Lender.</w:t>
      </w:r>
    </w:p>
    <w:p>
      <w:pPr>
        <w:spacing w:after="0" w:line="3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250" w:name="page251"/>
    <w:bookmarkEnd w:id="250"/>
    <w:p>
      <w:pPr>
        <w:jc w:val="center"/>
        <w:spacing w:after="0"/>
        <w:rPr>
          <w:sz w:val="20"/>
          <w:szCs w:val="20"/>
          <w:color w:val="auto"/>
        </w:rPr>
      </w:pPr>
      <w:r>
        <w:rPr>
          <w:rFonts w:ascii="Times New Roman" w:cs="Times New Roman" w:eastAsia="Times New Roman" w:hAnsi="Times New Roman"/>
          <w:sz w:val="19"/>
          <w:szCs w:val="19"/>
          <w:b w:val="1"/>
          <w:bCs w:val="1"/>
          <w:color w:val="010000"/>
        </w:rPr>
        <w:t>ARTICLE III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CONDITIONS PRECEDENT TO CLOSING</w:t>
      </w:r>
    </w:p>
    <w:p>
      <w:pPr>
        <w:spacing w:after="0" w:line="218" w:lineRule="exact"/>
        <w:rPr>
          <w:sz w:val="20"/>
          <w:szCs w:val="20"/>
          <w:color w:val="auto"/>
        </w:rPr>
      </w:pPr>
    </w:p>
    <w:p>
      <w:pPr>
        <w:ind w:firstLine="1497"/>
        <w:spacing w:after="0" w:line="265" w:lineRule="auto"/>
        <w:rPr>
          <w:sz w:val="20"/>
          <w:szCs w:val="20"/>
          <w:color w:val="auto"/>
        </w:rPr>
      </w:pPr>
      <w:r>
        <w:rPr>
          <w:rFonts w:ascii="Times New Roman" w:cs="Times New Roman" w:eastAsia="Times New Roman" w:hAnsi="Times New Roman"/>
          <w:sz w:val="19"/>
          <w:szCs w:val="19"/>
          <w:color w:val="010000"/>
        </w:rPr>
        <w:t>Section 3.01</w:t>
      </w:r>
      <w:r>
        <w:rPr>
          <w:rFonts w:ascii="Times New Roman" w:cs="Times New Roman" w:eastAsia="Times New Roman" w:hAnsi="Times New Roman"/>
          <w:sz w:val="19"/>
          <w:szCs w:val="19"/>
          <w:u w:val="single" w:color="auto"/>
          <w:color w:val="000000"/>
        </w:rPr>
        <w:t>Conditions Precedent to Closing</w:t>
      </w:r>
      <w:r>
        <w:rPr>
          <w:rFonts w:ascii="Times New Roman" w:cs="Times New Roman" w:eastAsia="Times New Roman" w:hAnsi="Times New Roman"/>
          <w:sz w:val="19"/>
          <w:szCs w:val="19"/>
          <w:color w:val="000000"/>
        </w:rPr>
        <w:t>. The obligation of each Lender to make its Advances hereunder and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effectiveness of this Agreement is subject to the satisfaction of the following conditions precedent on or before the Closing Date:</w:t>
      </w:r>
    </w:p>
    <w:p>
      <w:pPr>
        <w:spacing w:after="0" w:line="166" w:lineRule="exact"/>
        <w:rPr>
          <w:sz w:val="20"/>
          <w:szCs w:val="20"/>
          <w:color w:val="auto"/>
        </w:rPr>
      </w:pPr>
    </w:p>
    <w:p>
      <w:pPr>
        <w:jc w:val="both"/>
        <w:ind w:left="760" w:firstLine="745"/>
        <w:spacing w:after="0" w:line="251" w:lineRule="auto"/>
        <w:tabs>
          <w:tab w:leader="none" w:pos="2048" w:val="left"/>
        </w:tabs>
        <w:numPr>
          <w:ilvl w:val="0"/>
          <w:numId w:val="21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Administrative Agent shall have received on or before the Closing Date the following, each dated such day (unless otherwise specified), in form and substance satisfactory to the Administrative Agent (unless otherwise specified) and (except for the Notes, as to which one original of each shall be sufficient) in sufficient copies for each Lender:</w:t>
      </w:r>
    </w:p>
    <w:p>
      <w:pPr>
        <w:spacing w:after="0" w:line="178" w:lineRule="exact"/>
        <w:rPr>
          <w:rFonts w:ascii="Times New Roman" w:cs="Times New Roman" w:eastAsia="Times New Roman" w:hAnsi="Times New Roman"/>
          <w:sz w:val="19"/>
          <w:szCs w:val="19"/>
          <w:color w:val="010000"/>
        </w:rPr>
      </w:pPr>
    </w:p>
    <w:p>
      <w:pPr>
        <w:ind w:left="2560" w:hanging="306"/>
        <w:spacing w:after="0"/>
        <w:tabs>
          <w:tab w:leader="none" w:pos="2560" w:val="left"/>
        </w:tabs>
        <w:numPr>
          <w:ilvl w:val="1"/>
          <w:numId w:val="21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Note duly executed by the Borrower and payable to the order of each Lender that has requested the same.</w:t>
      </w:r>
    </w:p>
    <w:p>
      <w:pPr>
        <w:spacing w:after="0" w:line="213" w:lineRule="exact"/>
        <w:rPr>
          <w:rFonts w:ascii="Times New Roman" w:cs="Times New Roman" w:eastAsia="Times New Roman" w:hAnsi="Times New Roman"/>
          <w:sz w:val="19"/>
          <w:szCs w:val="19"/>
          <w:color w:val="010000"/>
        </w:rPr>
      </w:pPr>
    </w:p>
    <w:p>
      <w:pPr>
        <w:jc w:val="both"/>
        <w:ind w:left="1500" w:firstLine="754"/>
        <w:spacing w:after="0" w:line="246" w:lineRule="auto"/>
        <w:tabs>
          <w:tab w:leader="none" w:pos="2548" w:val="left"/>
        </w:tabs>
        <w:numPr>
          <w:ilvl w:val="1"/>
          <w:numId w:val="21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Completed requests for information dated a recent date, including UCC, judgment, tax, litigation and bankruptcy searches with respect to each applicable Loan Party, and, in the case of UCC searches, listing all effective financing statements filed in the jurisdictions specified by the Administrative Agent that name any Loan Party as debtor, together with copies of such financing statements.</w:t>
      </w:r>
    </w:p>
    <w:p>
      <w:pPr>
        <w:spacing w:after="0" w:line="184" w:lineRule="exact"/>
        <w:rPr>
          <w:rFonts w:ascii="Times New Roman" w:cs="Times New Roman" w:eastAsia="Times New Roman" w:hAnsi="Times New Roman"/>
          <w:sz w:val="19"/>
          <w:szCs w:val="19"/>
          <w:color w:val="010000"/>
        </w:rPr>
      </w:pPr>
    </w:p>
    <w:p>
      <w:pPr>
        <w:ind w:left="2560" w:hanging="306"/>
        <w:spacing w:after="0"/>
        <w:tabs>
          <w:tab w:leader="none" w:pos="2560" w:val="left"/>
        </w:tabs>
        <w:numPr>
          <w:ilvl w:val="1"/>
          <w:numId w:val="21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This Agreement, duly executed by the Loan Parties and the other parties hereto.</w:t>
      </w:r>
    </w:p>
    <w:p>
      <w:pPr>
        <w:spacing w:after="0" w:line="213" w:lineRule="exact"/>
        <w:rPr>
          <w:rFonts w:ascii="Times New Roman" w:cs="Times New Roman" w:eastAsia="Times New Roman" w:hAnsi="Times New Roman"/>
          <w:sz w:val="19"/>
          <w:szCs w:val="19"/>
          <w:color w:val="010000"/>
        </w:rPr>
      </w:pPr>
    </w:p>
    <w:p>
      <w:pPr>
        <w:jc w:val="both"/>
        <w:ind w:left="1500" w:firstLine="754"/>
        <w:spacing w:after="0" w:line="244" w:lineRule="auto"/>
        <w:tabs>
          <w:tab w:leader="none" w:pos="2548" w:val="left"/>
        </w:tabs>
        <w:numPr>
          <w:ilvl w:val="1"/>
          <w:numId w:val="21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Certified copies of the resolutions of the Board of Directors of the Parent on its behalf and on behalf of each Loan Party for which it is the ultimate signatory approving the transactions contemplated by the Loan Documents and each Loan Document to which it or such Loan Party is or is to be a party, and of all documents evidencing other necessary corporate action and governmental and other third party approvals and consents, if any, with respect to the transactions under the Loan Documents and each Loan Document to which it or such Loan Party is or is to be a party.</w:t>
      </w:r>
    </w:p>
    <w:p>
      <w:pPr>
        <w:spacing w:after="0" w:line="185" w:lineRule="exact"/>
        <w:rPr>
          <w:rFonts w:ascii="Times New Roman" w:cs="Times New Roman" w:eastAsia="Times New Roman" w:hAnsi="Times New Roman"/>
          <w:sz w:val="19"/>
          <w:szCs w:val="19"/>
          <w:color w:val="010000"/>
        </w:rPr>
      </w:pPr>
    </w:p>
    <w:p>
      <w:pPr>
        <w:jc w:val="both"/>
        <w:ind w:left="1500" w:firstLine="754"/>
        <w:spacing w:after="0" w:line="239" w:lineRule="auto"/>
        <w:tabs>
          <w:tab w:leader="none" w:pos="2548" w:val="left"/>
        </w:tabs>
        <w:numPr>
          <w:ilvl w:val="1"/>
          <w:numId w:val="21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copy of a certificate of the Secretary of State (or equivalent authority) of the jurisdiction of incorporation, organization or formation of each Loan Party and of each general partner or managing member (if any) of each Loan Party, dated reasonably near the Closing Date, certifying, if and to the extent such certification is generally available for entities of the type of such Loan Party, (A) as to a true and correct copy of the charter, certificate of limited partnership, limited liability company agreement or other organizational document of such Loan Party, general partner or managing member, as the case may be, and each amendment thereto on file in such Secretary’s office, (B) that (1) such amendments are the only amendments to the charter, certificate of limited partnership, limited liability company agreement or other organizational document, as applicable, of such Loan Party, general partner or managing member, as the case may be, on file in such Secretary’s office, (2) such Loan Party, general partner or managing member, as the case may be, has paid all franchise taxes to the date of such certificate and (C) such Loan Party, general partner or managing member, as the case may be, is duly incorporated, organized or formed and in good standing or presently subsisting under the laws of the jurisdiction of its incorporation, organization or formation.</w:t>
      </w:r>
    </w:p>
    <w:p>
      <w:pPr>
        <w:spacing w:after="0" w:line="197" w:lineRule="exact"/>
        <w:rPr>
          <w:rFonts w:ascii="Times New Roman" w:cs="Times New Roman" w:eastAsia="Times New Roman" w:hAnsi="Times New Roman"/>
          <w:sz w:val="19"/>
          <w:szCs w:val="19"/>
          <w:color w:val="010000"/>
        </w:rPr>
      </w:pPr>
    </w:p>
    <w:p>
      <w:pPr>
        <w:jc w:val="both"/>
        <w:ind w:left="1500" w:firstLine="754"/>
        <w:spacing w:after="0" w:line="272" w:lineRule="auto"/>
        <w:tabs>
          <w:tab w:leader="none" w:pos="2548" w:val="left"/>
        </w:tabs>
        <w:numPr>
          <w:ilvl w:val="1"/>
          <w:numId w:val="2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copy of a certificate of the Secretary of State (or equivalent authority) of each jurisdiction in which any Loan Party owns or leases property or in which the conduct of its business requires it to qualify or be licensed as a foreign corporation except where the failure to so qualify or be licensed could not reasonably be expected to result in a Material Adverse</w:t>
      </w: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251" w:name="page252"/>
    <w:bookmarkEnd w:id="251"/>
    <w:p>
      <w:pPr>
        <w:jc w:val="both"/>
        <w:ind w:left="380"/>
        <w:spacing w:after="0" w:line="251" w:lineRule="auto"/>
        <w:rPr>
          <w:sz w:val="20"/>
          <w:szCs w:val="20"/>
          <w:color w:val="auto"/>
        </w:rPr>
      </w:pPr>
      <w:r>
        <w:rPr>
          <w:rFonts w:ascii="Times New Roman" w:cs="Times New Roman" w:eastAsia="Times New Roman" w:hAnsi="Times New Roman"/>
          <w:sz w:val="19"/>
          <w:szCs w:val="19"/>
          <w:color w:val="auto"/>
        </w:rPr>
        <w:t>Effect, dated reasonably near (but prior to) the Closing Date, stating that such Loan Party is duly qualified and in good standing as a foreign corporation, limited partnership or limited liability company in such State and has, if applicable, filed all annual reports required to be filed to the date of such certificate.</w:t>
      </w:r>
    </w:p>
    <w:p>
      <w:pPr>
        <w:spacing w:after="0" w:line="179" w:lineRule="exact"/>
        <w:rPr>
          <w:sz w:val="20"/>
          <w:szCs w:val="20"/>
          <w:color w:val="auto"/>
        </w:rPr>
      </w:pPr>
    </w:p>
    <w:p>
      <w:pPr>
        <w:jc w:val="both"/>
        <w:ind w:left="380" w:firstLine="749"/>
        <w:spacing w:after="0" w:line="258" w:lineRule="auto"/>
        <w:rPr>
          <w:sz w:val="20"/>
          <w:szCs w:val="20"/>
          <w:color w:val="auto"/>
        </w:rPr>
      </w:pPr>
      <w:r>
        <w:rPr>
          <w:rFonts w:ascii="Times New Roman" w:cs="Times New Roman" w:eastAsia="Times New Roman" w:hAnsi="Times New Roman"/>
          <w:sz w:val="18"/>
          <w:szCs w:val="18"/>
          <w:color w:val="010000"/>
        </w:rPr>
        <w:t>(vii)</w:t>
      </w:r>
      <w:r>
        <w:rPr>
          <w:rFonts w:ascii="Times New Roman" w:cs="Times New Roman" w:eastAsia="Times New Roman" w:hAnsi="Times New Roman"/>
          <w:sz w:val="18"/>
          <w:szCs w:val="18"/>
          <w:color w:val="000000"/>
        </w:rPr>
        <w:t>A certificate of each Loan Party and of each general partner or managing member (if any) of each Loan Party,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signed on behalf of such Loan Party, general partner or managing member, as applicable, by its Secretary, Assistant Secretary or Responsible Officer (or those of its general partner or managing member, if applicable) dated the Closing Date, certifying as to</w:t>
      </w:r>
    </w:p>
    <w:p>
      <w:pPr>
        <w:jc w:val="both"/>
        <w:ind w:left="380" w:firstLine="5"/>
        <w:spacing w:after="0" w:line="238" w:lineRule="auto"/>
        <w:tabs>
          <w:tab w:leader="none" w:pos="696"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absence of any amendments to the constitutive documents of such Loan Party, general partner or managing member, as applicable, since the date of the certificate referred to in Section 3.01(a)(v) (or including a copy of such amendment), (B) a true and correct copy of the bylaws, operating agreement, partnership agreement or other governing document of such Loan Party, general partner or managing member, as applicable, as in effect on the date on which the resolutions referred to in Section 3.01(a)(iv) were adopted and on the Closing Date, (C) the due incorporation, organization or formation and good standing or valid existence of such Loan Party, general partner or managing member, as applicable, as a corporation, limited liability company or partnership organized under the laws of the jurisdiction of its incorporation, organization or formation and the absence of any proceeding for the dissolution or liquidation of such Loan Party, general partner or managing member, as applicable, (D) the truth of the representations and warranties contained in the Loan Documents in all material respects (unless qualified as to materiality or Material Adverse Effect, in which case such representations and warranties shall be true and correct in all respects) and (E) the absence of any event occurring and continuing that constitutes a Default.</w:t>
      </w:r>
    </w:p>
    <w:p>
      <w:pPr>
        <w:spacing w:after="0" w:line="189" w:lineRule="exact"/>
        <w:rPr>
          <w:sz w:val="20"/>
          <w:szCs w:val="20"/>
          <w:color w:val="auto"/>
        </w:rPr>
      </w:pPr>
    </w:p>
    <w:p>
      <w:pPr>
        <w:jc w:val="both"/>
        <w:ind w:left="380" w:firstLine="749"/>
        <w:spacing w:after="0" w:line="244" w:lineRule="auto"/>
        <w:rPr>
          <w:sz w:val="20"/>
          <w:szCs w:val="20"/>
          <w:color w:val="auto"/>
        </w:rPr>
      </w:pPr>
      <w:r>
        <w:rPr>
          <w:rFonts w:ascii="Times New Roman" w:cs="Times New Roman" w:eastAsia="Times New Roman" w:hAnsi="Times New Roman"/>
          <w:sz w:val="19"/>
          <w:szCs w:val="19"/>
          <w:color w:val="010000"/>
        </w:rPr>
        <w:t>(viii)</w:t>
      </w:r>
      <w:r>
        <w:rPr>
          <w:rFonts w:ascii="Times New Roman" w:cs="Times New Roman" w:eastAsia="Times New Roman" w:hAnsi="Times New Roman"/>
          <w:sz w:val="19"/>
          <w:szCs w:val="19"/>
          <w:color w:val="000000"/>
        </w:rPr>
        <w:t>A certificate of the Secretary or an Assistant Secretary of each Loan Party (or Responsible Officer of the general</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partner or managing member of any Loan Party) and of each general partner or managing member (if any) of each Loan Party certifying the names and true signatures of the officers of such Loan Party, or of the general partner or managing member of such Loan Party, authorized to sign each Loan Document to which it is or is to be a party and the other documents to be delivered hereunder and thereunder.</w:t>
      </w:r>
    </w:p>
    <w:p>
      <w:pPr>
        <w:spacing w:after="0" w:line="185" w:lineRule="exact"/>
        <w:rPr>
          <w:sz w:val="20"/>
          <w:szCs w:val="20"/>
          <w:color w:val="auto"/>
        </w:rPr>
      </w:pPr>
    </w:p>
    <w:p>
      <w:pPr>
        <w:jc w:val="both"/>
        <w:ind w:left="380" w:firstLine="754"/>
        <w:spacing w:after="0" w:line="241" w:lineRule="auto"/>
        <w:tabs>
          <w:tab w:leader="none" w:pos="1428" w:val="left"/>
        </w:tabs>
        <w:numPr>
          <w:ilvl w:val="0"/>
          <w:numId w:val="21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Such financial, business and other information regarding each Loan Party and its Subsidiaries as the Lenders shall have reasonably requested, including, without limitation, information as to possible contingent liabilities, tax matters, environmental matters, obligations under Plans, Multiemployer Plans and Welfare Plans, collective bargaining agreements and other arrangements with employees, historical operating statements (if any), audited annual financial statements for the year ending December 31, 2015 of the Parent, interim financial statements dated the end of the most recent fiscal quarter for which financial statements are available (or, in the event the Lenders’ due diligence review reveals material changes since such financial statements, as of a later date within 45 days of the day of the Initial Borrowing) and financial projections for the Parent’s consolidated operations.</w:t>
      </w:r>
    </w:p>
    <w:p>
      <w:pPr>
        <w:spacing w:after="0" w:line="188" w:lineRule="exact"/>
        <w:rPr>
          <w:rFonts w:ascii="Times New Roman" w:cs="Times New Roman" w:eastAsia="Times New Roman" w:hAnsi="Times New Roman"/>
          <w:sz w:val="19"/>
          <w:szCs w:val="19"/>
          <w:color w:val="010000"/>
        </w:rPr>
      </w:pPr>
    </w:p>
    <w:p>
      <w:pPr>
        <w:ind w:left="1440" w:hanging="306"/>
        <w:spacing w:after="0"/>
        <w:tabs>
          <w:tab w:leader="none" w:pos="1440" w:val="left"/>
        </w:tabs>
        <w:numPr>
          <w:ilvl w:val="0"/>
          <w:numId w:val="21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Evidence that all insurance required to be maintained pursuant to the Loan Documents has been obtained and is in</w:t>
      </w:r>
    </w:p>
    <w:p>
      <w:pPr>
        <w:spacing w:after="0" w:line="17" w:lineRule="exact"/>
        <w:rPr>
          <w:rFonts w:ascii="Times New Roman" w:cs="Times New Roman" w:eastAsia="Times New Roman" w:hAnsi="Times New Roman"/>
          <w:sz w:val="19"/>
          <w:szCs w:val="19"/>
          <w:color w:val="010000"/>
        </w:rPr>
      </w:pPr>
    </w:p>
    <w:p>
      <w:pPr>
        <w:ind w:left="380"/>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effect.</w:t>
      </w:r>
    </w:p>
    <w:p>
      <w:pPr>
        <w:spacing w:after="0" w:line="193" w:lineRule="exact"/>
        <w:rPr>
          <w:rFonts w:ascii="Times New Roman" w:cs="Times New Roman" w:eastAsia="Times New Roman" w:hAnsi="Times New Roman"/>
          <w:sz w:val="19"/>
          <w:szCs w:val="19"/>
          <w:color w:val="010000"/>
        </w:rPr>
      </w:pPr>
    </w:p>
    <w:p>
      <w:pPr>
        <w:ind w:left="380" w:firstLine="754"/>
        <w:spacing w:after="0" w:line="265" w:lineRule="auto"/>
        <w:tabs>
          <w:tab w:leader="none" w:pos="1428" w:val="left"/>
        </w:tabs>
        <w:numPr>
          <w:ilvl w:val="0"/>
          <w:numId w:val="21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 opinion of Goodwin Procter LLP, counsel for the Loan Parties, in form and substance reasonably satisfactory to the Administrative Agent.</w:t>
      </w:r>
    </w:p>
    <w:p>
      <w:pPr>
        <w:spacing w:after="0" w:line="166" w:lineRule="exact"/>
        <w:rPr>
          <w:sz w:val="20"/>
          <w:szCs w:val="20"/>
          <w:color w:val="auto"/>
        </w:rPr>
      </w:pPr>
    </w:p>
    <w:p>
      <w:pPr>
        <w:jc w:val="both"/>
        <w:ind w:left="380" w:firstLine="749"/>
        <w:spacing w:after="0" w:line="251" w:lineRule="auto"/>
        <w:rPr>
          <w:sz w:val="20"/>
          <w:szCs w:val="20"/>
          <w:color w:val="auto"/>
        </w:rPr>
      </w:pPr>
      <w:r>
        <w:rPr>
          <w:rFonts w:ascii="Times New Roman" w:cs="Times New Roman" w:eastAsia="Times New Roman" w:hAnsi="Times New Roman"/>
          <w:sz w:val="19"/>
          <w:szCs w:val="19"/>
          <w:color w:val="010000"/>
        </w:rPr>
        <w:t>(xii)</w:t>
      </w:r>
      <w:r>
        <w:rPr>
          <w:rFonts w:ascii="Times New Roman" w:cs="Times New Roman" w:eastAsia="Times New Roman" w:hAnsi="Times New Roman"/>
          <w:sz w:val="19"/>
          <w:szCs w:val="19"/>
          <w:color w:val="000000"/>
        </w:rPr>
        <w:t>A certificate signed by a Responsible Officer of the Borrower, dated the Closing Date, stating that the Parent is in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compliance with the covenants contained in Section 5.04, together with supporting information in form reasonably satisfactory to the Administrative Agent showing the computations used in determining compliance with such</w:t>
      </w:r>
    </w:p>
    <w:p>
      <w:pPr>
        <w:spacing w:after="0" w:line="3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671195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252" w:name="page253"/>
    <w:bookmarkEnd w:id="252"/>
    <w:p>
      <w:pPr>
        <w:ind w:left="1500"/>
        <w:spacing w:after="0"/>
        <w:rPr>
          <w:sz w:val="20"/>
          <w:szCs w:val="20"/>
          <w:color w:val="auto"/>
        </w:rPr>
      </w:pPr>
      <w:r>
        <w:rPr>
          <w:rFonts w:ascii="Times New Roman" w:cs="Times New Roman" w:eastAsia="Times New Roman" w:hAnsi="Times New Roman"/>
          <w:sz w:val="19"/>
          <w:szCs w:val="19"/>
          <w:color w:val="auto"/>
        </w:rPr>
        <w:t xml:space="preserve">covenants (such computations to be made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with reference to the six month period ending June 30, 2016).</w:t>
      </w:r>
    </w:p>
    <w:p>
      <w:pPr>
        <w:spacing w:after="0" w:line="218" w:lineRule="exact"/>
        <w:rPr>
          <w:sz w:val="20"/>
          <w:szCs w:val="20"/>
          <w:color w:val="auto"/>
        </w:rPr>
      </w:pPr>
    </w:p>
    <w:p>
      <w:pPr>
        <w:ind w:left="760" w:firstLine="745"/>
        <w:spacing w:after="0" w:line="265" w:lineRule="auto"/>
        <w:tabs>
          <w:tab w:leader="none" w:pos="2048" w:val="left"/>
        </w:tabs>
        <w:numPr>
          <w:ilvl w:val="0"/>
          <w:numId w:val="21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Evidence that all Existing Debt, other than Surviving Debt, has been (or concurrently therewith is being) prepaid, redeemed or defeased in full or otherwise satisfied and extinguished.</w:t>
      </w:r>
    </w:p>
    <w:p>
      <w:pPr>
        <w:spacing w:after="0" w:line="165" w:lineRule="exact"/>
        <w:rPr>
          <w:rFonts w:ascii="Times New Roman" w:cs="Times New Roman" w:eastAsia="Times New Roman" w:hAnsi="Times New Roman"/>
          <w:sz w:val="19"/>
          <w:szCs w:val="19"/>
          <w:color w:val="010000"/>
        </w:rPr>
      </w:pPr>
    </w:p>
    <w:p>
      <w:pPr>
        <w:ind w:left="2040" w:hanging="535"/>
        <w:spacing w:after="0"/>
        <w:tabs>
          <w:tab w:leader="none" w:pos="2040" w:val="left"/>
        </w:tabs>
        <w:numPr>
          <w:ilvl w:val="0"/>
          <w:numId w:val="21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[Reserved].</w:t>
      </w:r>
    </w:p>
    <w:p>
      <w:pPr>
        <w:spacing w:after="0" w:line="213" w:lineRule="exact"/>
        <w:rPr>
          <w:rFonts w:ascii="Times New Roman" w:cs="Times New Roman" w:eastAsia="Times New Roman" w:hAnsi="Times New Roman"/>
          <w:sz w:val="19"/>
          <w:szCs w:val="19"/>
          <w:color w:val="010000"/>
        </w:rPr>
      </w:pPr>
    </w:p>
    <w:p>
      <w:pPr>
        <w:ind w:left="760" w:firstLine="745"/>
        <w:spacing w:after="0" w:line="265" w:lineRule="auto"/>
        <w:tabs>
          <w:tab w:leader="none" w:pos="2048" w:val="left"/>
        </w:tabs>
        <w:numPr>
          <w:ilvl w:val="0"/>
          <w:numId w:val="21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After giving effect to the transactions contemplated by the Loan Documents, there shall have occurred no Material Adverse Change since December 31, 2015.</w:t>
      </w:r>
    </w:p>
    <w:p>
      <w:pPr>
        <w:spacing w:after="0" w:line="165" w:lineRule="exact"/>
        <w:rPr>
          <w:rFonts w:ascii="Times New Roman" w:cs="Times New Roman" w:eastAsia="Times New Roman" w:hAnsi="Times New Roman"/>
          <w:sz w:val="19"/>
          <w:szCs w:val="19"/>
          <w:color w:val="010000"/>
        </w:rPr>
      </w:pPr>
    </w:p>
    <w:p>
      <w:pPr>
        <w:jc w:val="both"/>
        <w:ind w:left="760" w:firstLine="745"/>
        <w:spacing w:after="0" w:line="242" w:lineRule="auto"/>
        <w:tabs>
          <w:tab w:leader="none" w:pos="2048" w:val="left"/>
        </w:tabs>
        <w:numPr>
          <w:ilvl w:val="0"/>
          <w:numId w:val="21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There shall exist no action, investigation, litigation or proceeding affecting any Loan Party or any of its Subsidiaries pending or threatened before any court, governmental agency or arbitrator that (i) could reasonably be expected to result in a Material Adverse Effect other than the matters described on Schedule 4.01(f) hereto (the “</w:t>
      </w:r>
      <w:r>
        <w:rPr>
          <w:rFonts w:ascii="Times New Roman" w:cs="Times New Roman" w:eastAsia="Times New Roman" w:hAnsi="Times New Roman"/>
          <w:sz w:val="19"/>
          <w:szCs w:val="19"/>
          <w:b w:val="1"/>
          <w:bCs w:val="1"/>
          <w:i w:val="1"/>
          <w:iCs w:val="1"/>
          <w:color w:val="auto"/>
        </w:rPr>
        <w:t>Material Litigation</w:t>
      </w:r>
      <w:r>
        <w:rPr>
          <w:rFonts w:ascii="Times New Roman" w:cs="Times New Roman" w:eastAsia="Times New Roman" w:hAnsi="Times New Roman"/>
          <w:sz w:val="19"/>
          <w:szCs w:val="19"/>
          <w:color w:val="auto"/>
        </w:rPr>
        <w:t>”) or (ii) purports to affect the legality, validity or enforceability of any Loan Document or the consummation of the transactions contemplated thereby, and there shall have been no material adverse change in the status, or financial effect on any Loan Party or any of its Subsidiaries, of the Material Litigation from that described on Schedule 4.01(f) hereto.</w:t>
      </w:r>
    </w:p>
    <w:p>
      <w:pPr>
        <w:spacing w:after="0" w:line="190" w:lineRule="exact"/>
        <w:rPr>
          <w:rFonts w:ascii="Times New Roman" w:cs="Times New Roman" w:eastAsia="Times New Roman" w:hAnsi="Times New Roman"/>
          <w:sz w:val="19"/>
          <w:szCs w:val="19"/>
          <w:color w:val="010000"/>
        </w:rPr>
      </w:pPr>
    </w:p>
    <w:p>
      <w:pPr>
        <w:jc w:val="both"/>
        <w:ind w:left="760" w:firstLine="745"/>
        <w:spacing w:after="0" w:line="246" w:lineRule="auto"/>
        <w:tabs>
          <w:tab w:leader="none" w:pos="2048" w:val="left"/>
        </w:tabs>
        <w:numPr>
          <w:ilvl w:val="0"/>
          <w:numId w:val="21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All material governmental and third party consents and approvals necessary in connection with the transactions contemplated by the Loan Documents shall have been obtained (without the imposition of any conditions that are not acceptable to the Lenders) and shall remain in effect, and no law or regulation shall be applicable in the reasonable judgment of the Lenders that restrains, prevents or imposes materially adverse conditions upon the transactions contemplated by the Loan Documents.</w:t>
      </w:r>
    </w:p>
    <w:p>
      <w:pPr>
        <w:spacing w:after="0" w:line="184" w:lineRule="exact"/>
        <w:rPr>
          <w:rFonts w:ascii="Times New Roman" w:cs="Times New Roman" w:eastAsia="Times New Roman" w:hAnsi="Times New Roman"/>
          <w:sz w:val="19"/>
          <w:szCs w:val="19"/>
          <w:color w:val="010000"/>
        </w:rPr>
      </w:pPr>
    </w:p>
    <w:p>
      <w:pPr>
        <w:ind w:left="760" w:firstLine="745"/>
        <w:spacing w:after="0" w:line="252" w:lineRule="exact"/>
        <w:tabs>
          <w:tab w:leader="none" w:pos="2048" w:val="left"/>
        </w:tabs>
        <w:numPr>
          <w:ilvl w:val="0"/>
          <w:numId w:val="21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shall have paid all accrued fees of the Administrative Agent and the Lenders and all reasonable, out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pocket expenses of the Administrative Agent (including the reasonable fees and expenses of counsel to the Administrative Agent).</w:t>
      </w:r>
    </w:p>
    <w:p>
      <w:pPr>
        <w:spacing w:after="0" w:line="159"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9"/>
          <w:szCs w:val="19"/>
          <w:color w:val="010000"/>
        </w:rPr>
        <w:t>Section 3.02</w:t>
      </w:r>
      <w:r>
        <w:rPr>
          <w:rFonts w:ascii="Times New Roman" w:cs="Times New Roman" w:eastAsia="Times New Roman" w:hAnsi="Times New Roman"/>
          <w:sz w:val="19"/>
          <w:szCs w:val="19"/>
          <w:u w:val="single" w:color="auto"/>
          <w:color w:val="000000"/>
        </w:rPr>
        <w:t>Conditions Precedent to Each Borrowing, Extension and Increase</w:t>
      </w:r>
      <w:r>
        <w:rPr>
          <w:rFonts w:ascii="Times New Roman" w:cs="Times New Roman" w:eastAsia="Times New Roman" w:hAnsi="Times New Roman"/>
          <w:sz w:val="19"/>
          <w:szCs w:val="19"/>
          <w:color w:val="000000"/>
        </w:rPr>
        <w:t>. The obligation of each Lender to make an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Advance on the occasion of each Borrowing (including the Initial Borrowing) and the right of the Borrower to request an extension of the Maturity Date pursuant to Section 2.16 or a Commitment Increase pursuant to Section 2.17 shall be subject to the satisfaction of the conditions set forth in Section 3.01 (to the extent not previously satisfied pursuant to that Section) and such further conditions precedent that on the date of such Borrowing, Extension Date or increase (i) (A) the Administrative Agent shall have received for the account of such Lender a Notice of Borrowing, a notice requesting an extension of the Maturity Date or a notice requesting a Commitment Increase and (B) the following statements shall be true and the Administrative Agent shall have received for the account of such Lender (to the extent not previously included in an applicable Notice of Borrowing) a certificate signed by a Responsible Officer of the Borrower, dated the date of such Borrowing, Extension Date or increase, stating that:</w:t>
      </w:r>
    </w:p>
    <w:p>
      <w:pPr>
        <w:spacing w:after="0" w:line="194" w:lineRule="exact"/>
        <w:rPr>
          <w:sz w:val="20"/>
          <w:szCs w:val="20"/>
          <w:color w:val="auto"/>
        </w:rPr>
      </w:pPr>
    </w:p>
    <w:p>
      <w:pPr>
        <w:jc w:val="both"/>
        <w:ind w:left="760" w:firstLine="745"/>
        <w:spacing w:after="0" w:line="241" w:lineRule="auto"/>
        <w:tabs>
          <w:tab w:leader="none" w:pos="2048" w:val="left"/>
        </w:tabs>
        <w:numPr>
          <w:ilvl w:val="0"/>
          <w:numId w:val="21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representations and warranties contained in each Loan Document are true and correct on and as of such date in all material respects (unless (i) qualified as to materiality or Material Adverse Effect, in which case such representations and warranties shall be true and correct in all respects and/or (ii) to the extent that the same are no longer true and correct as a result of changes in facts and circumstances that do not constitute, or result from, a breach by the Borrower of any of its covenants and do not otherwise constitute or result in a Default or Event of Default) (and except to the extent any such representation or warranty is stated to relate solely to an earlier date, in which case such representation or warranty shall have been true and correct on and as of such earlier date, and except further to the extent any such representations and warranties that are no longer true and correct as a result of factual changes since the Closing Date that are permitted under this Agreement), before and</w:t>
      </w:r>
    </w:p>
    <w:p>
      <w:pPr>
        <w:spacing w:after="0" w:line="32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253" w:name="page254"/>
    <w:bookmarkEnd w:id="253"/>
    <w:p>
      <w:pPr>
        <w:jc w:val="both"/>
        <w:ind w:left="760"/>
        <w:spacing w:after="0" w:line="251" w:lineRule="auto"/>
        <w:rPr>
          <w:sz w:val="20"/>
          <w:szCs w:val="20"/>
          <w:color w:val="auto"/>
        </w:rPr>
      </w:pPr>
      <w:r>
        <w:rPr>
          <w:rFonts w:ascii="Times New Roman" w:cs="Times New Roman" w:eastAsia="Times New Roman" w:hAnsi="Times New Roman"/>
          <w:sz w:val="19"/>
          <w:szCs w:val="19"/>
          <w:color w:val="auto"/>
        </w:rPr>
        <w:t>after giving effect to (1) such Borrowing, extension or increase, and (2) in the case of any Borrowing, the application of the proceeds therefrom, as though made on and as of such date (except to the extent any such representation or warranty is stated to relate solely to an earlier date, in which case such representation or warranty shall have been true and correct on and as of such earlier date);</w:t>
      </w:r>
    </w:p>
    <w:p>
      <w:pPr>
        <w:spacing w:after="0" w:line="179" w:lineRule="exact"/>
        <w:rPr>
          <w:sz w:val="20"/>
          <w:szCs w:val="20"/>
          <w:color w:val="auto"/>
        </w:rPr>
      </w:pPr>
    </w:p>
    <w:p>
      <w:pPr>
        <w:ind w:left="760" w:firstLine="745"/>
        <w:spacing w:after="0" w:line="265" w:lineRule="auto"/>
        <w:tabs>
          <w:tab w:leader="none" w:pos="2048" w:val="left"/>
        </w:tabs>
        <w:numPr>
          <w:ilvl w:val="0"/>
          <w:numId w:val="22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 Default or Event of Default has occurred and is continuing, or would result from (1) such Borrowing, extension or increase or (2) in the case of any Borrowing, from the application of the proceeds therefrom; and</w:t>
      </w:r>
    </w:p>
    <w:p>
      <w:pPr>
        <w:spacing w:after="0" w:line="165" w:lineRule="exact"/>
        <w:rPr>
          <w:rFonts w:ascii="Times New Roman" w:cs="Times New Roman" w:eastAsia="Times New Roman" w:hAnsi="Times New Roman"/>
          <w:sz w:val="19"/>
          <w:szCs w:val="19"/>
          <w:color w:val="010000"/>
        </w:rPr>
      </w:pPr>
    </w:p>
    <w:p>
      <w:pPr>
        <w:jc w:val="both"/>
        <w:ind w:left="760" w:firstLine="745"/>
        <w:spacing w:after="0" w:line="251" w:lineRule="auto"/>
        <w:tabs>
          <w:tab w:leader="none" w:pos="2048" w:val="left"/>
        </w:tabs>
        <w:numPr>
          <w:ilvl w:val="0"/>
          <w:numId w:val="22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for each Borrowing, extension or increase, before and after giving effect to such Borrowing, extension or increase, the Parent shall be in compliance with the covenants contained in Section 5.04, together with supporting information in form reasonably satisfactory to the Administrative Agent showing the computations used in determining compliance with such covenants;</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and (ii) the Administrative Agent shall have received such other approvals, opinions or documents as any Lender through the Administrative Agent may reasonably request in order to confirm (A) the accuracy of the Loan Parties’ representations and warranties contained in the Loan Documents,</w:t>
      </w:r>
    </w:p>
    <w:p>
      <w:pPr>
        <w:jc w:val="both"/>
        <w:ind w:firstLine="8"/>
        <w:spacing w:after="0"/>
        <w:tabs>
          <w:tab w:leader="none" w:pos="303"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Parties’ timely compliance with the terms, covenants and agreements set forth in the Loan Documents, (C) the absence of any Default or Event of Default and (D) the rights and remedies of the Administrative Agent or any Lender or the ability of the Loan Parties to perform their Obligations under the Loan Documents.</w:t>
      </w:r>
    </w:p>
    <w:p>
      <w:pPr>
        <w:spacing w:after="0" w:line="189"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010000"/>
        </w:rPr>
        <w:t>Section 3.03</w:t>
      </w:r>
      <w:r>
        <w:rPr>
          <w:rFonts w:ascii="Times New Roman" w:cs="Times New Roman" w:eastAsia="Times New Roman" w:hAnsi="Times New Roman"/>
          <w:sz w:val="19"/>
          <w:szCs w:val="19"/>
          <w:u w:val="single" w:color="auto"/>
          <w:color w:val="000000"/>
        </w:rPr>
        <w:t>Determinations Under Sections 3.01 and 3.02</w:t>
      </w:r>
      <w:r>
        <w:rPr>
          <w:rFonts w:ascii="Times New Roman" w:cs="Times New Roman" w:eastAsia="Times New Roman" w:hAnsi="Times New Roman"/>
          <w:sz w:val="19"/>
          <w:szCs w:val="19"/>
          <w:color w:val="000000"/>
        </w:rPr>
        <w:t>. For purposes of determining compliance with the conditions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specified in Sections 3.01 and 3.02, each Lender shall be deemed to have consented to, approved or accepted or to be satisfied with each document or other matter required thereunder to be consented to or approved by or acceptable or satisfactory to the Lenders unless an officer of the Administrative Agent responsible for the transactions contemplated by the Loan Documents shall have received notice from such Lender prior to the Closing Date (in the case of Section 3.01) or the applicable Borrowing, Extension Date or increase (in the case of Section 3.02) specifying its objection thereto and, in the case of a Borrowing, such Lender shall not have made available to the Administrative Agent such Lender’s ratable portion of such Borrowing.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IV</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REPRESENTATIONS AND WARRANTIES</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010000"/>
        </w:rPr>
        <w:t>Section 4.01</w:t>
      </w:r>
      <w:r>
        <w:rPr>
          <w:rFonts w:ascii="Times New Roman" w:cs="Times New Roman" w:eastAsia="Times New Roman" w:hAnsi="Times New Roman"/>
          <w:sz w:val="19"/>
          <w:szCs w:val="19"/>
          <w:u w:val="single" w:color="auto"/>
          <w:color w:val="000000"/>
        </w:rPr>
        <w:t>Representations and Warranties of the Loan Parties</w:t>
      </w:r>
      <w:r>
        <w:rPr>
          <w:rFonts w:ascii="Times New Roman" w:cs="Times New Roman" w:eastAsia="Times New Roman" w:hAnsi="Times New Roman"/>
          <w:sz w:val="19"/>
          <w:szCs w:val="19"/>
          <w:color w:val="000000"/>
        </w:rPr>
        <w:t>. Each Loan Party represents and warrants as follows:</w:t>
      </w:r>
    </w:p>
    <w:p>
      <w:pPr>
        <w:spacing w:after="0" w:line="214" w:lineRule="exact"/>
        <w:rPr>
          <w:sz w:val="20"/>
          <w:szCs w:val="20"/>
          <w:color w:val="auto"/>
        </w:rPr>
      </w:pPr>
    </w:p>
    <w:p>
      <w:pPr>
        <w:jc w:val="both"/>
        <w:ind w:left="760" w:firstLine="745"/>
        <w:spacing w:after="0" w:line="222" w:lineRule="exact"/>
        <w:tabs>
          <w:tab w:leader="none" w:pos="2048" w:val="left"/>
        </w:tabs>
        <w:numPr>
          <w:ilvl w:val="0"/>
          <w:numId w:val="22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Organization and Powers; Qualifications and Good Standing</w:t>
      </w:r>
      <w:r>
        <w:rPr>
          <w:rFonts w:ascii="Times New Roman" w:cs="Times New Roman" w:eastAsia="Times New Roman" w:hAnsi="Times New Roman"/>
          <w:sz w:val="19"/>
          <w:szCs w:val="19"/>
          <w:color w:val="auto"/>
        </w:rPr>
        <w:t>. Each Loan Party and each of its Restricted Subsidiaries (i) is a corporation, limited liability company or partnership duly incorporated, organized or formed, validly existing and in good standing under the laws of the jurisdiction of its incorporation, organization or formation except, with respect to any Restricted Subsidiary that is not a Necessary Borrower Party, where the failure to do so could not reasonably be expected to result in a Material Adverse Effect, (ii) is duly qualified and in good standing as a foreign corporation, limited liability company or partnership in each other jurisdiction in which it owns or leases property or in which the conduct of its business requires it to so qualify or be licensed except where the failure to so qualify or be licensed could not reasonably be expected to result in a Material Adverse Effect and (iii) has all requisite corporate, limited liability company or partnership power and authority (including, without limitation, all governmental licenses, permits and other approvals) to own or lease and operate its properties and to carry on its business as now conducted and as proposed to be conducted except where the failure to do so could not reasonably be expected to result in a Material Adverse Effect. All of the outstanding Equity Interests in each Necessary Borrower Party and each Necessary Borrower Party’s Subsidiaries have been validly issued, are fully paid and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assessable. As of the Effective</w:t>
      </w:r>
    </w:p>
    <w:p>
      <w:pPr>
        <w:spacing w:after="0" w:line="3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54" w:name="page255"/>
    <w:bookmarkEnd w:id="254"/>
    <w:p>
      <w:pPr>
        <w:jc w:val="both"/>
        <w:ind w:right="20"/>
        <w:spacing w:after="0" w:line="246" w:lineRule="auto"/>
        <w:rPr>
          <w:sz w:val="20"/>
          <w:szCs w:val="20"/>
          <w:color w:val="auto"/>
        </w:rPr>
      </w:pPr>
      <w:r>
        <w:rPr>
          <w:rFonts w:ascii="Times New Roman" w:cs="Times New Roman" w:eastAsia="Times New Roman" w:hAnsi="Times New Roman"/>
          <w:sz w:val="19"/>
          <w:szCs w:val="19"/>
          <w:color w:val="auto"/>
        </w:rPr>
        <w:t>Date, the Parent directly owns not less than 59% of the limited partnership interests in the Borrower. The Parent directly owns all of the general partnership interests in the Borrower. All Equity Interests in the Borrower that are directly or indirectly owned by the Parent are owned free and clear of all Liens. From and after the Effective Date, the Parent qualifies as a REIT and is in compliance with all requirements and conditions imposed under the Internal Revenue Code to allow the Parent to maintain its status as a REIT.</w:t>
      </w:r>
    </w:p>
    <w:p>
      <w:pPr>
        <w:spacing w:after="0" w:line="184" w:lineRule="exact"/>
        <w:rPr>
          <w:sz w:val="20"/>
          <w:szCs w:val="20"/>
          <w:color w:val="auto"/>
        </w:rPr>
      </w:pPr>
    </w:p>
    <w:p>
      <w:pPr>
        <w:jc w:val="both"/>
        <w:ind w:firstLine="745"/>
        <w:spacing w:after="0" w:line="220" w:lineRule="exact"/>
        <w:tabs>
          <w:tab w:leader="none" w:pos="1288" w:val="left"/>
        </w:tabs>
        <w:numPr>
          <w:ilvl w:val="0"/>
          <w:numId w:val="22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Subsidiaries</w:t>
      </w:r>
      <w:r>
        <w:rPr>
          <w:rFonts w:ascii="Times New Roman" w:cs="Times New Roman" w:eastAsia="Times New Roman" w:hAnsi="Times New Roman"/>
          <w:sz w:val="19"/>
          <w:szCs w:val="19"/>
          <w:color w:val="auto"/>
        </w:rPr>
        <w:t>. Set forth on Schedule 4.01(b) hereto (as the same is supplemented or otherwise updated from time to time in accordance with the Loan Documents) is a complete and accurate list of all Subsidiaries of the Parent, showing as of the Closing Date, and as of each other date such Schedule 4.01(b) is supplemented or otherwise updated as and to the extent expressly required hereunder pursuant to Section 5.01(j)(iv) or Section 5.03(i), in each case as to each such Subsidiary, (i) the jurisdiction of its incorporation, organization or formation, (ii) and the address of the principal office of each such Subsidiary, (iii) the percentage of each class of its Equity Interests owned (directly or indirectly) by such Loan Party, (iv) an identification of which such Subsidiaries are Guarantors hereunder, an identification of which Subsidiaries are Restricted Subsidiaries and which are Unrestricted Subsidiaries and (v) an identification of which Unencumbered Assets (if any) are owned by each such Restricted Subsidiary. All of the outstanding Equity Interests in each Necessary Borrower Party and each Necessary Borrower Party’s Subsidiaries has been validly issued, are fully paid and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assessable and to the extent owned by such Loan Party or one or more of its Subsidiaries, are owned by such Loan Party or Subsidiaries free and clear of all Liens (other than Permitted Liens).</w:t>
      </w:r>
    </w:p>
    <w:p>
      <w:pPr>
        <w:spacing w:after="0" w:line="192" w:lineRule="exact"/>
        <w:rPr>
          <w:rFonts w:ascii="Times New Roman" w:cs="Times New Roman" w:eastAsia="Times New Roman" w:hAnsi="Times New Roman"/>
          <w:sz w:val="19"/>
          <w:szCs w:val="19"/>
          <w:color w:val="010000"/>
        </w:rPr>
      </w:pPr>
    </w:p>
    <w:p>
      <w:pPr>
        <w:jc w:val="both"/>
        <w:ind w:firstLine="745"/>
        <w:spacing w:after="0" w:line="239" w:lineRule="auto"/>
        <w:tabs>
          <w:tab w:leader="none" w:pos="1288" w:val="left"/>
        </w:tabs>
        <w:numPr>
          <w:ilvl w:val="0"/>
          <w:numId w:val="22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Due Authorization; No Conflict</w:t>
      </w:r>
      <w:r>
        <w:rPr>
          <w:rFonts w:ascii="Times New Roman" w:cs="Times New Roman" w:eastAsia="Times New Roman" w:hAnsi="Times New Roman"/>
          <w:sz w:val="19"/>
          <w:szCs w:val="19"/>
          <w:color w:val="auto"/>
        </w:rPr>
        <w:t>. The execution and delivery by each Loan Party of each Loan Document to which it is or is to be a party, and the performance of its obligations thereunder and the other transactions contemplated by the Loan Documents, are within the corporate, limited liability company or partnership powers of such Loan Party, general partner or managing member, have been duly authorized by all necessary corporate, limited liability company or partnership action, and do not (i) contravene the charter or bylaws, operating agreement, partnership agreement or other governing document of such Loan Party, general partner or managing member, (ii) violate any law, rule, regulation (including, without limitation, Regulation X of the Board of Governors of the Federal Reserve System), order, writ, judgment, injunction, decree, determination or award to the extent the violation of which could reasonably be expected to result in a Material Adverse Effect, (iii) conflict with or result in the breach of, or constitute a default to be made under, any Material Contract, loan agreement, indenture, mortgage, deed of trust, lease or other instrument binding on or affecting any Loan Party, any of its Subsidiaries or any of their properties, or any general partner or managing member of any Loan Party, except to the extent the same could not reasonably be expected to cause a Material Adverse Change or (iv) except for the Liens created under the Loan Documents, result in or require the creation or imposition of any Lien upon or with respect to any of the properties of any Loan Party or any of its Restricted Subsidiaries. No Loan Party or any of its Subsidiaries is in violation of any such law, rule, regulation, order, writ, judgment, injunction, decree, determination or award or in breach of any such contract, loan agreement, indenture, mortgage, deed of trust, lease or other instrument, the violation or breach of which could reasonably be expected to result in a Material Adverse Effect.</w:t>
      </w:r>
    </w:p>
    <w:p>
      <w:pPr>
        <w:spacing w:after="0" w:line="192" w:lineRule="exact"/>
        <w:rPr>
          <w:rFonts w:ascii="Times New Roman" w:cs="Times New Roman" w:eastAsia="Times New Roman" w:hAnsi="Times New Roman"/>
          <w:sz w:val="19"/>
          <w:szCs w:val="19"/>
          <w:color w:val="010000"/>
        </w:rPr>
      </w:pPr>
    </w:p>
    <w:p>
      <w:pPr>
        <w:jc w:val="both"/>
        <w:ind w:firstLine="745"/>
        <w:spacing w:after="0" w:line="251" w:lineRule="auto"/>
        <w:tabs>
          <w:tab w:leader="none" w:pos="1288" w:val="left"/>
        </w:tabs>
        <w:numPr>
          <w:ilvl w:val="0"/>
          <w:numId w:val="22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Authorizations and Consents</w:t>
      </w:r>
      <w:r>
        <w:rPr>
          <w:rFonts w:ascii="Times New Roman" w:cs="Times New Roman" w:eastAsia="Times New Roman" w:hAnsi="Times New Roman"/>
          <w:sz w:val="19"/>
          <w:szCs w:val="19"/>
          <w:color w:val="auto"/>
        </w:rPr>
        <w:t>. No material authorization or material approval or other material action by, and no material notice to or filing with, any Governmental Authority or regulatory body or any other third party is required for the due execution, delivery, recordation, filing or performance by any Loan Party of any Loan Document to which it is or is to be a party.</w:t>
      </w:r>
    </w:p>
    <w:p>
      <w:pPr>
        <w:spacing w:after="0" w:line="178" w:lineRule="exact"/>
        <w:rPr>
          <w:rFonts w:ascii="Times New Roman" w:cs="Times New Roman" w:eastAsia="Times New Roman" w:hAnsi="Times New Roman"/>
          <w:sz w:val="19"/>
          <w:szCs w:val="19"/>
          <w:color w:val="010000"/>
        </w:rPr>
      </w:pPr>
    </w:p>
    <w:p>
      <w:pPr>
        <w:jc w:val="both"/>
        <w:ind w:firstLine="745"/>
        <w:spacing w:after="0" w:line="246" w:lineRule="auto"/>
        <w:tabs>
          <w:tab w:leader="none" w:pos="1288" w:val="left"/>
        </w:tabs>
        <w:numPr>
          <w:ilvl w:val="0"/>
          <w:numId w:val="22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Binding Obligation</w:t>
      </w:r>
      <w:r>
        <w:rPr>
          <w:rFonts w:ascii="Times New Roman" w:cs="Times New Roman" w:eastAsia="Times New Roman" w:hAnsi="Times New Roman"/>
          <w:sz w:val="19"/>
          <w:szCs w:val="19"/>
          <w:color w:val="auto"/>
        </w:rPr>
        <w:t>. This Agreement has been, and each other Loan Document when delivered hereunder will have been, duly executed and delivered by each Loan Party and general partner or managing member (if any) of each Loan Party party thereto. This Agreement is, and each other Loan Document when delivered hereunder will be, the legal, valid and binding obligation of each Loan Party and general partner or managing member (if any) of each Loan Party party thereto, enforceable against</w:t>
      </w:r>
    </w:p>
    <w:p>
      <w:pPr>
        <w:spacing w:after="0" w:line="31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671195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255" w:name="page256"/>
    <w:bookmarkEnd w:id="255"/>
    <w:p>
      <w:pPr>
        <w:jc w:val="both"/>
        <w:spacing w:after="0" w:line="251" w:lineRule="auto"/>
        <w:rPr>
          <w:sz w:val="20"/>
          <w:szCs w:val="20"/>
          <w:color w:val="auto"/>
        </w:rPr>
      </w:pPr>
      <w:r>
        <w:rPr>
          <w:rFonts w:ascii="Times New Roman" w:cs="Times New Roman" w:eastAsia="Times New Roman" w:hAnsi="Times New Roman"/>
          <w:sz w:val="19"/>
          <w:szCs w:val="19"/>
          <w:color w:val="auto"/>
        </w:rPr>
        <w:t>such Loan Party, general partner or managing member, as the case may be, in accordance with its terms, except as such enforceability may be limited by bankruptcy, insolvency, reorganization, receivership, moratorium or other laws affecting creditors’ rights generally and by general principles of equity.</w:t>
      </w:r>
    </w:p>
    <w:p>
      <w:pPr>
        <w:spacing w:after="0" w:line="179" w:lineRule="exact"/>
        <w:rPr>
          <w:sz w:val="20"/>
          <w:szCs w:val="20"/>
          <w:color w:val="auto"/>
        </w:rPr>
      </w:pPr>
    </w:p>
    <w:p>
      <w:pPr>
        <w:jc w:val="both"/>
        <w:ind w:firstLine="745"/>
        <w:spacing w:after="0" w:line="244" w:lineRule="auto"/>
        <w:tabs>
          <w:tab w:leader="none" w:pos="1288" w:val="left"/>
        </w:tabs>
        <w:numPr>
          <w:ilvl w:val="0"/>
          <w:numId w:val="22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Litigation</w:t>
      </w:r>
      <w:r>
        <w:rPr>
          <w:rFonts w:ascii="Times New Roman" w:cs="Times New Roman" w:eastAsia="Times New Roman" w:hAnsi="Times New Roman"/>
          <w:sz w:val="19"/>
          <w:szCs w:val="19"/>
          <w:color w:val="auto"/>
        </w:rPr>
        <w:t>. There is no action, investigation, litigation or proceeding affecting any Loan Party or any of its Subsidiaries or any general partner or managing member (if any) of any Loan Party, including any Environmental Action, pending or, to any Loan Parties’ knowledge, threatened before any court, governmental agency or arbitrator that (i) could reasonably be expected to result in a Material Adverse Effect (other than the Material Litigation) or (ii) could reasonably be expected to affect the legality, validity or enforceability of any Loan Document.</w:t>
      </w:r>
    </w:p>
    <w:p>
      <w:pPr>
        <w:spacing w:after="0" w:line="185" w:lineRule="exact"/>
        <w:rPr>
          <w:rFonts w:ascii="Times New Roman" w:cs="Times New Roman" w:eastAsia="Times New Roman" w:hAnsi="Times New Roman"/>
          <w:sz w:val="19"/>
          <w:szCs w:val="19"/>
          <w:color w:val="010000"/>
        </w:rPr>
      </w:pPr>
    </w:p>
    <w:p>
      <w:pPr>
        <w:jc w:val="both"/>
        <w:ind w:firstLine="745"/>
        <w:spacing w:after="0" w:line="221" w:lineRule="exact"/>
        <w:tabs>
          <w:tab w:leader="none" w:pos="1288" w:val="left"/>
        </w:tabs>
        <w:numPr>
          <w:ilvl w:val="0"/>
          <w:numId w:val="22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Financial Condition</w:t>
      </w:r>
      <w:r>
        <w:rPr>
          <w:rFonts w:ascii="Times New Roman" w:cs="Times New Roman" w:eastAsia="Times New Roman" w:hAnsi="Times New Roman"/>
          <w:sz w:val="19"/>
          <w:szCs w:val="19"/>
          <w:color w:val="auto"/>
        </w:rPr>
        <w:t>. The Consolidated statement of assets, liabilities and capital of the Parent as at December 31, 2015 and the related Consolidated statement of operations and Consolidated statement of cash flows of the Parent for the Fiscal Year then ended, accompanied by unqualified opinions of PricewaterhouseCoopers LLP, independent public accountants, and the Consolidated assets, liabilities and capital of the Parent as at June 30, 2016, and the related Consolidated statement of operations and Consolidated statement of cash flows of the Parent for the six months then ended, copies of which have been furnished to each Lender, fairly present in all material respects, subject, in the case of such assets, liabilities and capital as at June 30, 2016, and such statement of operations and cash flows for the six months then ended, to year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end audit adjustments, the Consolidated financial condition of the Parent as at such dates and the Consolidated results of operations of the Parent for the periods ended on such dates, all in accordance with generally accepted accounting principles applied on a consistent basis. Since December 31, 2015 there has been no Material Adverse Change.</w:t>
      </w:r>
    </w:p>
    <w:p>
      <w:pPr>
        <w:spacing w:after="0" w:line="190" w:lineRule="exact"/>
        <w:rPr>
          <w:rFonts w:ascii="Times New Roman" w:cs="Times New Roman" w:eastAsia="Times New Roman" w:hAnsi="Times New Roman"/>
          <w:sz w:val="19"/>
          <w:szCs w:val="19"/>
          <w:color w:val="010000"/>
        </w:rPr>
      </w:pPr>
    </w:p>
    <w:p>
      <w:pPr>
        <w:jc w:val="both"/>
        <w:ind w:firstLine="745"/>
        <w:spacing w:after="0" w:line="242" w:lineRule="auto"/>
        <w:tabs>
          <w:tab w:leader="none" w:pos="1288" w:val="left"/>
        </w:tabs>
        <w:numPr>
          <w:ilvl w:val="0"/>
          <w:numId w:val="22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Forecasts</w:t>
      </w:r>
      <w:r>
        <w:rPr>
          <w:rFonts w:ascii="Times New Roman" w:cs="Times New Roman" w:eastAsia="Times New Roman" w:hAnsi="Times New Roman"/>
          <w:sz w:val="19"/>
          <w:szCs w:val="19"/>
          <w:color w:val="auto"/>
        </w:rPr>
        <w:t>. The Consolidated forecasted balance sheets, statements of income and statements of cash flows of the Parent and its Subsidiaries delivered to the Lenders pursuant to Section 3.01(a)(ix) or 5.03 were prepared in good faith on the basis of the assumptions stated therein, which assumptions were believed by the Parent to be reasonable at the time (it being understood and agreed that any such Projections and any other forward looking information are subject to uncertainties and contingencies, some of which are or may be beyond your control, that no assurance is given that any particular Projections will be realized, that actual results may differ and that such differences may be material, and that such assumptions may, in retrospect, be deemed to have been unreasonable when made).</w:t>
      </w:r>
    </w:p>
    <w:p>
      <w:pPr>
        <w:spacing w:after="0" w:line="190" w:lineRule="exact"/>
        <w:rPr>
          <w:rFonts w:ascii="Times New Roman" w:cs="Times New Roman" w:eastAsia="Times New Roman" w:hAnsi="Times New Roman"/>
          <w:sz w:val="19"/>
          <w:szCs w:val="19"/>
          <w:color w:val="010000"/>
        </w:rPr>
      </w:pPr>
    </w:p>
    <w:p>
      <w:pPr>
        <w:jc w:val="both"/>
        <w:ind w:firstLine="745"/>
        <w:spacing w:after="0" w:line="244" w:lineRule="auto"/>
        <w:tabs>
          <w:tab w:leader="none" w:pos="1288" w:val="left"/>
        </w:tabs>
        <w:numPr>
          <w:ilvl w:val="0"/>
          <w:numId w:val="22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Full Disclosure</w:t>
      </w:r>
      <w:r>
        <w:rPr>
          <w:rFonts w:ascii="Times New Roman" w:cs="Times New Roman" w:eastAsia="Times New Roman" w:hAnsi="Times New Roman"/>
          <w:sz w:val="19"/>
          <w:szCs w:val="19"/>
          <w:color w:val="auto"/>
        </w:rPr>
        <w:t>. None of the information, exhibit or report furnished by or on behalf of any Borrower Party to the Administrative Agent or any Lender in connection with the negotiation and syndication of the Loan Documents or pursuant to the terms of the Loan Documents (in each case, as modified or supplemented by other information so furnished), at the time so furnished and taken as a whole contained any material misstatement of fact or omitted to state a material fact necessary to make the statements made therein, in light of the circumstances under which they were made, not misleading.</w:t>
      </w:r>
    </w:p>
    <w:p>
      <w:pPr>
        <w:spacing w:after="0" w:line="185" w:lineRule="exact"/>
        <w:rPr>
          <w:rFonts w:ascii="Times New Roman" w:cs="Times New Roman" w:eastAsia="Times New Roman" w:hAnsi="Times New Roman"/>
          <w:sz w:val="19"/>
          <w:szCs w:val="19"/>
          <w:color w:val="010000"/>
        </w:rPr>
      </w:pPr>
    </w:p>
    <w:p>
      <w:pPr>
        <w:jc w:val="both"/>
        <w:ind w:right="20" w:firstLine="745"/>
        <w:spacing w:after="0" w:line="251" w:lineRule="auto"/>
        <w:tabs>
          <w:tab w:leader="none" w:pos="1288" w:val="left"/>
        </w:tabs>
        <w:numPr>
          <w:ilvl w:val="0"/>
          <w:numId w:val="22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Margin Regulations</w:t>
      </w:r>
      <w:r>
        <w:rPr>
          <w:rFonts w:ascii="Times New Roman" w:cs="Times New Roman" w:eastAsia="Times New Roman" w:hAnsi="Times New Roman"/>
          <w:sz w:val="19"/>
          <w:szCs w:val="19"/>
          <w:color w:val="auto"/>
        </w:rPr>
        <w:t>. No Loan Party is engaged in the business of extending credit for the purpose of purchasing or carrying Margin Stock, and no proceeds of any Advance will be used to purchase or carry any Margin Stock or to extend credit to others for the purpose of purchasing or carrying any Margin Stock.</w:t>
      </w:r>
    </w:p>
    <w:p>
      <w:pPr>
        <w:spacing w:after="0" w:line="178" w:lineRule="exact"/>
        <w:rPr>
          <w:rFonts w:ascii="Times New Roman" w:cs="Times New Roman" w:eastAsia="Times New Roman" w:hAnsi="Times New Roman"/>
          <w:sz w:val="19"/>
          <w:szCs w:val="19"/>
          <w:color w:val="010000"/>
        </w:rPr>
      </w:pPr>
    </w:p>
    <w:p>
      <w:pPr>
        <w:jc w:val="both"/>
        <w:ind w:firstLine="745"/>
        <w:spacing w:after="0" w:line="223" w:lineRule="exact"/>
        <w:tabs>
          <w:tab w:leader="none" w:pos="1288" w:val="left"/>
        </w:tabs>
        <w:numPr>
          <w:ilvl w:val="0"/>
          <w:numId w:val="22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Certain Governmental Regulations</w:t>
      </w:r>
      <w:r>
        <w:rPr>
          <w:rFonts w:ascii="Times New Roman" w:cs="Times New Roman" w:eastAsia="Times New Roman" w:hAnsi="Times New Roman"/>
          <w:sz w:val="19"/>
          <w:szCs w:val="19"/>
          <w:color w:val="auto"/>
        </w:rPr>
        <w:t>. Neither any Loan Party nor any of its Subsidiaries nor any general partner or managing member of any Loan Party, as applicable, is an “investment company”, or an “affiliated person” of, or “promoter” or “principal underwriter” for, an “investment company”, as such terms are defined in the Investment Company Act of 1940, as amended. Without limiting the generality of the foregoing, each Loan Party and each of its Subsidiaries and each general partner or managing member of any Loan Party, as applicable: (i) is primarily engaged, directly or through a wholly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owned </w:t>
      </w:r>
      <w:r>
        <w:rPr>
          <w:rFonts w:ascii="Times New Roman" w:cs="Times New Roman" w:eastAsia="Times New Roman" w:hAnsi="Times New Roman"/>
          <w:sz w:val="19"/>
          <w:szCs w:val="19"/>
          <w:color w:val="FF0000"/>
          <w:strike w:val="1"/>
        </w:rPr>
        <w:t>subsidiary or subsidiaries</w:t>
      </w:r>
      <w:r>
        <w:rPr>
          <w:rFonts w:ascii="Times New Roman" w:cs="Times New Roman" w:eastAsia="Times New Roman" w:hAnsi="Times New Roman"/>
          <w:sz w:val="19"/>
          <w:szCs w:val="19"/>
          <w:b w:val="1"/>
          <w:bCs w:val="1"/>
          <w:u w:val="single" w:color="auto"/>
          <w:color w:val="0000FF"/>
        </w:rPr>
        <w:t>Subsidiary 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0000FF"/>
        </w:rPr>
        <w:t>Subsidiaries</w:t>
      </w:r>
      <w:r>
        <w:rPr>
          <w:rFonts w:ascii="Times New Roman" w:cs="Times New Roman" w:eastAsia="Times New Roman" w:hAnsi="Times New Roman"/>
          <w:sz w:val="19"/>
          <w:szCs w:val="19"/>
          <w:color w:val="000000"/>
        </w:rPr>
        <w:t>, in a business or</w:t>
      </w:r>
    </w:p>
    <w:p>
      <w:pPr>
        <w:spacing w:after="0" w:line="32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671195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256" w:name="page257"/>
    <w:bookmarkEnd w:id="256"/>
    <w:p>
      <w:pPr>
        <w:ind w:left="760"/>
        <w:spacing w:after="0" w:line="251" w:lineRule="exact"/>
        <w:rPr>
          <w:sz w:val="20"/>
          <w:szCs w:val="20"/>
          <w:color w:val="auto"/>
        </w:rPr>
      </w:pPr>
      <w:r>
        <w:rPr>
          <w:rFonts w:ascii="Times New Roman" w:cs="Times New Roman" w:eastAsia="Times New Roman" w:hAnsi="Times New Roman"/>
          <w:sz w:val="19"/>
          <w:szCs w:val="19"/>
          <w:color w:val="auto"/>
        </w:rPr>
        <w:t>businesses other than that of (A) investing, reinvesting, owning, holding or trading in securities or (B) issuing face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amount certificates of the installment type; (ii) is not engaged in, does not propose to engage in and does not hold itself out as being engaged in the business of</w:t>
      </w:r>
    </w:p>
    <w:p>
      <w:pPr>
        <w:spacing w:after="0" w:line="1" w:lineRule="exact"/>
        <w:rPr>
          <w:sz w:val="20"/>
          <w:szCs w:val="20"/>
          <w:color w:val="auto"/>
        </w:rPr>
      </w:pPr>
    </w:p>
    <w:p>
      <w:pPr>
        <w:jc w:val="both"/>
        <w:ind w:left="760" w:hanging="3"/>
        <w:spacing w:after="0" w:line="225" w:lineRule="exact"/>
        <w:tabs>
          <w:tab w:leader="none" w:pos="1091"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reinvesting, owning, holding or trading in securities or (B) issuing face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amount certificates of the installment type; (iii) does not own or propose to acquire investment securities (as defined in the Investment Company Act of 1940, as amended) having a value exceeding forty percent (40%) of the value of such company’s total assets (exclusive of government securities and cash items) on an unconsolidated basis; (iv) has not in the past been engaged in the business of issuing face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amount certificates of the installment type; and</w:t>
      </w:r>
    </w:p>
    <w:p>
      <w:pPr>
        <w:spacing w:after="0" w:line="1" w:lineRule="exact"/>
        <w:rPr>
          <w:rFonts w:ascii="Times New Roman" w:cs="Times New Roman" w:eastAsia="Times New Roman" w:hAnsi="Times New Roman"/>
          <w:sz w:val="18"/>
          <w:szCs w:val="18"/>
          <w:color w:val="auto"/>
        </w:rPr>
      </w:pPr>
    </w:p>
    <w:p>
      <w:pPr>
        <w:ind w:left="760"/>
        <w:spacing w:after="0" w:line="21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(v) does not have any outstanding face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amount certificates of the installment type.</w:t>
      </w:r>
    </w:p>
    <w:p>
      <w:pPr>
        <w:spacing w:after="0" w:line="193" w:lineRule="exact"/>
        <w:rPr>
          <w:rFonts w:ascii="Times New Roman" w:cs="Times New Roman" w:eastAsia="Times New Roman" w:hAnsi="Times New Roman"/>
          <w:sz w:val="18"/>
          <w:szCs w:val="18"/>
          <w:color w:val="auto"/>
        </w:rPr>
      </w:pPr>
    </w:p>
    <w:p>
      <w:pPr>
        <w:jc w:val="both"/>
        <w:ind w:left="760" w:firstLine="745"/>
        <w:spacing w:after="0" w:line="246" w:lineRule="auto"/>
        <w:tabs>
          <w:tab w:leader="none" w:pos="2048" w:val="left"/>
        </w:tabs>
        <w:numPr>
          <w:ilvl w:val="1"/>
          <w:numId w:val="22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Materially Adverse Agreements</w:t>
      </w:r>
      <w:r>
        <w:rPr>
          <w:rFonts w:ascii="Times New Roman" w:cs="Times New Roman" w:eastAsia="Times New Roman" w:hAnsi="Times New Roman"/>
          <w:sz w:val="19"/>
          <w:szCs w:val="19"/>
          <w:color w:val="auto"/>
        </w:rPr>
        <w:t>. Neither any Loan Party nor any of its Subsidiaries is a party to any indenture, loan or credit agreement or any lease or other agreement or instrument or subject to any charter, corporate, partnership, membership or other governing restriction that could reasonably be expected to result in a Material Adverse Effect (absent a material default under a Material Contract).</w:t>
      </w:r>
    </w:p>
    <w:p>
      <w:pPr>
        <w:spacing w:after="0" w:line="184" w:lineRule="exact"/>
        <w:rPr>
          <w:rFonts w:ascii="Times New Roman" w:cs="Times New Roman" w:eastAsia="Times New Roman" w:hAnsi="Times New Roman"/>
          <w:sz w:val="19"/>
          <w:szCs w:val="19"/>
          <w:color w:val="010000"/>
        </w:rPr>
      </w:pPr>
    </w:p>
    <w:p>
      <w:pPr>
        <w:ind w:left="2040" w:hanging="535"/>
        <w:spacing w:after="0"/>
        <w:tabs>
          <w:tab w:leader="none" w:pos="2040" w:val="left"/>
        </w:tabs>
        <w:numPr>
          <w:ilvl w:val="1"/>
          <w:numId w:val="22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[Omitted]</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010000"/>
        </w:rPr>
      </w:pPr>
    </w:p>
    <w:p>
      <w:pPr>
        <w:ind w:left="2040" w:hanging="535"/>
        <w:spacing w:after="0"/>
        <w:tabs>
          <w:tab w:leader="none" w:pos="2040" w:val="left"/>
        </w:tabs>
        <w:numPr>
          <w:ilvl w:val="1"/>
          <w:numId w:val="22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[Omitted]</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010000"/>
        </w:rPr>
      </w:pPr>
    </w:p>
    <w:p>
      <w:pPr>
        <w:jc w:val="both"/>
        <w:ind w:left="760" w:firstLine="745"/>
        <w:spacing w:after="0" w:line="223" w:lineRule="exact"/>
        <w:tabs>
          <w:tab w:leader="none" w:pos="2048" w:val="left"/>
        </w:tabs>
        <w:numPr>
          <w:ilvl w:val="1"/>
          <w:numId w:val="22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Liens</w:t>
      </w:r>
      <w:r>
        <w:rPr>
          <w:rFonts w:ascii="Times New Roman" w:cs="Times New Roman" w:eastAsia="Times New Roman" w:hAnsi="Times New Roman"/>
          <w:sz w:val="19"/>
          <w:szCs w:val="19"/>
          <w:color w:val="auto"/>
        </w:rPr>
        <w:t>. Set forth on Schedule 4.01(o) hereto is a complete and accurate list of (i) all Liens on the property or assets of any Borrower Party securing Debt for borrowed money, and (ii) all Liens on the property or assets of any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Borrower Party Subsidiaries securing Debt for borrowed money; in each case showing as of the date hereof the lienholder thereof, the principal amount of the obligations secured thereby and the property or assets of such Borrower Party or such Subsidiary subject thereto,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easements and other real property restrictions, covenants and conditions of record (exclusive of Liens securing Debt for borrowed money) shall not be listed on Schedule 4.01(o).</w:t>
      </w:r>
    </w:p>
    <w:p>
      <w:pPr>
        <w:spacing w:after="0" w:line="192" w:lineRule="exact"/>
        <w:rPr>
          <w:rFonts w:ascii="Times New Roman" w:cs="Times New Roman" w:eastAsia="Times New Roman" w:hAnsi="Times New Roman"/>
          <w:sz w:val="19"/>
          <w:szCs w:val="19"/>
          <w:color w:val="010000"/>
        </w:rPr>
      </w:pPr>
    </w:p>
    <w:p>
      <w:pPr>
        <w:jc w:val="both"/>
        <w:ind w:left="760" w:firstLine="745"/>
        <w:spacing w:after="0" w:line="259" w:lineRule="auto"/>
        <w:tabs>
          <w:tab w:leader="none" w:pos="2048" w:val="left"/>
        </w:tabs>
        <w:numPr>
          <w:ilvl w:val="1"/>
          <w:numId w:val="22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color w:val="auto"/>
        </w:rPr>
        <w:t xml:space="preserve"> Set forth on Part I of Schedule 4.01(p) hereto (as the same is supplemented or otherwise updated from time to time in accordance with the Loan Documents) is a complete and accurate list of all Real Property owned in fee by any Loan Party or any of its Subsidiaries or subject to a Qualified Ground Lease, showing as of the Closing Date, and as of each other date such Schedule 4.01(p) is supplemented or otherwise updated as and to the extent expressly required hereunder pursuant to Section 5.01(j)(iv) or 5.03(i), the street address, state, and the record owner. As of the applicable date, each Necessary Borrower Party that owns any such Real Property has good, marketable and insurable fee simple title to such Real Property, free and clear of all Liens, other than Permitted Liens.</w:t>
      </w:r>
    </w:p>
    <w:p>
      <w:pPr>
        <w:spacing w:after="0" w:line="172" w:lineRule="exact"/>
        <w:rPr>
          <w:sz w:val="20"/>
          <w:szCs w:val="20"/>
          <w:color w:val="auto"/>
        </w:rPr>
      </w:pPr>
    </w:p>
    <w:p>
      <w:pPr>
        <w:ind w:right="180" w:firstLine="509"/>
        <w:spacing w:after="0" w:line="242" w:lineRule="auto"/>
        <w:rPr>
          <w:sz w:val="20"/>
          <w:szCs w:val="20"/>
          <w:color w:val="auto"/>
        </w:rPr>
      </w:pPr>
      <w:r>
        <w:rPr>
          <w:rFonts w:ascii="Times New Roman" w:cs="Times New Roman" w:eastAsia="Times New Roman" w:hAnsi="Times New Roman"/>
          <w:sz w:val="19"/>
          <w:szCs w:val="19"/>
          <w:color w:val="auto"/>
        </w:rPr>
        <w:t>Set forth on Part II of Schedule 4.01(p) hereto (as the same is supplemented or otherwise updated from time to time in accordance with the Loan Documents) is a complete and accurate list of all leases of Real Property under which any Loan Party or any of its Restricted Subsidiaries is the lessee, showing as of the Closing Date, and as of each other date such Schedule 4.01(p) is supplemented or otherwise updated as and to the extent expressly required hereunder pursuant to Section 5.01(j)(iv) or Section 5.03(i), the street address, state, lessor, lessee, expiration date and annual rental cost thereof. Each such lease is the legal, valid and binding obligation of the lessor thereof, enforceable in accordance with its terms except as could not, individually or in the aggregate, reasonably be expected to have a Material Adverse Effect.</w:t>
      </w:r>
    </w:p>
    <w:p>
      <w:pPr>
        <w:spacing w:after="0" w:line="190" w:lineRule="exact"/>
        <w:rPr>
          <w:sz w:val="20"/>
          <w:szCs w:val="20"/>
          <w:color w:val="auto"/>
        </w:rPr>
      </w:pPr>
    </w:p>
    <w:p>
      <w:pPr>
        <w:ind w:left="2560" w:hanging="306"/>
        <w:spacing w:after="0"/>
        <w:tabs>
          <w:tab w:leader="none" w:pos="2560" w:val="left"/>
        </w:tabs>
        <w:numPr>
          <w:ilvl w:val="1"/>
          <w:numId w:val="22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Unencumbered Asset owned by a Necessary Borrower Party satisfies all of the Unencumbered Asset</w:t>
      </w:r>
    </w:p>
    <w:p>
      <w:pPr>
        <w:spacing w:after="0" w:line="17" w:lineRule="exact"/>
        <w:rPr>
          <w:rFonts w:ascii="Times New Roman" w:cs="Times New Roman" w:eastAsia="Times New Roman" w:hAnsi="Times New Roman"/>
          <w:sz w:val="19"/>
          <w:szCs w:val="19"/>
          <w:color w:val="010000"/>
        </w:rPr>
      </w:pPr>
    </w:p>
    <w:p>
      <w:pPr>
        <w:ind w:left="1500"/>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Conditions.</w:t>
      </w:r>
    </w:p>
    <w:p>
      <w:pPr>
        <w:spacing w:after="0" w:line="193" w:lineRule="exact"/>
        <w:rPr>
          <w:rFonts w:ascii="Times New Roman" w:cs="Times New Roman" w:eastAsia="Times New Roman" w:hAnsi="Times New Roman"/>
          <w:sz w:val="19"/>
          <w:szCs w:val="19"/>
          <w:color w:val="010000"/>
        </w:rPr>
      </w:pPr>
    </w:p>
    <w:p>
      <w:pPr>
        <w:ind w:left="2040" w:hanging="535"/>
        <w:spacing w:after="0"/>
        <w:tabs>
          <w:tab w:leader="none" w:pos="2040" w:val="left"/>
        </w:tabs>
        <w:numPr>
          <w:ilvl w:val="0"/>
          <w:numId w:val="22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Environmental Matters</w:t>
      </w:r>
      <w:r>
        <w:rPr>
          <w:rFonts w:ascii="Times New Roman" w:cs="Times New Roman" w:eastAsia="Times New Roman" w:hAnsi="Times New Roman"/>
          <w:sz w:val="19"/>
          <w:szCs w:val="19"/>
          <w:color w:val="auto"/>
        </w:rPr>
        <w:t>.</w:t>
      </w:r>
    </w:p>
    <w:p>
      <w:pPr>
        <w:spacing w:after="0" w:line="34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257" w:name="page258"/>
    <w:bookmarkEnd w:id="257"/>
    <w:p>
      <w:pPr>
        <w:jc w:val="both"/>
        <w:ind w:firstLine="1494"/>
        <w:spacing w:after="0" w:line="222" w:lineRule="exact"/>
        <w:tabs>
          <w:tab w:leader="none" w:pos="1797" w:val="left"/>
        </w:tabs>
        <w:numPr>
          <w:ilvl w:val="1"/>
          <w:numId w:val="22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Except as otherwise set forth on Part I of Schedule 4.01(q) hereto or as could not reasonably be expected to have a Material Adverse Effect, the operations and properties of each Loan Party and each of its Subsidiaries comply in all material respects with all applicable Environmental Laws and Environmental Permits, all past material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compliance with such Environmental Laws and Environmental Permits has been resolved without ongoing material obligations or costs, and, to the knowledge of the Borrower, no circumstances exist that could be reasonably likely to (A) form the basis of an Environmental Action against any Loan Party or any of its Subsidiaries or any of their properties or (B) cause any such property to be subject to any restrictions on ownership, occupancy, use or transferability under any Environmental Law.</w:t>
      </w:r>
    </w:p>
    <w:p>
      <w:pPr>
        <w:spacing w:after="0" w:line="193" w:lineRule="exact"/>
        <w:rPr>
          <w:rFonts w:ascii="Times New Roman" w:cs="Times New Roman" w:eastAsia="Times New Roman" w:hAnsi="Times New Roman"/>
          <w:sz w:val="19"/>
          <w:szCs w:val="19"/>
          <w:color w:val="010000"/>
        </w:rPr>
      </w:pPr>
    </w:p>
    <w:p>
      <w:pPr>
        <w:jc w:val="both"/>
        <w:ind w:firstLine="1494"/>
        <w:spacing w:after="0" w:line="222" w:lineRule="exact"/>
        <w:tabs>
          <w:tab w:leader="none" w:pos="1797" w:val="left"/>
        </w:tabs>
        <w:numPr>
          <w:ilvl w:val="1"/>
          <w:numId w:val="22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Except as otherwise set forth on Part II of Schedule 4.01(q) hereto or as could not reasonably be expected to have a Material Adverse Effect, none of the properties currently or formerly owned or operated by any Loan Party or any of its Subsidiaries is listed or, to the knowledge of each Loan Party and its Subsidiaries, proposed for listing on the NPL or on the CERCLIS or any analogous foreign, state or local list or is adjacent to any such listed property; there are no underground or above ground storage tanks or any surface impoundments, septic tanks, pits, sumps or lagoons in which Hazardous Materials are being or have been treated, stored or disposed on any property currently owned or operated by any Loan Party or any of its Subsidiaries; there is no asbestos or asbestos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containing material on any property currently owned or operated by any Loan Party or any of its Subsidiaries except for any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friable asbestos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containing material that is being managed pursuant to, and in compliance with, an operations and maintenance plan and that does not currently require removal, remediation, abatement or encapsulation under Environmental Law; and, to the knowledge of the Borrower, Hazardous Materials have not been released, discharged or disposed of in any material amount or in violation of any Environmental Law or Environmental Permit on any property currently owned or operated by any Loan Party or any of its Subsidiaries or, to the knowledge of each Loan Party and its Subsidiaries, during the period of their ownership or operation thereof, on any property formerly owned or operated by any Loan Party or any of its Subsidiaries.</w:t>
      </w:r>
    </w:p>
    <w:p>
      <w:pPr>
        <w:spacing w:after="0" w:line="188" w:lineRule="exact"/>
        <w:rPr>
          <w:rFonts w:ascii="Times New Roman" w:cs="Times New Roman" w:eastAsia="Times New Roman" w:hAnsi="Times New Roman"/>
          <w:sz w:val="19"/>
          <w:szCs w:val="19"/>
          <w:color w:val="010000"/>
        </w:rPr>
      </w:pPr>
    </w:p>
    <w:p>
      <w:pPr>
        <w:jc w:val="both"/>
        <w:ind w:firstLine="1494"/>
        <w:spacing w:after="0"/>
        <w:tabs>
          <w:tab w:leader="none" w:pos="1797" w:val="left"/>
        </w:tabs>
        <w:numPr>
          <w:ilvl w:val="1"/>
          <w:numId w:val="22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Except as otherwise set forth on Part III of Schedule 4.01(q) hereto or as could not reasonably be expected to have a Material Adverse Effect, neither any Loan Party nor any of its Subsidiaries is undertaking, and has not completed, either individually or together with other potentially responsible parties, any investigation or assessment or remedial or response action relating to any actual or threatened release, discharge or disposal of Hazardous Materials at any site, location or operation, either voluntarily or pursuant to the order of any governmental or regulatory authority or the requirements of any Environmental Law; all Hazardous Materials generated, used, treated, handled or stored at, or transported to or from, any property currently or formerly owned or operated by any Loan Party or any of its Subsidiaries have been disposed of in compliance with applicable law; and, with respect to any property formerly owned or operated by any Loan Party or any of its Subsidiaries, all Hazardous Materials generated, used, treated, handled, stored or transported by or, to the knowledge of each Loan Party and its Subsidiaries, on behalf of any Loan Party or any of its Subsidiaries have been disposed of in compliance with applicable law.</w:t>
      </w:r>
    </w:p>
    <w:p>
      <w:pPr>
        <w:spacing w:after="0" w:line="191" w:lineRule="exact"/>
        <w:rPr>
          <w:rFonts w:ascii="Times New Roman" w:cs="Times New Roman" w:eastAsia="Times New Roman" w:hAnsi="Times New Roman"/>
          <w:sz w:val="19"/>
          <w:szCs w:val="19"/>
          <w:color w:val="010000"/>
        </w:rPr>
      </w:pPr>
    </w:p>
    <w:p>
      <w:pPr>
        <w:jc w:val="both"/>
        <w:ind w:firstLine="745"/>
        <w:spacing w:after="0" w:line="246" w:lineRule="auto"/>
        <w:tabs>
          <w:tab w:leader="none" w:pos="1288" w:val="left"/>
        </w:tabs>
        <w:numPr>
          <w:ilvl w:val="0"/>
          <w:numId w:val="22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Compliance with Laws</w:t>
      </w:r>
      <w:r>
        <w:rPr>
          <w:rFonts w:ascii="Times New Roman" w:cs="Times New Roman" w:eastAsia="Times New Roman" w:hAnsi="Times New Roman"/>
          <w:sz w:val="19"/>
          <w:szCs w:val="19"/>
          <w:color w:val="auto"/>
        </w:rPr>
        <w:t>. Each Loan Party and each Subsidiary is in compliance with the requirements of all laws, rules and regulations (including, without limitation, the Securities Act and the Securities Exchange Act, and the applicable rules and regulations thereunder, state securities law and “Blue Sky” laws) applicable to it and its business, where the failure to so comply could reasonably be expected to result in a Material Adverse Effect.</w:t>
      </w:r>
    </w:p>
    <w:p>
      <w:pPr>
        <w:spacing w:after="0" w:line="184" w:lineRule="exact"/>
        <w:rPr>
          <w:rFonts w:ascii="Times New Roman" w:cs="Times New Roman" w:eastAsia="Times New Roman" w:hAnsi="Times New Roman"/>
          <w:sz w:val="19"/>
          <w:szCs w:val="19"/>
          <w:color w:val="010000"/>
        </w:rPr>
      </w:pPr>
    </w:p>
    <w:p>
      <w:pPr>
        <w:jc w:val="both"/>
        <w:ind w:firstLine="745"/>
        <w:spacing w:after="0" w:line="251" w:lineRule="auto"/>
        <w:tabs>
          <w:tab w:leader="none" w:pos="1288" w:val="left"/>
        </w:tabs>
        <w:numPr>
          <w:ilvl w:val="0"/>
          <w:numId w:val="22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Force Majeure</w:t>
      </w:r>
      <w:r>
        <w:rPr>
          <w:rFonts w:ascii="Times New Roman" w:cs="Times New Roman" w:eastAsia="Times New Roman" w:hAnsi="Times New Roman"/>
          <w:sz w:val="19"/>
          <w:szCs w:val="19"/>
          <w:color w:val="auto"/>
        </w:rPr>
        <w:t>. Neither the business nor the properties of any Loan Party or any of its Subsidiaries are affected by any fire, explosion, accident, strike, lockout or other labor dispute, drought, storm, hail, earthquake, embargo, act of God or of the public enemy or other casualty (whether or not covered by insurance) that could reasonably be expected to result in a Material Adverse Effect.</w:t>
      </w:r>
    </w:p>
    <w:p>
      <w:pPr>
        <w:spacing w:after="0" w:line="31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671195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258" w:name="page259"/>
    <w:bookmarkEnd w:id="258"/>
    <w:p>
      <w:pPr>
        <w:jc w:val="both"/>
        <w:ind w:firstLine="745"/>
        <w:spacing w:after="0" w:line="242" w:lineRule="auto"/>
        <w:tabs>
          <w:tab w:leader="none" w:pos="1288" w:val="left"/>
        </w:tabs>
        <w:numPr>
          <w:ilvl w:val="0"/>
          <w:numId w:val="23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Loan Parties’ Credit Decisions</w:t>
      </w:r>
      <w:r>
        <w:rPr>
          <w:rFonts w:ascii="Times New Roman" w:cs="Times New Roman" w:eastAsia="Times New Roman" w:hAnsi="Times New Roman"/>
          <w:sz w:val="19"/>
          <w:szCs w:val="19"/>
          <w:color w:val="auto"/>
        </w:rPr>
        <w:t>. Each Loan Party has, independently and without reliance upon the Administrative Agent or any other Lender and based on such documents and information as it has deemed appropriate, made its own credit analysis and decision to enter into this Agreement (and in the case of the Guarantors, to give the guaranty under this Agreement) and each other Loan Document to which it is or is to be a party, and each Loan Party has established adequate means of obtaining from each other Loan Party on a continuing basis information pertaining to, and is now and on a continuing basis will be completely familiar with, the business, condition (financial or otherwise), operations, performance, properties and prospects of such other Loan Party.</w:t>
      </w:r>
    </w:p>
    <w:p>
      <w:pPr>
        <w:spacing w:after="0" w:line="190" w:lineRule="exact"/>
        <w:rPr>
          <w:rFonts w:ascii="Times New Roman" w:cs="Times New Roman" w:eastAsia="Times New Roman" w:hAnsi="Times New Roman"/>
          <w:sz w:val="19"/>
          <w:szCs w:val="19"/>
          <w:color w:val="010000"/>
        </w:rPr>
      </w:pPr>
    </w:p>
    <w:p>
      <w:pPr>
        <w:ind w:left="1280" w:hanging="535"/>
        <w:spacing w:after="0"/>
        <w:tabs>
          <w:tab w:leader="none" w:pos="1280" w:val="left"/>
        </w:tabs>
        <w:numPr>
          <w:ilvl w:val="0"/>
          <w:numId w:val="23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Solvency</w:t>
      </w:r>
      <w:r>
        <w:rPr>
          <w:rFonts w:ascii="Times New Roman" w:cs="Times New Roman" w:eastAsia="Times New Roman" w:hAnsi="Times New Roman"/>
          <w:sz w:val="19"/>
          <w:szCs w:val="19"/>
          <w:color w:val="auto"/>
        </w:rPr>
        <w:t>. The Loan Parties, taken as a whole and on a Consolidated basis, are Solvent.</w:t>
      </w:r>
    </w:p>
    <w:p>
      <w:pPr>
        <w:spacing w:after="0" w:line="184" w:lineRule="exact"/>
        <w:rPr>
          <w:rFonts w:ascii="Times New Roman" w:cs="Times New Roman" w:eastAsia="Times New Roman" w:hAnsi="Times New Roman"/>
          <w:sz w:val="19"/>
          <w:szCs w:val="19"/>
          <w:color w:val="010000"/>
        </w:rPr>
      </w:pPr>
    </w:p>
    <w:p>
      <w:pPr>
        <w:ind w:firstLine="745"/>
        <w:spacing w:after="0" w:line="274" w:lineRule="exact"/>
        <w:tabs>
          <w:tab w:leader="none" w:pos="1288" w:val="left"/>
        </w:tabs>
        <w:numPr>
          <w:ilvl w:val="0"/>
          <w:numId w:val="23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Sarbanes</w:t>
      </w:r>
      <w:r>
        <w:rPr>
          <w:rFonts w:ascii="MS PGothic" w:cs="MS PGothic" w:eastAsia="MS PGothic" w:hAnsi="MS PGothic"/>
          <w:sz w:val="19"/>
          <w:szCs w:val="19"/>
          <w:u w:val="single" w:color="auto"/>
          <w:color w:val="auto"/>
        </w:rPr>
        <w:t>‑</w:t>
      </w:r>
      <w:r>
        <w:rPr>
          <w:rFonts w:ascii="Times New Roman" w:cs="Times New Roman" w:eastAsia="Times New Roman" w:hAnsi="Times New Roman"/>
          <w:sz w:val="19"/>
          <w:szCs w:val="19"/>
          <w:u w:val="single" w:color="auto"/>
          <w:color w:val="auto"/>
        </w:rPr>
        <w:t>Oxley</w:t>
      </w:r>
      <w:r>
        <w:rPr>
          <w:rFonts w:ascii="Times New Roman" w:cs="Times New Roman" w:eastAsia="Times New Roman" w:hAnsi="Times New Roman"/>
          <w:sz w:val="19"/>
          <w:szCs w:val="19"/>
          <w:color w:val="auto"/>
        </w:rPr>
        <w:t>. No Loan Party has made any extension of credit to any of its directors or executive officers in contravention of any applicable restrictions set forth in Section 402(a) of Sarbanes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Oxley.</w:t>
      </w:r>
    </w:p>
    <w:p>
      <w:pPr>
        <w:spacing w:after="0" w:line="158" w:lineRule="exact"/>
        <w:rPr>
          <w:rFonts w:ascii="Times New Roman" w:cs="Times New Roman" w:eastAsia="Times New Roman" w:hAnsi="Times New Roman"/>
          <w:sz w:val="19"/>
          <w:szCs w:val="19"/>
          <w:color w:val="010000"/>
        </w:rPr>
      </w:pPr>
    </w:p>
    <w:p>
      <w:pPr>
        <w:ind w:left="1280" w:hanging="535"/>
        <w:spacing w:after="0"/>
        <w:tabs>
          <w:tab w:leader="none" w:pos="1280" w:val="left"/>
        </w:tabs>
        <w:numPr>
          <w:ilvl w:val="0"/>
          <w:numId w:val="23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ERISA Matters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010000"/>
        </w:rPr>
      </w:pPr>
    </w:p>
    <w:p>
      <w:pPr>
        <w:ind w:left="1800" w:hanging="306"/>
        <w:spacing w:after="0"/>
        <w:tabs>
          <w:tab w:leader="none" w:pos="1800" w:val="left"/>
        </w:tabs>
        <w:numPr>
          <w:ilvl w:val="1"/>
          <w:numId w:val="23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Set forth on Schedule 4.01(w) hereto is a complete and accurate list of all Plans and Welfare Plans.</w:t>
      </w:r>
    </w:p>
    <w:p>
      <w:pPr>
        <w:spacing w:after="0" w:line="213" w:lineRule="exact"/>
        <w:rPr>
          <w:rFonts w:ascii="Times New Roman" w:cs="Times New Roman" w:eastAsia="Times New Roman" w:hAnsi="Times New Roman"/>
          <w:sz w:val="19"/>
          <w:szCs w:val="19"/>
          <w:color w:val="010000"/>
        </w:rPr>
      </w:pPr>
    </w:p>
    <w:p>
      <w:pPr>
        <w:ind w:firstLine="1494"/>
        <w:spacing w:after="0" w:line="265" w:lineRule="auto"/>
        <w:tabs>
          <w:tab w:leader="none" w:pos="1797" w:val="left"/>
        </w:tabs>
        <w:numPr>
          <w:ilvl w:val="1"/>
          <w:numId w:val="23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 ERISA Event has occurred within the preceding five plan years or is reasonably expected to occur with respect to any Plan that has resulted in or is reasonably expected to result in a Material Adverse Effect.</w:t>
      </w:r>
    </w:p>
    <w:p>
      <w:pPr>
        <w:spacing w:after="0" w:line="165" w:lineRule="exact"/>
        <w:rPr>
          <w:rFonts w:ascii="Times New Roman" w:cs="Times New Roman" w:eastAsia="Times New Roman" w:hAnsi="Times New Roman"/>
          <w:sz w:val="19"/>
          <w:szCs w:val="19"/>
          <w:color w:val="010000"/>
        </w:rPr>
      </w:pPr>
    </w:p>
    <w:p>
      <w:pPr>
        <w:jc w:val="both"/>
        <w:ind w:firstLine="1494"/>
        <w:spacing w:after="0" w:line="246" w:lineRule="auto"/>
        <w:tabs>
          <w:tab w:leader="none" w:pos="1797" w:val="left"/>
        </w:tabs>
        <w:numPr>
          <w:ilvl w:val="1"/>
          <w:numId w:val="23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Schedule B (Actuarial Information) to the most recent annual report (Form 5500 Series) for each Plan, copies of which have been filed with the Internal Revenue Service and furnished to the Lenders, is complete and accurate and fairly presents the funding status of such Plan as of the date of such Schedule B, and since the date of such Schedule B there has been no material adverse change in such funding status.</w:t>
      </w:r>
    </w:p>
    <w:p>
      <w:pPr>
        <w:spacing w:after="0" w:line="184" w:lineRule="exact"/>
        <w:rPr>
          <w:rFonts w:ascii="Times New Roman" w:cs="Times New Roman" w:eastAsia="Times New Roman" w:hAnsi="Times New Roman"/>
          <w:sz w:val="19"/>
          <w:szCs w:val="19"/>
          <w:color w:val="010000"/>
        </w:rPr>
      </w:pPr>
    </w:p>
    <w:p>
      <w:pPr>
        <w:ind w:firstLine="1494"/>
        <w:spacing w:after="0" w:line="265" w:lineRule="auto"/>
        <w:tabs>
          <w:tab w:leader="none" w:pos="1797" w:val="left"/>
        </w:tabs>
        <w:numPr>
          <w:ilvl w:val="1"/>
          <w:numId w:val="23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any Loan Party nor any ERISA Affiliate has incurred or is reasonably expected to incur any Withdrawal Liability to any Multiemployer Plan, except as could not reasonably be expected to result in a Material Adverse Effect.</w:t>
      </w:r>
    </w:p>
    <w:p>
      <w:pPr>
        <w:spacing w:after="0" w:line="165" w:lineRule="exact"/>
        <w:rPr>
          <w:rFonts w:ascii="Times New Roman" w:cs="Times New Roman" w:eastAsia="Times New Roman" w:hAnsi="Times New Roman"/>
          <w:sz w:val="19"/>
          <w:szCs w:val="19"/>
          <w:color w:val="010000"/>
        </w:rPr>
      </w:pPr>
    </w:p>
    <w:p>
      <w:pPr>
        <w:jc w:val="both"/>
        <w:ind w:firstLine="1494"/>
        <w:spacing w:after="0" w:line="246" w:lineRule="auto"/>
        <w:tabs>
          <w:tab w:leader="none" w:pos="1797" w:val="left"/>
        </w:tabs>
        <w:numPr>
          <w:ilvl w:val="1"/>
          <w:numId w:val="23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Neither any Loan Party nor any ERISA Affiliate has been notified by the sponsor of a Multiemployer Plan that such Multiemployer Plan is in reorganization or has been terminated, within the meaning of Title IV of ERISA, and no such Multiemployer Plan is reasonably expected to be in reorganization or to be terminated, within the meaning of Title IV of ERISA, except as could not reasonably be expected to result in a Material Adverse Effect.</w:t>
      </w:r>
    </w:p>
    <w:p>
      <w:pPr>
        <w:spacing w:after="0" w:line="184" w:lineRule="exact"/>
        <w:rPr>
          <w:rFonts w:ascii="Times New Roman" w:cs="Times New Roman" w:eastAsia="Times New Roman" w:hAnsi="Times New Roman"/>
          <w:sz w:val="19"/>
          <w:szCs w:val="19"/>
          <w:color w:val="010000"/>
        </w:rPr>
      </w:pPr>
    </w:p>
    <w:p>
      <w:pPr>
        <w:jc w:val="both"/>
        <w:ind w:firstLine="745"/>
        <w:spacing w:after="0"/>
        <w:tabs>
          <w:tab w:leader="none" w:pos="1288" w:val="left"/>
        </w:tabs>
        <w:numPr>
          <w:ilvl w:val="0"/>
          <w:numId w:val="23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OFAC</w:t>
      </w:r>
      <w:r>
        <w:rPr>
          <w:rFonts w:ascii="Times New Roman" w:cs="Times New Roman" w:eastAsia="Times New Roman" w:hAnsi="Times New Roman"/>
          <w:sz w:val="19"/>
          <w:szCs w:val="19"/>
          <w:color w:val="auto"/>
        </w:rPr>
        <w:t xml:space="preserve">. (i) None of the Parent, the Borrower, any Subsidiary Guarantor, or any of their respective Subsidiaries or, to their knowledge, any director, officer, employee, agent or Affiliate thereof, is a Person that is, or is owned or controlled by Persons that are: (A) the subject </w:t>
      </w:r>
      <w:r>
        <w:rPr>
          <w:rFonts w:ascii="Times New Roman" w:cs="Times New Roman" w:eastAsia="Times New Roman" w:hAnsi="Times New Roman"/>
          <w:sz w:val="19"/>
          <w:szCs w:val="19"/>
          <w:b w:val="1"/>
          <w:bCs w:val="1"/>
          <w:u w:val="single" w:color="auto"/>
          <w:color w:val="0000FF"/>
        </w:rPr>
        <w:t>or target</w:t>
      </w:r>
      <w:r>
        <w:rPr>
          <w:rFonts w:ascii="Times New Roman" w:cs="Times New Roman" w:eastAsia="Times New Roman" w:hAnsi="Times New Roman"/>
          <w:sz w:val="19"/>
          <w:szCs w:val="19"/>
          <w:color w:val="auto"/>
        </w:rPr>
        <w:t xml:space="preserve"> of any sanctions </w:t>
      </w:r>
      <w:r>
        <w:rPr>
          <w:rFonts w:ascii="Times New Roman" w:cs="Times New Roman" w:eastAsia="Times New Roman" w:hAnsi="Times New Roman"/>
          <w:sz w:val="19"/>
          <w:szCs w:val="19"/>
          <w:b w:val="1"/>
          <w:bCs w:val="1"/>
          <w:u w:val="single" w:color="auto"/>
          <w:color w:val="0000FF"/>
        </w:rPr>
        <w:t>or trade embargoes or similar restrictions</w:t>
      </w:r>
      <w:r>
        <w:rPr>
          <w:rFonts w:ascii="Times New Roman" w:cs="Times New Roman" w:eastAsia="Times New Roman" w:hAnsi="Times New Roman"/>
          <w:sz w:val="19"/>
          <w:szCs w:val="19"/>
          <w:color w:val="auto"/>
        </w:rPr>
        <w:t xml:space="preserve"> administered or enforced by the U.S. Department of the Treasury’s Office of Foreign Assets Control (“</w:t>
      </w:r>
      <w:r>
        <w:rPr>
          <w:rFonts w:ascii="Times New Roman" w:cs="Times New Roman" w:eastAsia="Times New Roman" w:hAnsi="Times New Roman"/>
          <w:sz w:val="19"/>
          <w:szCs w:val="19"/>
          <w:b w:val="1"/>
          <w:bCs w:val="1"/>
          <w:i w:val="1"/>
          <w:iCs w:val="1"/>
          <w:color w:val="auto"/>
        </w:rPr>
        <w:t>OFAC</w:t>
      </w:r>
      <w:r>
        <w:rPr>
          <w:rFonts w:ascii="Times New Roman" w:cs="Times New Roman" w:eastAsia="Times New Roman" w:hAnsi="Times New Roman"/>
          <w:sz w:val="19"/>
          <w:szCs w:val="19"/>
          <w:color w:val="auto"/>
        </w:rPr>
        <w:t>”), the U.S. Department of State, the United Nations Security Council, the European Union, His Majesty’s Treasury or other relevant sanctions authority (collectively, “</w:t>
      </w:r>
      <w:r>
        <w:rPr>
          <w:rFonts w:ascii="Times New Roman" w:cs="Times New Roman" w:eastAsia="Times New Roman" w:hAnsi="Times New Roman"/>
          <w:sz w:val="19"/>
          <w:szCs w:val="19"/>
          <w:b w:val="1"/>
          <w:bCs w:val="1"/>
          <w:i w:val="1"/>
          <w:iCs w:val="1"/>
          <w:color w:val="auto"/>
        </w:rPr>
        <w:t>Sanctions</w:t>
      </w:r>
      <w:r>
        <w:rPr>
          <w:rFonts w:ascii="Times New Roman" w:cs="Times New Roman" w:eastAsia="Times New Roman" w:hAnsi="Times New Roman"/>
          <w:sz w:val="19"/>
          <w:szCs w:val="19"/>
          <w:color w:val="auto"/>
        </w:rPr>
        <w:t xml:space="preserve">”), or (B) located, organized or resident in a country or territory that is, or whose government is, the subject </w:t>
      </w:r>
      <w:r>
        <w:rPr>
          <w:rFonts w:ascii="Times New Roman" w:cs="Times New Roman" w:eastAsia="Times New Roman" w:hAnsi="Times New Roman"/>
          <w:sz w:val="19"/>
          <w:szCs w:val="19"/>
          <w:b w:val="1"/>
          <w:bCs w:val="1"/>
          <w:u w:val="single" w:color="auto"/>
          <w:color w:val="0000FF"/>
        </w:rPr>
        <w:t>or target</w:t>
      </w:r>
      <w:r>
        <w:rPr>
          <w:rFonts w:ascii="Times New Roman" w:cs="Times New Roman" w:eastAsia="Times New Roman" w:hAnsi="Times New Roman"/>
          <w:sz w:val="19"/>
          <w:szCs w:val="19"/>
          <w:color w:val="auto"/>
        </w:rPr>
        <w:t xml:space="preserve"> of Sanctions. Neither the Borrower nor any of its Subsidiaries have within the preceding five years knowingly engaged in, or is now knowingly engaged in, any dealings or transactions with any Person, or in any country or territory, that at the time of the dealing or transaction is or was, or whose government is or was, the subject </w:t>
      </w:r>
      <w:r>
        <w:rPr>
          <w:rFonts w:ascii="Times New Roman" w:cs="Times New Roman" w:eastAsia="Times New Roman" w:hAnsi="Times New Roman"/>
          <w:sz w:val="19"/>
          <w:szCs w:val="19"/>
          <w:b w:val="1"/>
          <w:bCs w:val="1"/>
          <w:u w:val="single" w:color="auto"/>
          <w:color w:val="0000FF"/>
        </w:rPr>
        <w:t>or target</w:t>
      </w:r>
      <w:r>
        <w:rPr>
          <w:rFonts w:ascii="Times New Roman" w:cs="Times New Roman" w:eastAsia="Times New Roman" w:hAnsi="Times New Roman"/>
          <w:sz w:val="19"/>
          <w:szCs w:val="19"/>
          <w:color w:val="auto"/>
        </w:rPr>
        <w:t xml:space="preserve"> of Sanctions.</w:t>
      </w:r>
    </w:p>
    <w:p>
      <w:pPr>
        <w:spacing w:after="0" w:line="32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671195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259" w:name="page260"/>
    <w:bookmarkEnd w:id="259"/>
    <w:p>
      <w:pPr>
        <w:ind w:left="760" w:firstLine="745"/>
        <w:spacing w:after="0" w:line="265" w:lineRule="auto"/>
        <w:tabs>
          <w:tab w:leader="none" w:pos="2048" w:val="left"/>
        </w:tabs>
        <w:numPr>
          <w:ilvl w:val="0"/>
          <w:numId w:val="23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Patriot Act</w:t>
      </w:r>
      <w:r>
        <w:rPr>
          <w:rFonts w:ascii="Times New Roman" w:cs="Times New Roman" w:eastAsia="Times New Roman" w:hAnsi="Times New Roman"/>
          <w:sz w:val="19"/>
          <w:szCs w:val="19"/>
          <w:color w:val="auto"/>
        </w:rPr>
        <w:t>. Each of the Loan Parties and their Subsidiaries is in compliance in all material respects with the Trading with the Enemy Act and the Patriot Act.</w:t>
      </w:r>
    </w:p>
    <w:p>
      <w:pPr>
        <w:spacing w:after="0" w:line="136" w:lineRule="exact"/>
        <w:rPr>
          <w:rFonts w:ascii="Times New Roman" w:cs="Times New Roman" w:eastAsia="Times New Roman" w:hAnsi="Times New Roman"/>
          <w:sz w:val="19"/>
          <w:szCs w:val="19"/>
          <w:color w:val="010000"/>
        </w:rPr>
      </w:pPr>
    </w:p>
    <w:p>
      <w:pPr>
        <w:jc w:val="both"/>
        <w:ind w:left="760" w:firstLine="745"/>
        <w:spacing w:after="0" w:line="254" w:lineRule="exact"/>
        <w:tabs>
          <w:tab w:leader="none" w:pos="2048" w:val="left"/>
        </w:tabs>
        <w:numPr>
          <w:ilvl w:val="0"/>
          <w:numId w:val="23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Anti</w:t>
      </w:r>
      <w:r>
        <w:rPr>
          <w:rFonts w:ascii="MS PGothic" w:cs="MS PGothic" w:eastAsia="MS PGothic" w:hAnsi="MS PGothic"/>
          <w:sz w:val="19"/>
          <w:szCs w:val="19"/>
          <w:u w:val="single" w:color="auto"/>
          <w:color w:val="auto"/>
        </w:rPr>
        <w:t>‑</w:t>
      </w:r>
      <w:r>
        <w:rPr>
          <w:rFonts w:ascii="Times New Roman" w:cs="Times New Roman" w:eastAsia="Times New Roman" w:hAnsi="Times New Roman"/>
          <w:sz w:val="19"/>
          <w:szCs w:val="19"/>
          <w:u w:val="single" w:color="auto"/>
          <w:color w:val="auto"/>
        </w:rPr>
        <w:t>Corruption Laws</w:t>
      </w:r>
      <w:r>
        <w:rPr>
          <w:rFonts w:ascii="Times New Roman" w:cs="Times New Roman" w:eastAsia="Times New Roman" w:hAnsi="Times New Roman"/>
          <w:sz w:val="19"/>
          <w:szCs w:val="19"/>
          <w:color w:val="auto"/>
        </w:rPr>
        <w:t>. None of the Parent, the Borrower, any Subsidiary Guarantor, or any of their respective Subsidiaries or, to the knowledge the Parent, the Borrower and the Subsidiary Guarantors, any director, officer, employee, agent or Affiliate thereof, is in violation of any Anti</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Corruption Laws.</w:t>
      </w:r>
    </w:p>
    <w:p>
      <w:pPr>
        <w:spacing w:after="0" w:line="159" w:lineRule="exact"/>
        <w:rPr>
          <w:sz w:val="20"/>
          <w:szCs w:val="20"/>
          <w:color w:val="auto"/>
        </w:rPr>
      </w:pPr>
    </w:p>
    <w:p>
      <w:pPr>
        <w:jc w:val="both"/>
        <w:ind w:left="760" w:firstLine="745"/>
        <w:spacing w:after="0" w:line="242" w:lineRule="auto"/>
        <w:tabs>
          <w:tab w:leader="none" w:pos="2048" w:val="left"/>
        </w:tabs>
        <w:numPr>
          <w:ilvl w:val="0"/>
          <w:numId w:val="23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The Borrower and its Restricted Subsidiaries have filed all Tax returns which are required to be filed and have paid all Taxes due pursuant to said returns or pursuant to any assessment received by the Borrower or any of such Subsidiaries except (a) such Taxes, if any, that are subject to a Good Faith Contest and (b) to the extent the failure to so file any such returns or to pay any such Taxes could not reasonably be expected to have a Material Adverse Effect. As of the Closing Date, no Tax liens (other than Permitted Liens) have been filed and no claims are being asserted with respect to such Taxes. The charges, accruals and reserves on the books of the Borrower and its Subsidiaries, taken as a whole, in respect of any Taxes, are adequate.</w:t>
      </w:r>
    </w:p>
    <w:p>
      <w:pPr>
        <w:spacing w:after="0" w:line="190" w:lineRule="exact"/>
        <w:rPr>
          <w:rFonts w:ascii="Times New Roman" w:cs="Times New Roman" w:eastAsia="Times New Roman" w:hAnsi="Times New Roman"/>
          <w:sz w:val="19"/>
          <w:szCs w:val="19"/>
          <w:color w:val="010000"/>
        </w:rPr>
      </w:pPr>
    </w:p>
    <w:p>
      <w:pPr>
        <w:ind w:left="2040" w:hanging="535"/>
        <w:spacing w:after="0"/>
        <w:tabs>
          <w:tab w:leader="none" w:pos="2040" w:val="left"/>
        </w:tabs>
        <w:numPr>
          <w:ilvl w:val="0"/>
          <w:numId w:val="23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 Except as could not reasonably be expected to have a Material Adverse Effect:</w:t>
      </w:r>
    </w:p>
    <w:p>
      <w:pPr>
        <w:spacing w:after="0" w:line="213" w:lineRule="exact"/>
        <w:rPr>
          <w:rFonts w:ascii="Times New Roman" w:cs="Times New Roman" w:eastAsia="Times New Roman" w:hAnsi="Times New Roman"/>
          <w:sz w:val="19"/>
          <w:szCs w:val="19"/>
          <w:color w:val="010000"/>
        </w:rPr>
      </w:pPr>
    </w:p>
    <w:p>
      <w:pPr>
        <w:jc w:val="both"/>
        <w:ind w:left="1500" w:firstLine="754"/>
        <w:spacing w:after="0" w:line="244" w:lineRule="auto"/>
        <w:tabs>
          <w:tab w:leader="none" w:pos="2548" w:val="left"/>
        </w:tabs>
        <w:numPr>
          <w:ilvl w:val="1"/>
          <w:numId w:val="23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and each of its Restricted Subsidiaries owns or has the right to use, under valid license agreements or otherwise, all material patents, licenses, franchises, trademarks, trademark rights, trade names, trade name rights, trade secrets and copyrights (collectively, “</w:t>
      </w:r>
      <w:r>
        <w:rPr>
          <w:rFonts w:ascii="Times New Roman" w:cs="Times New Roman" w:eastAsia="Times New Roman" w:hAnsi="Times New Roman"/>
          <w:sz w:val="19"/>
          <w:szCs w:val="19"/>
          <w:b w:val="1"/>
          <w:bCs w:val="1"/>
          <w:i w:val="1"/>
          <w:iCs w:val="1"/>
          <w:color w:val="auto"/>
        </w:rPr>
        <w:t>Intellectual Property</w:t>
      </w:r>
      <w:r>
        <w:rPr>
          <w:rFonts w:ascii="Times New Roman" w:cs="Times New Roman" w:eastAsia="Times New Roman" w:hAnsi="Times New Roman"/>
          <w:sz w:val="19"/>
          <w:szCs w:val="19"/>
          <w:color w:val="auto"/>
        </w:rPr>
        <w:t>”) necessary to the conduct of their respective businesses as now conducted and as contemplated by the Loan Documents, without known conflict with any patent, license, franchise, trademark, trade secret, trade name, copyright, or other proprietary right of any other Person;</w:t>
      </w:r>
    </w:p>
    <w:p>
      <w:pPr>
        <w:spacing w:after="0" w:line="185" w:lineRule="exact"/>
        <w:rPr>
          <w:rFonts w:ascii="Times New Roman" w:cs="Times New Roman" w:eastAsia="Times New Roman" w:hAnsi="Times New Roman"/>
          <w:sz w:val="19"/>
          <w:szCs w:val="19"/>
          <w:color w:val="010000"/>
        </w:rPr>
      </w:pPr>
    </w:p>
    <w:p>
      <w:pPr>
        <w:ind w:left="1500" w:firstLine="754"/>
        <w:spacing w:after="0" w:line="265" w:lineRule="auto"/>
        <w:tabs>
          <w:tab w:leader="none" w:pos="2548" w:val="left"/>
        </w:tabs>
        <w:numPr>
          <w:ilvl w:val="1"/>
          <w:numId w:val="23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and each of its Restricted Subsidiaries have taken all such steps as they deem reasonably necessary to protect their respective rights under and with respect to such Intellectual Property;</w:t>
      </w:r>
    </w:p>
    <w:p>
      <w:pPr>
        <w:spacing w:after="0" w:line="165" w:lineRule="exact"/>
        <w:rPr>
          <w:rFonts w:ascii="Times New Roman" w:cs="Times New Roman" w:eastAsia="Times New Roman" w:hAnsi="Times New Roman"/>
          <w:sz w:val="19"/>
          <w:szCs w:val="19"/>
          <w:color w:val="010000"/>
        </w:rPr>
      </w:pPr>
    </w:p>
    <w:p>
      <w:pPr>
        <w:ind w:left="1500" w:firstLine="754"/>
        <w:spacing w:after="0" w:line="265" w:lineRule="auto"/>
        <w:tabs>
          <w:tab w:leader="none" w:pos="2548" w:val="left"/>
        </w:tabs>
        <w:numPr>
          <w:ilvl w:val="1"/>
          <w:numId w:val="23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 claim has been asserted by any Person with respect to the use of any Intellectual Property by the Borrower or any of its Restricted Subsidiaries, or challenging or questioning the validity or effectiveness of any Intellectual Property; and</w:t>
      </w:r>
    </w:p>
    <w:p>
      <w:pPr>
        <w:spacing w:after="0" w:line="165" w:lineRule="exact"/>
        <w:rPr>
          <w:rFonts w:ascii="Times New Roman" w:cs="Times New Roman" w:eastAsia="Times New Roman" w:hAnsi="Times New Roman"/>
          <w:sz w:val="19"/>
          <w:szCs w:val="19"/>
          <w:color w:val="010000"/>
        </w:rPr>
      </w:pPr>
    </w:p>
    <w:p>
      <w:pPr>
        <w:jc w:val="both"/>
        <w:ind w:left="1500" w:firstLine="754"/>
        <w:spacing w:after="0" w:line="251" w:lineRule="auto"/>
        <w:tabs>
          <w:tab w:leader="none" w:pos="2548" w:val="left"/>
        </w:tabs>
        <w:numPr>
          <w:ilvl w:val="1"/>
          <w:numId w:val="23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use of such Intellectual Property by the Borrower and each of its Restricted Subsidiaries does not infringe on the rights of any Person, subject to such claims and infringements as do not, in the aggregate, give rise to any material liabilities on the part of the Borrower or any of its Restricted Subsidiaries.</w:t>
      </w:r>
    </w:p>
    <w:p>
      <w:pPr>
        <w:spacing w:after="0" w:line="178" w:lineRule="exact"/>
        <w:rPr>
          <w:rFonts w:ascii="Times New Roman" w:cs="Times New Roman" w:eastAsia="Times New Roman" w:hAnsi="Times New Roman"/>
          <w:sz w:val="19"/>
          <w:szCs w:val="19"/>
          <w:color w:val="010000"/>
        </w:rPr>
      </w:pPr>
    </w:p>
    <w:p>
      <w:pPr>
        <w:jc w:val="both"/>
        <w:ind w:left="760" w:firstLine="745"/>
        <w:spacing w:after="0" w:line="251" w:lineRule="auto"/>
        <w:tabs>
          <w:tab w:leader="none" w:pos="2048" w:val="left"/>
        </w:tabs>
        <w:numPr>
          <w:ilvl w:val="0"/>
          <w:numId w:val="23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Beneficial Ownership</w:t>
      </w:r>
      <w:r>
        <w:rPr>
          <w:rFonts w:ascii="Times New Roman" w:cs="Times New Roman" w:eastAsia="Times New Roman" w:hAnsi="Times New Roman"/>
          <w:sz w:val="19"/>
          <w:szCs w:val="19"/>
          <w:color w:val="auto"/>
        </w:rPr>
        <w:t>. The Borrower is in compliance in all material respects with any applicable requirements of the Beneficial Ownership Regulation. The information included in the most recent Beneficial Ownership Certification, if any, delivered by the Borrower is true and correct in all respects.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V</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COVENANTS OF THE LOAN PARTIES</w:t>
      </w:r>
    </w:p>
    <w:p>
      <w:pPr>
        <w:spacing w:after="0" w:line="218" w:lineRule="exact"/>
        <w:rPr>
          <w:sz w:val="20"/>
          <w:szCs w:val="20"/>
          <w:color w:val="auto"/>
        </w:rPr>
      </w:pPr>
    </w:p>
    <w:p>
      <w:pPr>
        <w:ind w:firstLine="1497"/>
        <w:spacing w:after="0" w:line="265" w:lineRule="auto"/>
        <w:rPr>
          <w:sz w:val="20"/>
          <w:szCs w:val="20"/>
          <w:color w:val="auto"/>
        </w:rPr>
      </w:pPr>
      <w:r>
        <w:rPr>
          <w:rFonts w:ascii="Times New Roman" w:cs="Times New Roman" w:eastAsia="Times New Roman" w:hAnsi="Times New Roman"/>
          <w:sz w:val="19"/>
          <w:szCs w:val="19"/>
          <w:color w:val="010000"/>
        </w:rPr>
        <w:t>Section 5.01</w:t>
      </w:r>
      <w:r>
        <w:rPr>
          <w:rFonts w:ascii="Times New Roman" w:cs="Times New Roman" w:eastAsia="Times New Roman" w:hAnsi="Times New Roman"/>
          <w:sz w:val="19"/>
          <w:szCs w:val="19"/>
          <w:u w:val="single" w:color="auto"/>
          <w:color w:val="000000"/>
        </w:rPr>
        <w:t>Affirmative Covenants</w:t>
      </w:r>
      <w:r>
        <w:rPr>
          <w:rFonts w:ascii="Times New Roman" w:cs="Times New Roman" w:eastAsia="Times New Roman" w:hAnsi="Times New Roman"/>
          <w:sz w:val="19"/>
          <w:szCs w:val="19"/>
          <w:color w:val="000000"/>
        </w:rPr>
        <w:t>. So long as any Advance or any other Obligation of any Loan Party under any Loan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Document shall remain unpaid or any Lender shall have any Commitment hereunder, each Loan Party will:</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60" w:name="page261"/>
    <w:bookmarkEnd w:id="260"/>
    <w:p>
      <w:pPr>
        <w:jc w:val="both"/>
        <w:ind w:firstLine="745"/>
        <w:spacing w:after="0" w:line="246" w:lineRule="auto"/>
        <w:tabs>
          <w:tab w:leader="none" w:pos="1288" w:val="left"/>
        </w:tabs>
        <w:numPr>
          <w:ilvl w:val="0"/>
          <w:numId w:val="23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Compliance with Laws, Etc</w:t>
      </w:r>
      <w:r>
        <w:rPr>
          <w:rFonts w:ascii="Times New Roman" w:cs="Times New Roman" w:eastAsia="Times New Roman" w:hAnsi="Times New Roman"/>
          <w:sz w:val="19"/>
          <w:szCs w:val="19"/>
          <w:color w:val="auto"/>
        </w:rPr>
        <w:t>. Comply, and cause each of its Subsidiaries to comply, in all material respects, with all applicable laws, rules, regulations and orders, such compliance to include, without limitation, compliance with ERISA, the Racketeer Influenced and Corrupt Organizations Chapter of the Organized Crime Control Act of 1970, and all applicable Sanctions and Anti-Corruption Laws, except where such non-compliance could not reasonably be expected to result in a Material Adverse Effect.</w:t>
      </w:r>
    </w:p>
    <w:p>
      <w:pPr>
        <w:spacing w:after="0" w:line="184" w:lineRule="exact"/>
        <w:rPr>
          <w:rFonts w:ascii="Times New Roman" w:cs="Times New Roman" w:eastAsia="Times New Roman" w:hAnsi="Times New Roman"/>
          <w:sz w:val="19"/>
          <w:szCs w:val="19"/>
          <w:color w:val="010000"/>
        </w:rPr>
      </w:pPr>
    </w:p>
    <w:p>
      <w:pPr>
        <w:jc w:val="both"/>
        <w:ind w:firstLine="745"/>
        <w:spacing w:after="0" w:line="246" w:lineRule="auto"/>
        <w:tabs>
          <w:tab w:leader="none" w:pos="1288" w:val="left"/>
        </w:tabs>
        <w:numPr>
          <w:ilvl w:val="0"/>
          <w:numId w:val="23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Payment of Taxes, Etc</w:t>
      </w:r>
      <w:r>
        <w:rPr>
          <w:rFonts w:ascii="Times New Roman" w:cs="Times New Roman" w:eastAsia="Times New Roman" w:hAnsi="Times New Roman"/>
          <w:sz w:val="19"/>
          <w:szCs w:val="19"/>
          <w:color w:val="auto"/>
        </w:rPr>
        <w:t xml:space="preserve">. Pay and discharge, and cause each of its Restricted Subsidiaries to pay and discharge, before the same shall become delinquent, (i) all Taxes imposed upon it or upon its property and (ii) all lawful claims that, if unpaid, might by law become a Lien upon its property;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neither the Loan Parties nor any of their Subsidiaries shall be required to pay or discharge any such Tax or claim that is the subject of a Good Faith Contest.</w:t>
      </w:r>
    </w:p>
    <w:p>
      <w:pPr>
        <w:spacing w:after="0" w:line="184" w:lineRule="exact"/>
        <w:rPr>
          <w:rFonts w:ascii="Times New Roman" w:cs="Times New Roman" w:eastAsia="Times New Roman" w:hAnsi="Times New Roman"/>
          <w:sz w:val="19"/>
          <w:szCs w:val="19"/>
          <w:color w:val="010000"/>
        </w:rPr>
      </w:pPr>
    </w:p>
    <w:p>
      <w:pPr>
        <w:jc w:val="both"/>
        <w:ind w:firstLine="745"/>
        <w:spacing w:after="0"/>
        <w:tabs>
          <w:tab w:leader="none" w:pos="1288" w:val="left"/>
        </w:tabs>
        <w:numPr>
          <w:ilvl w:val="0"/>
          <w:numId w:val="23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Compliance with Environmental Laws</w:t>
      </w:r>
      <w:r>
        <w:rPr>
          <w:rFonts w:ascii="Times New Roman" w:cs="Times New Roman" w:eastAsia="Times New Roman" w:hAnsi="Times New Roman"/>
          <w:sz w:val="19"/>
          <w:szCs w:val="19"/>
          <w:color w:val="auto"/>
        </w:rPr>
        <w:t xml:space="preserve">. Comply, and cause each of its Subsidiaries and all lessees and other Persons operating or occupying its properties to comply, in all material respects, with all applicable Environmental Laws and Environmental Permits, except where such non-compliance could not reasonably expected to result in a Material Adverse Effect; obtain and renew and cause each of its Subsidiaries to obtain and renew all Environmental Permits necessary for its operations and properties, except where the failure to do so could not reasonably expected to result in a Material Adverse Effect; and conduct, and cause each of its Subsidiaries to conduct, any investigation, study, sampling and testing, and undertake any cleanup, removal, remedial or other action necessary to remove and clean up all Hazardous Materials from any of its properties in material compliance with the requirements of all Environmental Laws, except where the failure to do so could not reasonably expected to result in a Material Adverse Effect;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neither the Loan Parties nor any of their Subsidiaries shall be required to undertake any such cleanup, removal, remedial or other action to the extent that its obligation to do so is the subject of a Good Faith Contest.</w:t>
      </w:r>
    </w:p>
    <w:p>
      <w:pPr>
        <w:spacing w:after="0" w:line="191" w:lineRule="exact"/>
        <w:rPr>
          <w:rFonts w:ascii="Times New Roman" w:cs="Times New Roman" w:eastAsia="Times New Roman" w:hAnsi="Times New Roman"/>
          <w:sz w:val="19"/>
          <w:szCs w:val="19"/>
          <w:color w:val="010000"/>
        </w:rPr>
      </w:pPr>
    </w:p>
    <w:p>
      <w:pPr>
        <w:jc w:val="both"/>
        <w:ind w:firstLine="745"/>
        <w:spacing w:after="0" w:line="242" w:lineRule="auto"/>
        <w:tabs>
          <w:tab w:leader="none" w:pos="1288" w:val="left"/>
        </w:tabs>
        <w:numPr>
          <w:ilvl w:val="0"/>
          <w:numId w:val="23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Maintenance of Insurance</w:t>
      </w:r>
      <w:r>
        <w:rPr>
          <w:rFonts w:ascii="Times New Roman" w:cs="Times New Roman" w:eastAsia="Times New Roman" w:hAnsi="Times New Roman"/>
          <w:sz w:val="19"/>
          <w:szCs w:val="19"/>
          <w:color w:val="auto"/>
        </w:rPr>
        <w:t>. Maintain, and cause each of its Restricted Subsidiaries to maintain, insurance with responsible and reputable insurance companies or associations in such amounts and covering such risks as shall be commercially reasonable and in accordance with customary and general practices of companies engaged in similar businesses and owning similar properties in the same general areas in which such Loan Party or such Subsidiaries operate. The Parent and the Borrower shall from time to time deliver to the Administrative Agent upon written request a list in reasonable detail, together with copies of all policies (or other available evidence) of the insurance then in effect, stating the names of the insurance companies, the coverages and amounts of such insurance, the dates of the expiration thereof and the properties and risks covered thereby.</w:t>
      </w:r>
    </w:p>
    <w:p>
      <w:pPr>
        <w:spacing w:after="0" w:line="185" w:lineRule="exact"/>
        <w:rPr>
          <w:rFonts w:ascii="Times New Roman" w:cs="Times New Roman" w:eastAsia="Times New Roman" w:hAnsi="Times New Roman"/>
          <w:sz w:val="19"/>
          <w:szCs w:val="19"/>
          <w:color w:val="010000"/>
        </w:rPr>
      </w:pPr>
    </w:p>
    <w:p>
      <w:pPr>
        <w:jc w:val="both"/>
        <w:ind w:firstLine="745"/>
        <w:spacing w:after="0" w:line="242" w:lineRule="auto"/>
        <w:tabs>
          <w:tab w:leader="none" w:pos="1288" w:val="left"/>
        </w:tabs>
        <w:numPr>
          <w:ilvl w:val="0"/>
          <w:numId w:val="23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Preservation of Partnership or Corporate Existence, Etc</w:t>
      </w:r>
      <w:r>
        <w:rPr>
          <w:rFonts w:ascii="Times New Roman" w:cs="Times New Roman" w:eastAsia="Times New Roman" w:hAnsi="Times New Roman"/>
          <w:sz w:val="19"/>
          <w:szCs w:val="19"/>
          <w:color w:val="auto"/>
        </w:rPr>
        <w:t>. Preserve and maintain, and cause each of its Restricted Subsidiaries to preserve and maintain, its existence (corporate or otherwise), legal structure, legal name, rights (charter and statutory), permits, licenses, approvals, privileges and franchises except, in the case of Restricted Subsidiaries of the Borrower only, if such failure to preserve and maintain such rights or franchises could not reasonably be expected to result in a Material Adverse Effect or cause any Unencumbered Asset to fail to continue to meet the Unencumbered Asset Conditions (it being understood that the foregoing shall not prohibit, or be violated as a result of, any addition or removal of an Unencumbered Asset permitted under Section 5.01(j) below or any transactions by or involving any Loan Party or Subsidiary thereof otherwise permitted under Section 5.02 below).</w:t>
      </w:r>
    </w:p>
    <w:p>
      <w:pPr>
        <w:spacing w:after="0" w:line="185" w:lineRule="exact"/>
        <w:rPr>
          <w:rFonts w:ascii="Times New Roman" w:cs="Times New Roman" w:eastAsia="Times New Roman" w:hAnsi="Times New Roman"/>
          <w:sz w:val="19"/>
          <w:szCs w:val="19"/>
          <w:color w:val="010000"/>
        </w:rPr>
      </w:pPr>
    </w:p>
    <w:p>
      <w:pPr>
        <w:jc w:val="both"/>
        <w:ind w:firstLine="745"/>
        <w:spacing w:after="0" w:line="244" w:lineRule="auto"/>
        <w:tabs>
          <w:tab w:leader="none" w:pos="1288" w:val="left"/>
        </w:tabs>
        <w:numPr>
          <w:ilvl w:val="0"/>
          <w:numId w:val="23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Visitation Rights</w:t>
      </w:r>
      <w:r>
        <w:rPr>
          <w:rFonts w:ascii="Times New Roman" w:cs="Times New Roman" w:eastAsia="Times New Roman" w:hAnsi="Times New Roman"/>
          <w:sz w:val="19"/>
          <w:szCs w:val="19"/>
          <w:color w:val="auto"/>
        </w:rPr>
        <w:t>. At any reasonable time and from time to time, permit any of the Administrative Agent or Lenders, or any agent or representatives thereof, upon reasonable prior notice and during regular business hours, to examine and make copies of and abstracts from the records and books of account of, and visit the properties of, any Loan Party and any of its Restricted Subsidiaries, and to discuss the affairs, finances and accounts of any Loan Party and any of its Restricted Subsidiaries with any of their general partners, managing members, officers or directors and with their independent</w:t>
      </w:r>
    </w:p>
    <w:p>
      <w:pPr>
        <w:spacing w:after="0" w:line="3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671195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261" w:name="page262"/>
    <w:bookmarkEnd w:id="261"/>
    <w:p>
      <w:pPr>
        <w:spacing w:after="0" w:line="270" w:lineRule="auto"/>
        <w:rPr>
          <w:sz w:val="20"/>
          <w:szCs w:val="20"/>
          <w:color w:val="auto"/>
        </w:rPr>
      </w:pPr>
      <w:r>
        <w:rPr>
          <w:rFonts w:ascii="Times New Roman" w:cs="Times New Roman" w:eastAsia="Times New Roman" w:hAnsi="Times New Roman"/>
          <w:sz w:val="19"/>
          <w:szCs w:val="19"/>
          <w:color w:val="auto"/>
        </w:rPr>
        <w:t xml:space="preserve">certified public accountants;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so long as no Event of Default shall have occurred and be continuing, the Borrower shall only be responsible for the costs and expenses of one such visit by the Administrative Agent in any Fiscal Year.</w:t>
      </w:r>
    </w:p>
    <w:p>
      <w:pPr>
        <w:spacing w:after="0" w:line="160" w:lineRule="exact"/>
        <w:rPr>
          <w:sz w:val="20"/>
          <w:szCs w:val="20"/>
          <w:color w:val="auto"/>
        </w:rPr>
      </w:pPr>
    </w:p>
    <w:p>
      <w:pPr>
        <w:jc w:val="both"/>
        <w:ind w:firstLine="745"/>
        <w:spacing w:after="0" w:line="251" w:lineRule="auto"/>
        <w:tabs>
          <w:tab w:leader="none" w:pos="1288" w:val="left"/>
        </w:tabs>
        <w:numPr>
          <w:ilvl w:val="0"/>
          <w:numId w:val="2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Keeping of Books</w:t>
      </w:r>
      <w:r>
        <w:rPr>
          <w:rFonts w:ascii="Times New Roman" w:cs="Times New Roman" w:eastAsia="Times New Roman" w:hAnsi="Times New Roman"/>
          <w:sz w:val="19"/>
          <w:szCs w:val="19"/>
          <w:color w:val="auto"/>
        </w:rPr>
        <w:t>. Keep, and cause each of its Restricted Subsidiaries to keep, proper books of record and account, in which full and correct entries shall be made of all financial transactions and the assets and business of such Loan Party and each such Subsidiary in accordance with GAAP.</w:t>
      </w:r>
    </w:p>
    <w:p>
      <w:pPr>
        <w:spacing w:after="0" w:line="178" w:lineRule="exact"/>
        <w:rPr>
          <w:rFonts w:ascii="Times New Roman" w:cs="Times New Roman" w:eastAsia="Times New Roman" w:hAnsi="Times New Roman"/>
          <w:sz w:val="19"/>
          <w:szCs w:val="19"/>
          <w:color w:val="010000"/>
        </w:rPr>
      </w:pPr>
    </w:p>
    <w:p>
      <w:pPr>
        <w:jc w:val="both"/>
        <w:ind w:firstLine="745"/>
        <w:spacing w:after="0" w:line="246" w:lineRule="auto"/>
        <w:tabs>
          <w:tab w:leader="none" w:pos="1288" w:val="left"/>
        </w:tabs>
        <w:numPr>
          <w:ilvl w:val="0"/>
          <w:numId w:val="2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Maintenance of Properties, Etc</w:t>
      </w:r>
      <w:r>
        <w:rPr>
          <w:rFonts w:ascii="Times New Roman" w:cs="Times New Roman" w:eastAsia="Times New Roman" w:hAnsi="Times New Roman"/>
          <w:sz w:val="19"/>
          <w:szCs w:val="19"/>
          <w:color w:val="auto"/>
        </w:rPr>
        <w:t>. Maintain and preserve, and cause each of its Restricted Subsidiaries to maintain and preserve, all of its properties that are used or useful in the conduct of its business in good working order and condition, ordinary wear and tear excepted and will from time to time make or cause to be made all appropriate repairs, renewals and replacement thereof except where failure to do any of the foregoing could not reasonably be expected to result in a Material Adverse Effect.</w:t>
      </w:r>
    </w:p>
    <w:p>
      <w:pPr>
        <w:spacing w:after="0" w:line="184" w:lineRule="exact"/>
        <w:rPr>
          <w:rFonts w:ascii="Times New Roman" w:cs="Times New Roman" w:eastAsia="Times New Roman" w:hAnsi="Times New Roman"/>
          <w:sz w:val="19"/>
          <w:szCs w:val="19"/>
          <w:color w:val="010000"/>
        </w:rPr>
      </w:pPr>
    </w:p>
    <w:p>
      <w:pPr>
        <w:jc w:val="both"/>
        <w:ind w:firstLine="745"/>
        <w:spacing w:after="0" w:line="234" w:lineRule="exact"/>
        <w:tabs>
          <w:tab w:leader="none" w:pos="1288" w:val="left"/>
        </w:tabs>
        <w:numPr>
          <w:ilvl w:val="0"/>
          <w:numId w:val="2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 Conduct, and cause each of its Restricted Subsidiaries to conduct, all transactions otherwise permitted under the Loan Documents with any of their Affiliates (other than transactions exclusively among or between the Borrower and/or one or more of the Guarantors) on terms that are fair and reasonable and no less favorable, when taken as a whole, to such Loan Party or such Subsidiary than it would obtain in a comparable arm’s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length transaction with a Person not an Affiliate.</w:t>
      </w:r>
    </w:p>
    <w:p>
      <w:pPr>
        <w:spacing w:after="0" w:line="157" w:lineRule="exact"/>
        <w:rPr>
          <w:rFonts w:ascii="Times New Roman" w:cs="Times New Roman" w:eastAsia="Times New Roman" w:hAnsi="Times New Roman"/>
          <w:sz w:val="19"/>
          <w:szCs w:val="19"/>
          <w:color w:val="010000"/>
        </w:rPr>
      </w:pPr>
    </w:p>
    <w:p>
      <w:pPr>
        <w:ind w:firstLine="745"/>
        <w:spacing w:after="0" w:line="265" w:lineRule="auto"/>
        <w:tabs>
          <w:tab w:leader="none" w:pos="1288" w:val="left"/>
        </w:tabs>
        <w:numPr>
          <w:ilvl w:val="0"/>
          <w:numId w:val="2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Addition and Removal of Unencumbered Assets; Additional Guarantors</w:t>
      </w:r>
      <w:r>
        <w:rPr>
          <w:rFonts w:ascii="Times New Roman" w:cs="Times New Roman" w:eastAsia="Times New Roman" w:hAnsi="Times New Roman"/>
          <w:sz w:val="19"/>
          <w:szCs w:val="19"/>
          <w:color w:val="auto"/>
        </w:rPr>
        <w:t>. In connection with the addition and removal of Unencumbered Assets, comply with the following provisions:</w:t>
      </w:r>
    </w:p>
    <w:p>
      <w:pPr>
        <w:spacing w:after="0" w:line="165" w:lineRule="exact"/>
        <w:rPr>
          <w:rFonts w:ascii="Times New Roman" w:cs="Times New Roman" w:eastAsia="Times New Roman" w:hAnsi="Times New Roman"/>
          <w:sz w:val="19"/>
          <w:szCs w:val="19"/>
          <w:color w:val="010000"/>
        </w:rPr>
      </w:pPr>
    </w:p>
    <w:p>
      <w:pPr>
        <w:jc w:val="both"/>
        <w:ind w:left="740" w:firstLine="754"/>
        <w:spacing w:after="0"/>
        <w:tabs>
          <w:tab w:leader="none" w:pos="1788" w:val="left"/>
        </w:tabs>
        <w:numPr>
          <w:ilvl w:val="1"/>
          <w:numId w:val="2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If the Borrower elects, in its sole discretion, to add an additional Asset as an Unencumbered Asset, the Borrower shall deliver (A) a certificate to the Administrative Agent, signed by a Responsible Officer of the Borrower, designating such additional Asset as an Unencumbered Asset and dated as of the date of such designation, stating that after giving effect to such designation, the Parent shall be in compliance with the covenants contained in Section 5.04, together with supporting information in form reasonably satisfactory to the Administrative Agent showing the computations used in determining compliance with such covenants and (B) an updated Schedule II listing each Unencumbered Asset as of the date such Asset is added as an Unencumbered Asset hereunder;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no Asset shall be included as an Unencumbered Asset unless such Asset satisfies the Unencumbered Asset Conditions or the Required Lenders have consented in writing to such inclusion.</w:t>
      </w:r>
    </w:p>
    <w:p>
      <w:pPr>
        <w:spacing w:after="0" w:line="193" w:lineRule="exact"/>
        <w:rPr>
          <w:rFonts w:ascii="Times New Roman" w:cs="Times New Roman" w:eastAsia="Times New Roman" w:hAnsi="Times New Roman"/>
          <w:sz w:val="19"/>
          <w:szCs w:val="19"/>
          <w:color w:val="010000"/>
        </w:rPr>
      </w:pPr>
    </w:p>
    <w:p>
      <w:pPr>
        <w:jc w:val="both"/>
        <w:ind w:left="740" w:firstLine="754"/>
        <w:spacing w:after="0"/>
        <w:tabs>
          <w:tab w:leader="none" w:pos="1788" w:val="left"/>
        </w:tabs>
        <w:numPr>
          <w:ilvl w:val="1"/>
          <w:numId w:val="2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anything contained herein to the contrary, to the extent any Asset previously qualifying as an Unencumbered Asset ceases to meet the Unencumbered Asset Conditions (except to the extent such failure to meet the Unencumbered Asset Conditions has been consented to in writing by the Required Lenders), such Asset shall be immediately removed from all financial covenant related calculations contained herein. Any such Asset shall immediately cease to be an “Unencumbered Asset” hereunder and the Borrower shall deliver (A) a certificate to the Administrative Agent, signed by a Responsible Officer of the Borrower, removing such Asset as an Unencumbered Asset and dated as of the date of such designation, stating that after giving effect to such removal, the Parent shall be in compliance with the covenants contained in Section 5.04, together with supporting information in form satisfactory to the Administrative Agent showing the computations used in determining compliance with such covenants and (B) an updated Schedule II listing each Unencumbered Asset as of the date such Asset has been removed as an Unencumbered Asset hereunder.</w:t>
      </w:r>
    </w:p>
    <w:p>
      <w:pPr>
        <w:spacing w:after="0" w:line="32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671195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5" w:right="339" w:bottom="1440" w:gutter="0" w:footer="0" w:header="0"/>
        </w:sectPr>
      </w:pPr>
    </w:p>
    <w:bookmarkStart w:id="262" w:name="page263"/>
    <w:bookmarkEnd w:id="262"/>
    <w:p>
      <w:pPr>
        <w:jc w:val="both"/>
        <w:ind w:left="740" w:firstLine="754"/>
        <w:spacing w:after="0" w:line="218" w:lineRule="exact"/>
        <w:tabs>
          <w:tab w:leader="none" w:pos="1788" w:val="left"/>
        </w:tabs>
        <w:numPr>
          <w:ilvl w:val="1"/>
          <w:numId w:val="23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may voluntarily designate, by giving written notice thereof to the Administrative Agent (such designation to be effective upon receipt by the Administrative Agent of such written notice), any Unencumbered Asset as a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Unencumbered Asset, including, without limitation, as permitted by Section 5.02(e)(ii), and the Borrower shall deliver (A) a certificate to the Administrative Agent, signed by a Responsible Officer of the Borrower, designating such Unencumbered Asset as a non-Unencumbered Asset, and dated as of the date of such designation, stating that after giving effect to such designation, the Parent shall be in compliance with the covenants contained in Section 5.04, together with supporting information in form reasonably satisfactory to the Administrative Agent showing the computations used in determining compliance with such covenants and (B) an updated Schedule II listing each Unencumbered Asset as of the date such Asset has been removed as an Unencumbered Asset hereunder;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the Borrower shall be deemed to have voluntarily designated any applicable Unencumbered Asset as a non-Unencumbered Asset hereunder upon (I) receipt by the Administrative Agent of an Early Release Request with respect to the Subsidiary Guarantor that owns such Unencumbered Asset in accordance with Section 9.14(b) or (II) receipt by the Administrative Agent of a Designation Notice with respect to the Subsidiary Guarantor that owns such Unencumbered Asset, designating or redesignating such Subsidiary Guarantor as an Unrestricted Subsidiary, in accordance with Section 5.01(n). Further, if after giving effect to the designation by the Borrower of any Unencumbered Asset as a non-Unencumbered Asset pursuant to this clause (iii), the Guarantor that directly owns or leases such Unencumbered Asset does not own or lease any other Unencumbered Asset, the Administrative Agent shall, upon the request of the Borrower and at the Borrower’s expense, promptly release such Guarantor from the Guaranty, so long as such release will not result in the Obligations of the Loan Parties under the Loan Documents to fail to be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with any Pari Passu Obligations of the Loan Parties.</w:t>
      </w:r>
    </w:p>
    <w:p>
      <w:pPr>
        <w:spacing w:after="0" w:line="199" w:lineRule="exact"/>
        <w:rPr>
          <w:rFonts w:ascii="Times New Roman" w:cs="Times New Roman" w:eastAsia="Times New Roman" w:hAnsi="Times New Roman"/>
          <w:sz w:val="19"/>
          <w:szCs w:val="19"/>
          <w:color w:val="010000"/>
        </w:rPr>
      </w:pPr>
    </w:p>
    <w:p>
      <w:pPr>
        <w:jc w:val="both"/>
        <w:ind w:left="740" w:firstLine="754"/>
        <w:spacing w:after="0"/>
        <w:tabs>
          <w:tab w:leader="none" w:pos="1788" w:val="left"/>
        </w:tabs>
        <w:numPr>
          <w:ilvl w:val="1"/>
          <w:numId w:val="23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Subject to Section 9.14 and as a condition to the addition of an Asset as an Unencumbered Asset hereunder, (x) concurrently with the delivery of a certificate adding an Unencumbered Asset directly owned or leased by a Subsidiary of a Loan Party pursuant to clause (i) above, or, (y) within ten days after the formation or acquisition of any new direct or indirect Subsidiary of a Loan Party that directly owns or leases an Unencumbered Asset, the Borrower shall cause each such Subsidiary to (A) duly execute and deliver to the Administrative Agent a Guaranty Supplement in substantially the form of Exhibit C hereto, or such other guaranty supplement in form and substance reasonably satisfactory to the Administrative Agent, guaranteeing the other Loan Parties’ Obligations under the Loan Documents and (B) deliver to the Administrative Agent supplements to Schedules 4.01(b) or 4.01(p) (or the factual information needed to update such Schedules) solely to the extent necessary due to any changes in factual matters specifically related to the addition of such Subsidiary or Subsidiaries as a Subsidiary Guarantor or the addition of such Asset (so long as such changes in factual matters shall in no event comprise a Default or an Event of Default).</w:t>
      </w:r>
    </w:p>
    <w:p>
      <w:pPr>
        <w:spacing w:after="0" w:line="188" w:lineRule="exact"/>
        <w:rPr>
          <w:rFonts w:ascii="Times New Roman" w:cs="Times New Roman" w:eastAsia="Times New Roman" w:hAnsi="Times New Roman"/>
          <w:sz w:val="19"/>
          <w:szCs w:val="19"/>
          <w:color w:val="010000"/>
        </w:rPr>
      </w:pPr>
    </w:p>
    <w:p>
      <w:pPr>
        <w:jc w:val="both"/>
        <w:ind w:left="740" w:firstLine="754"/>
        <w:spacing w:after="0" w:line="244" w:lineRule="auto"/>
        <w:tabs>
          <w:tab w:leader="none" w:pos="1788" w:val="left"/>
        </w:tabs>
        <w:numPr>
          <w:ilvl w:val="1"/>
          <w:numId w:val="23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Subsidiary of the Parent that becomes a guarantor or borrower in respect of any of the Obligations under a Senior Financing Transaction shall be required to become a Guarantor hereunder and shall promptly execute and deliver to the Administrative Agent a Guaranty Supplement in substantially the form of Exhibit C hereto, or such other guaranty supplement in form and substance reasonably satisfactory to the Administrative Agent, guaranteeing the other Loan Parties’ Obligations under the Loan Documents.</w:t>
      </w:r>
    </w:p>
    <w:p>
      <w:pPr>
        <w:spacing w:after="0" w:line="185" w:lineRule="exact"/>
        <w:rPr>
          <w:rFonts w:ascii="Times New Roman" w:cs="Times New Roman" w:eastAsia="Times New Roman" w:hAnsi="Times New Roman"/>
          <w:sz w:val="19"/>
          <w:szCs w:val="19"/>
          <w:color w:val="010000"/>
        </w:rPr>
      </w:pPr>
    </w:p>
    <w:p>
      <w:pPr>
        <w:ind w:left="1280" w:hanging="535"/>
        <w:spacing w:after="0"/>
        <w:tabs>
          <w:tab w:leader="none" w:pos="1280" w:val="left"/>
        </w:tabs>
        <w:numPr>
          <w:ilvl w:val="0"/>
          <w:numId w:val="2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010000"/>
        </w:rPr>
      </w:pPr>
    </w:p>
    <w:p>
      <w:pPr>
        <w:ind w:firstLine="1494"/>
        <w:spacing w:after="0" w:line="265" w:lineRule="auto"/>
        <w:tabs>
          <w:tab w:leader="none" w:pos="1797" w:val="left"/>
        </w:tabs>
        <w:numPr>
          <w:ilvl w:val="1"/>
          <w:numId w:val="23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Promptly upon request by the Administrative Agent, or any Lender through the Administrative Agent, correct, and cause each Loan Party to promptly correct, any material defect</w:t>
      </w:r>
    </w:p>
    <w:p>
      <w:pPr>
        <w:spacing w:after="0" w:line="30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671195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9"/>
          <w:szCs w:val="19"/>
          <w:color w:val="auto"/>
        </w:rPr>
        <w:t>or error that may be discovered in any Loan Document or in the execution, acknowledgment, filing or recordation thereof.</w:t>
      </w:r>
    </w:p>
    <w:p>
      <w:pPr>
        <w:spacing w:after="0" w:line="214" w:lineRule="exact"/>
        <w:rPr>
          <w:sz w:val="20"/>
          <w:szCs w:val="20"/>
          <w:color w:val="auto"/>
        </w:rPr>
      </w:pPr>
    </w:p>
    <w:p>
      <w:pPr>
        <w:jc w:val="both"/>
        <w:ind w:firstLine="1494"/>
        <w:spacing w:after="0" w:line="222" w:lineRule="exact"/>
        <w:tabs>
          <w:tab w:leader="none" w:pos="1797" w:val="left"/>
        </w:tabs>
        <w:numPr>
          <w:ilvl w:val="1"/>
          <w:numId w:val="23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Promptly upon request by the Administrative Agent, or any Lender through the Administrative Agent, do, execute, acknowledge, deliver, record, re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record, file, re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file, register and re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register any and all such further acts, termination statements, notices of assignment, transfers, certificates, assurances and other instruments as the Administrative Agent, or any Lender through the Administrative Agent, may reasonably require from time to time in order (A) to carry out more effectively the purposes of the Loan Documents, (B) to maintain the validity and effectiveness of any of the Loan Documents and (C) to assure, convey, grant, assign, transfer, preserve, protect and confirm more effectively unto the Lenders the rights granted or now or hereafter intended to be granted to the Lenders under any Loan Document or under any other instrument executed in connection with any Loan Document to which any Loan Party or any of its Restricted Subsidiaries is or is to be a party, and cause each of its Restricted Subsidiaries to do so.</w:t>
      </w:r>
    </w:p>
    <w:p>
      <w:pPr>
        <w:spacing w:after="0" w:line="187" w:lineRule="exact"/>
        <w:rPr>
          <w:rFonts w:ascii="Times New Roman" w:cs="Times New Roman" w:eastAsia="Times New Roman" w:hAnsi="Times New Roman"/>
          <w:sz w:val="19"/>
          <w:szCs w:val="19"/>
          <w:color w:val="010000"/>
        </w:rPr>
      </w:pPr>
    </w:p>
    <w:p>
      <w:pPr>
        <w:jc w:val="both"/>
        <w:ind w:firstLine="745"/>
        <w:spacing w:after="0" w:line="242" w:lineRule="auto"/>
        <w:tabs>
          <w:tab w:leader="none" w:pos="1288" w:val="left"/>
        </w:tabs>
        <w:numPr>
          <w:ilvl w:val="0"/>
          <w:numId w:val="23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Performance of Material Contracts</w:t>
      </w:r>
      <w:r>
        <w:rPr>
          <w:rFonts w:ascii="Times New Roman" w:cs="Times New Roman" w:eastAsia="Times New Roman" w:hAnsi="Times New Roman"/>
          <w:sz w:val="19"/>
          <w:szCs w:val="19"/>
          <w:color w:val="auto"/>
        </w:rPr>
        <w:t>. Perform and observe, and cause each of its Restricted Subsidiaries to perform and observe, in all material respects, all the terms and provisions of each Material Contract to be performed or observed by it, maintain each such Material Contract in full force and effect, enforce each such Material Contract in accordance with its terms, take all such action to such end as may be from time to time requested by the Administrative Agent, and, upon request of the Administrative Agent, make to each other party to each such Material Contract such demands and requests for information and reports or for action as any Loan Party or any of its Restricted Subsidiaries is entitled to make under such Material Contract, and cause each of its Subsidiaries to do so, except to the extent the failure to do so could not reasonably be expected to have a Material Adverse Effect.</w:t>
      </w:r>
    </w:p>
    <w:p>
      <w:pPr>
        <w:spacing w:after="0" w:line="185" w:lineRule="exact"/>
        <w:rPr>
          <w:rFonts w:ascii="Times New Roman" w:cs="Times New Roman" w:eastAsia="Times New Roman" w:hAnsi="Times New Roman"/>
          <w:sz w:val="19"/>
          <w:szCs w:val="19"/>
          <w:color w:val="010000"/>
        </w:rPr>
      </w:pPr>
    </w:p>
    <w:p>
      <w:pPr>
        <w:jc w:val="both"/>
        <w:ind w:firstLine="745"/>
        <w:spacing w:after="0" w:line="244" w:lineRule="auto"/>
        <w:tabs>
          <w:tab w:leader="none" w:pos="1288" w:val="left"/>
        </w:tabs>
        <w:numPr>
          <w:ilvl w:val="0"/>
          <w:numId w:val="23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Compliance with Leases</w:t>
      </w:r>
      <w:r>
        <w:rPr>
          <w:rFonts w:ascii="Times New Roman" w:cs="Times New Roman" w:eastAsia="Times New Roman" w:hAnsi="Times New Roman"/>
          <w:sz w:val="19"/>
          <w:szCs w:val="19"/>
          <w:color w:val="auto"/>
        </w:rPr>
        <w:t>. Make all payments and otherwise perform all obligations in respect of all leases of real property to which the Borrower or any of its Restricted Subsidiaries is a party, keep such leases in full force and effect and not allow such leases to lapse or be terminated or any rights to renew such leases to be forfeited or cancelled (except if such failure to maintain such lease in full force and effect or prevent such lapse, termination, forfeiture or cancellation is not in respect of a Qualified Ground Lease of an Unencumbered Asset and could not otherwise reasonably be expected to result in a Material Adverse Effect).</w:t>
      </w:r>
    </w:p>
    <w:p>
      <w:pPr>
        <w:spacing w:after="0" w:line="185" w:lineRule="exact"/>
        <w:rPr>
          <w:rFonts w:ascii="Times New Roman" w:cs="Times New Roman" w:eastAsia="Times New Roman" w:hAnsi="Times New Roman"/>
          <w:sz w:val="19"/>
          <w:szCs w:val="19"/>
          <w:color w:val="010000"/>
        </w:rPr>
      </w:pPr>
    </w:p>
    <w:p>
      <w:pPr>
        <w:jc w:val="both"/>
        <w:ind w:firstLine="745"/>
        <w:spacing w:after="0"/>
        <w:tabs>
          <w:tab w:leader="none" w:pos="1288" w:val="left"/>
        </w:tabs>
        <w:numPr>
          <w:ilvl w:val="0"/>
          <w:numId w:val="23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Designation and Redesignation of Subsidiaries</w:t>
      </w:r>
      <w:r>
        <w:rPr>
          <w:rFonts w:ascii="Times New Roman" w:cs="Times New Roman" w:eastAsia="Times New Roman" w:hAnsi="Times New Roman"/>
          <w:sz w:val="19"/>
          <w:szCs w:val="19"/>
          <w:color w:val="auto"/>
        </w:rPr>
        <w:t>. So long as no Default or Event of Default exists or would result from such designation or redesignation, the Borrower may, at any time upon written notice to the Administrative Agent (a “</w:t>
      </w:r>
      <w:r>
        <w:rPr>
          <w:rFonts w:ascii="Times New Roman" w:cs="Times New Roman" w:eastAsia="Times New Roman" w:hAnsi="Times New Roman"/>
          <w:sz w:val="19"/>
          <w:szCs w:val="19"/>
          <w:b w:val="1"/>
          <w:bCs w:val="1"/>
          <w:i w:val="1"/>
          <w:iCs w:val="1"/>
          <w:color w:val="auto"/>
        </w:rPr>
        <w:t>Designation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Notice</w:t>
      </w:r>
      <w:r>
        <w:rPr>
          <w:rFonts w:ascii="Times New Roman" w:cs="Times New Roman" w:eastAsia="Times New Roman" w:hAnsi="Times New Roman"/>
          <w:sz w:val="19"/>
          <w:szCs w:val="19"/>
          <w:color w:val="auto"/>
        </w:rPr>
        <w:t>”), (i) designate or redesignate any Restricted Subsidiary as an Unrestricted Subsidiary, (ii) designate or redesignate any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Unrestricted Subsidiary as a Restricted Subsidiary or (iii) designate any newly created or acquired Subsidiary as an Unrestricted Subsidiary (and in the absence of such designation, such Subsidiary will be a Restricted Subsidiary). Together with any Designation Notice designating or redesignating a Restricted Subsidiary as an Unrestricted Subsidiary, the Borrower will deliver a certificate to the Administrative Agent, signed by a Responsible Officer of the Borrower, dated as of the date of such designation or redesignation, stating that after giving effect to the applicable designation or redesignation, the Parent shall be in compliance with the covenants contained in Section 5.04. As of the Effective Date, Schedule 4.01(b) lists all Subsidiaries of the Parent and categorizes them as Restricted or Unrestricted.</w:t>
      </w:r>
    </w:p>
    <w:p>
      <w:pPr>
        <w:spacing w:after="0" w:line="191" w:lineRule="exact"/>
        <w:rPr>
          <w:rFonts w:ascii="Times New Roman" w:cs="Times New Roman" w:eastAsia="Times New Roman" w:hAnsi="Times New Roman"/>
          <w:sz w:val="19"/>
          <w:szCs w:val="19"/>
          <w:color w:val="010000"/>
        </w:rPr>
      </w:pPr>
    </w:p>
    <w:p>
      <w:pPr>
        <w:ind w:right="20" w:firstLine="745"/>
        <w:spacing w:after="0" w:line="265" w:lineRule="auto"/>
        <w:tabs>
          <w:tab w:leader="none" w:pos="1288" w:val="left"/>
        </w:tabs>
        <w:numPr>
          <w:ilvl w:val="0"/>
          <w:numId w:val="23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Maintenance of REIT Status</w:t>
      </w:r>
      <w:r>
        <w:rPr>
          <w:rFonts w:ascii="Times New Roman" w:cs="Times New Roman" w:eastAsia="Times New Roman" w:hAnsi="Times New Roman"/>
          <w:sz w:val="19"/>
          <w:szCs w:val="19"/>
          <w:color w:val="auto"/>
        </w:rPr>
        <w:t>. In the case of the Parent, at all times, conduct its affairs and the affairs of its Subsidiaries in a manner so as to continue to qualify as a REIT and elect to be treated as a REIT under all applicable laws, rules and regulations.</w:t>
      </w:r>
    </w:p>
    <w:p>
      <w:pPr>
        <w:spacing w:after="0" w:line="165" w:lineRule="exact"/>
        <w:rPr>
          <w:rFonts w:ascii="Times New Roman" w:cs="Times New Roman" w:eastAsia="Times New Roman" w:hAnsi="Times New Roman"/>
          <w:sz w:val="19"/>
          <w:szCs w:val="19"/>
          <w:color w:val="010000"/>
        </w:rPr>
      </w:pPr>
    </w:p>
    <w:p>
      <w:pPr>
        <w:ind w:firstLine="745"/>
        <w:spacing w:after="0" w:line="265" w:lineRule="auto"/>
        <w:tabs>
          <w:tab w:leader="none" w:pos="1288" w:val="left"/>
        </w:tabs>
        <w:numPr>
          <w:ilvl w:val="0"/>
          <w:numId w:val="23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Exchange Listing</w:t>
      </w:r>
      <w:r>
        <w:rPr>
          <w:rFonts w:ascii="Times New Roman" w:cs="Times New Roman" w:eastAsia="Times New Roman" w:hAnsi="Times New Roman"/>
          <w:sz w:val="19"/>
          <w:szCs w:val="19"/>
          <w:color w:val="auto"/>
        </w:rPr>
        <w:t>. In the case of the Parent, at all times (i) cause its common shares to be duly listed on the New York Stock Exchange, NYSE American or NASDAQ and (ii) timely file all reports required to be filed by it in connection therewith.</w:t>
      </w:r>
    </w:p>
    <w:p>
      <w:pPr>
        <w:spacing w:after="0" w:line="30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671195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264" w:name="page265"/>
    <w:bookmarkEnd w:id="264"/>
    <w:p>
      <w:pPr>
        <w:ind w:left="760" w:firstLine="745"/>
        <w:spacing w:after="0" w:line="274" w:lineRule="exact"/>
        <w:tabs>
          <w:tab w:leader="none" w:pos="2048" w:val="left"/>
        </w:tabs>
        <w:numPr>
          <w:ilvl w:val="0"/>
          <w:numId w:val="2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Sarbanes</w:t>
      </w:r>
      <w:r>
        <w:rPr>
          <w:rFonts w:ascii="MS PGothic" w:cs="MS PGothic" w:eastAsia="MS PGothic" w:hAnsi="MS PGothic"/>
          <w:sz w:val="19"/>
          <w:szCs w:val="19"/>
          <w:u w:val="single" w:color="auto"/>
          <w:color w:val="auto"/>
        </w:rPr>
        <w:t>‑</w:t>
      </w:r>
      <w:r>
        <w:rPr>
          <w:rFonts w:ascii="Times New Roman" w:cs="Times New Roman" w:eastAsia="Times New Roman" w:hAnsi="Times New Roman"/>
          <w:sz w:val="19"/>
          <w:szCs w:val="19"/>
          <w:u w:val="single" w:color="auto"/>
          <w:color w:val="auto"/>
        </w:rPr>
        <w:t>Oxley</w:t>
      </w:r>
      <w:r>
        <w:rPr>
          <w:rFonts w:ascii="Times New Roman" w:cs="Times New Roman" w:eastAsia="Times New Roman" w:hAnsi="Times New Roman"/>
          <w:sz w:val="19"/>
          <w:szCs w:val="19"/>
          <w:color w:val="auto"/>
        </w:rPr>
        <w:t>. Comply at all times in all material respects with all applicable provisions of Section 402(a) of Sarbanes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Oxley, except where the failure to do so could not reasonably be expected to have a Material Adverse Effect.</w:t>
      </w:r>
    </w:p>
    <w:p>
      <w:pPr>
        <w:spacing w:after="0" w:line="158" w:lineRule="exact"/>
        <w:rPr>
          <w:rFonts w:ascii="Times New Roman" w:cs="Times New Roman" w:eastAsia="Times New Roman" w:hAnsi="Times New Roman"/>
          <w:sz w:val="19"/>
          <w:szCs w:val="19"/>
          <w:color w:val="010000"/>
        </w:rPr>
      </w:pPr>
    </w:p>
    <w:p>
      <w:pPr>
        <w:ind w:left="760" w:firstLine="745"/>
        <w:spacing w:after="0" w:line="252" w:lineRule="exact"/>
        <w:tabs>
          <w:tab w:leader="none" w:pos="2048" w:val="left"/>
        </w:tabs>
        <w:numPr>
          <w:ilvl w:val="0"/>
          <w:numId w:val="23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OFAC</w:t>
      </w:r>
      <w:r>
        <w:rPr>
          <w:rFonts w:ascii="Times New Roman" w:cs="Times New Roman" w:eastAsia="Times New Roman" w:hAnsi="Times New Roman"/>
          <w:sz w:val="19"/>
          <w:szCs w:val="19"/>
          <w:color w:val="auto"/>
        </w:rPr>
        <w:t>. Provide to the Administrative Agent and the Lenders any information that the Administrative Agent or Lender deems reasonably necessary from time to time in order to ensure compliance with all applicable Sanctions and Anti</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Corruption Laws.</w:t>
      </w:r>
    </w:p>
    <w:p>
      <w:pPr>
        <w:spacing w:after="0" w:line="159" w:lineRule="exact"/>
        <w:rPr>
          <w:sz w:val="20"/>
          <w:szCs w:val="20"/>
          <w:color w:val="auto"/>
        </w:rPr>
      </w:pPr>
    </w:p>
    <w:p>
      <w:pPr>
        <w:ind w:firstLine="1497"/>
        <w:spacing w:after="0" w:line="265" w:lineRule="auto"/>
        <w:rPr>
          <w:sz w:val="20"/>
          <w:szCs w:val="20"/>
          <w:color w:val="auto"/>
        </w:rPr>
      </w:pPr>
      <w:r>
        <w:rPr>
          <w:rFonts w:ascii="Times New Roman" w:cs="Times New Roman" w:eastAsia="Times New Roman" w:hAnsi="Times New Roman"/>
          <w:sz w:val="19"/>
          <w:szCs w:val="19"/>
          <w:color w:val="010000"/>
        </w:rPr>
        <w:t>Section 5.02</w:t>
      </w:r>
      <w:r>
        <w:rPr>
          <w:rFonts w:ascii="Times New Roman" w:cs="Times New Roman" w:eastAsia="Times New Roman" w:hAnsi="Times New Roman"/>
          <w:sz w:val="19"/>
          <w:szCs w:val="19"/>
          <w:u w:val="single" w:color="auto"/>
          <w:color w:val="000000"/>
        </w:rPr>
        <w:t>Negative Covenants</w:t>
      </w:r>
      <w:r>
        <w:rPr>
          <w:rFonts w:ascii="Times New Roman" w:cs="Times New Roman" w:eastAsia="Times New Roman" w:hAnsi="Times New Roman"/>
          <w:sz w:val="19"/>
          <w:szCs w:val="19"/>
          <w:color w:val="000000"/>
        </w:rPr>
        <w:t>. So long as any Advance or any other Obligation of any Loan Party under any Loan Document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shall remain unpaid or any Lender shall have any Commitment hereunder, no Loan Party will, at any time:</w:t>
      </w:r>
    </w:p>
    <w:p>
      <w:pPr>
        <w:spacing w:after="0" w:line="166" w:lineRule="exact"/>
        <w:rPr>
          <w:sz w:val="20"/>
          <w:szCs w:val="20"/>
          <w:color w:val="auto"/>
        </w:rPr>
      </w:pPr>
    </w:p>
    <w:p>
      <w:pPr>
        <w:jc w:val="both"/>
        <w:ind w:left="760" w:firstLine="745"/>
        <w:spacing w:after="0" w:line="251" w:lineRule="auto"/>
        <w:tabs>
          <w:tab w:leader="none" w:pos="2048" w:val="left"/>
        </w:tabs>
        <w:numPr>
          <w:ilvl w:val="0"/>
          <w:numId w:val="2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Liens, Etc</w:t>
      </w:r>
      <w:r>
        <w:rPr>
          <w:rFonts w:ascii="Times New Roman" w:cs="Times New Roman" w:eastAsia="Times New Roman" w:hAnsi="Times New Roman"/>
          <w:sz w:val="19"/>
          <w:szCs w:val="19"/>
          <w:color w:val="auto"/>
        </w:rPr>
        <w:t>. Create, incur, assume or suffer to exist, or permit any of its Restricted Subsidiaries to create, incur, assume or suffer to exist, any Lien on or with respect to any of its assets of any character (including, without limitation, accounts) whether now owned or hereafter acquired, except, in the case of the Loan Parties (other than the Parent) and their respective Restricted Subsidiaries:</w:t>
      </w:r>
    </w:p>
    <w:p>
      <w:pPr>
        <w:spacing w:after="0" w:line="178" w:lineRule="exact"/>
        <w:rPr>
          <w:rFonts w:ascii="Times New Roman" w:cs="Times New Roman" w:eastAsia="Times New Roman" w:hAnsi="Times New Roman"/>
          <w:sz w:val="19"/>
          <w:szCs w:val="19"/>
          <w:color w:val="010000"/>
        </w:rPr>
      </w:pPr>
    </w:p>
    <w:p>
      <w:pPr>
        <w:ind w:left="2560" w:hanging="306"/>
        <w:spacing w:after="0"/>
        <w:tabs>
          <w:tab w:leader="none" w:pos="2560" w:val="left"/>
        </w:tabs>
        <w:numPr>
          <w:ilvl w:val="1"/>
          <w:numId w:val="2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Liens created under the Loan Documents;</w:t>
      </w:r>
    </w:p>
    <w:p>
      <w:pPr>
        <w:spacing w:after="0" w:line="213" w:lineRule="exact"/>
        <w:rPr>
          <w:rFonts w:ascii="Times New Roman" w:cs="Times New Roman" w:eastAsia="Times New Roman" w:hAnsi="Times New Roman"/>
          <w:sz w:val="19"/>
          <w:szCs w:val="19"/>
          <w:color w:val="010000"/>
        </w:rPr>
      </w:pPr>
    </w:p>
    <w:p>
      <w:pPr>
        <w:ind w:left="2560" w:hanging="306"/>
        <w:spacing w:after="0"/>
        <w:tabs>
          <w:tab w:leader="none" w:pos="2560" w:val="left"/>
        </w:tabs>
        <w:numPr>
          <w:ilvl w:val="1"/>
          <w:numId w:val="2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Permitted Liens;</w:t>
      </w:r>
    </w:p>
    <w:p>
      <w:pPr>
        <w:spacing w:after="0" w:line="213" w:lineRule="exact"/>
        <w:rPr>
          <w:rFonts w:ascii="Times New Roman" w:cs="Times New Roman" w:eastAsia="Times New Roman" w:hAnsi="Times New Roman"/>
          <w:sz w:val="19"/>
          <w:szCs w:val="19"/>
          <w:color w:val="010000"/>
        </w:rPr>
      </w:pPr>
    </w:p>
    <w:p>
      <w:pPr>
        <w:ind w:left="2560" w:hanging="306"/>
        <w:spacing w:after="0"/>
        <w:tabs>
          <w:tab w:leader="none" w:pos="2560" w:val="left"/>
        </w:tabs>
        <w:numPr>
          <w:ilvl w:val="1"/>
          <w:numId w:val="2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Liens described on Schedule 4.01(o) hereto;</w:t>
      </w:r>
    </w:p>
    <w:p>
      <w:pPr>
        <w:spacing w:after="0" w:line="213" w:lineRule="exact"/>
        <w:rPr>
          <w:rFonts w:ascii="Times New Roman" w:cs="Times New Roman" w:eastAsia="Times New Roman" w:hAnsi="Times New Roman"/>
          <w:sz w:val="19"/>
          <w:szCs w:val="19"/>
          <w:color w:val="010000"/>
        </w:rPr>
      </w:pPr>
    </w:p>
    <w:p>
      <w:pPr>
        <w:jc w:val="both"/>
        <w:ind w:left="1500" w:firstLine="754"/>
        <w:spacing w:after="0" w:line="244" w:lineRule="auto"/>
        <w:tabs>
          <w:tab w:leader="none" w:pos="2548" w:val="left"/>
        </w:tabs>
        <w:numPr>
          <w:ilvl w:val="1"/>
          <w:numId w:val="2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purchase money Liens upon or in equipment acquired or held by such Loan Party or any of its Restricted Subsidiaries in the ordinary course of business to secure the purchase price of such equipment or to secure Debt incurred solely for the purpose of financing the acquisition of any such equipment to be subject to such Liens, or Liens existing on any such equipment at the time of acquisition, or extensions, renewals or replacements of any of the foregoing for the same or a lesser amount;</w:t>
      </w:r>
    </w:p>
    <w:p>
      <w:pPr>
        <w:spacing w:after="0" w:line="185" w:lineRule="exact"/>
        <w:rPr>
          <w:rFonts w:ascii="Times New Roman" w:cs="Times New Roman" w:eastAsia="Times New Roman" w:hAnsi="Times New Roman"/>
          <w:sz w:val="19"/>
          <w:szCs w:val="19"/>
          <w:color w:val="010000"/>
        </w:rPr>
      </w:pPr>
    </w:p>
    <w:p>
      <w:pPr>
        <w:ind w:left="2560" w:hanging="306"/>
        <w:spacing w:after="0"/>
        <w:tabs>
          <w:tab w:leader="none" w:pos="2560" w:val="left"/>
        </w:tabs>
        <w:numPr>
          <w:ilvl w:val="1"/>
          <w:numId w:val="2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Liens arising in connection with Capitalized Leases permitted under Section 5.02(b);</w:t>
      </w:r>
    </w:p>
    <w:p>
      <w:pPr>
        <w:spacing w:after="0" w:line="213" w:lineRule="exact"/>
        <w:rPr>
          <w:rFonts w:ascii="Times New Roman" w:cs="Times New Roman" w:eastAsia="Times New Roman" w:hAnsi="Times New Roman"/>
          <w:sz w:val="19"/>
          <w:szCs w:val="19"/>
          <w:color w:val="010000"/>
        </w:rPr>
      </w:pPr>
    </w:p>
    <w:p>
      <w:pPr>
        <w:ind w:left="1500" w:firstLine="754"/>
        <w:spacing w:after="0" w:line="265" w:lineRule="auto"/>
        <w:tabs>
          <w:tab w:leader="none" w:pos="2548" w:val="left"/>
        </w:tabs>
        <w:numPr>
          <w:ilvl w:val="1"/>
          <w:numId w:val="2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Liens on property of a Person existing at the time such Person is acquired by, merged into or consolidated with any Loan Party or any Restricted Subsidiary of any Loan Party or becomes a Restricted Subsidiary of any Loan Party;</w:t>
      </w:r>
    </w:p>
    <w:p>
      <w:pPr>
        <w:spacing w:after="0" w:line="136" w:lineRule="exact"/>
        <w:rPr>
          <w:sz w:val="20"/>
          <w:szCs w:val="20"/>
          <w:color w:val="auto"/>
        </w:rPr>
      </w:pPr>
    </w:p>
    <w:p>
      <w:pPr>
        <w:jc w:val="both"/>
        <w:ind w:left="1500" w:firstLine="749"/>
        <w:spacing w:after="0" w:line="240" w:lineRule="exact"/>
        <w:rPr>
          <w:sz w:val="20"/>
          <w:szCs w:val="20"/>
          <w:color w:val="auto"/>
        </w:rPr>
      </w:pPr>
      <w:r>
        <w:rPr>
          <w:rFonts w:ascii="Times New Roman" w:cs="Times New Roman" w:eastAsia="Times New Roman" w:hAnsi="Times New Roman"/>
          <w:sz w:val="19"/>
          <w:szCs w:val="19"/>
          <w:color w:val="010000"/>
        </w:rPr>
        <w:t>(vii)</w:t>
      </w:r>
      <w:r>
        <w:rPr>
          <w:rFonts w:ascii="Times New Roman" w:cs="Times New Roman" w:eastAsia="Times New Roman" w:hAnsi="Times New Roman"/>
          <w:sz w:val="19"/>
          <w:szCs w:val="19"/>
          <w:color w:val="000000"/>
        </w:rPr>
        <w:t>Liens securing Non</w:t>
      </w:r>
      <w:r>
        <w:rPr>
          <w:rFonts w:ascii="MS PGothic" w:cs="MS PGothic" w:eastAsia="MS PGothic" w:hAnsi="MS PGothic"/>
          <w:sz w:val="19"/>
          <w:szCs w:val="19"/>
          <w:color w:val="000000"/>
        </w:rPr>
        <w:t>‑</w:t>
      </w:r>
      <w:r>
        <w:rPr>
          <w:rFonts w:ascii="Times New Roman" w:cs="Times New Roman" w:eastAsia="Times New Roman" w:hAnsi="Times New Roman"/>
          <w:sz w:val="19"/>
          <w:szCs w:val="19"/>
          <w:color w:val="000000"/>
        </w:rPr>
        <w:t>Recourse Debt permitted under Section 5.02(b) and Recourse Debt permitted under Section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5.02(b),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that no such Lien shall extend to or cover any Unencumbered Asset that is owned by a Necessary Borrower Party;</w:t>
      </w:r>
    </w:p>
    <w:p>
      <w:pPr>
        <w:spacing w:after="0" w:line="189" w:lineRule="exact"/>
        <w:rPr>
          <w:sz w:val="20"/>
          <w:szCs w:val="20"/>
          <w:color w:val="auto"/>
        </w:rPr>
      </w:pPr>
    </w:p>
    <w:p>
      <w:pPr>
        <w:jc w:val="both"/>
        <w:ind w:left="1500" w:firstLine="749"/>
        <w:spacing w:after="0" w:line="265" w:lineRule="auto"/>
        <w:rPr>
          <w:sz w:val="20"/>
          <w:szCs w:val="20"/>
          <w:color w:val="auto"/>
        </w:rPr>
      </w:pPr>
      <w:r>
        <w:rPr>
          <w:rFonts w:ascii="Times New Roman" w:cs="Times New Roman" w:eastAsia="Times New Roman" w:hAnsi="Times New Roman"/>
          <w:sz w:val="19"/>
          <w:szCs w:val="19"/>
          <w:color w:val="010000"/>
        </w:rPr>
        <w:t>(viii)</w:t>
      </w:r>
      <w:r>
        <w:rPr>
          <w:rFonts w:ascii="Times New Roman" w:cs="Times New Roman" w:eastAsia="Times New Roman" w:hAnsi="Times New Roman"/>
          <w:sz w:val="19"/>
          <w:szCs w:val="19"/>
          <w:color w:val="000000"/>
        </w:rPr>
        <w:t>the replacement, extension or renewal of any Lien permitted by clause (iii) above upon or in the same property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theretofore subject thereto in connection with any Refinancing Debt permitted under Section 5.02(b); and</w:t>
      </w:r>
    </w:p>
    <w:p>
      <w:pPr>
        <w:spacing w:after="0" w:line="166" w:lineRule="exact"/>
        <w:rPr>
          <w:sz w:val="20"/>
          <w:szCs w:val="20"/>
          <w:color w:val="auto"/>
        </w:rPr>
      </w:pPr>
    </w:p>
    <w:p>
      <w:pPr>
        <w:ind w:left="1500" w:right="20" w:firstLine="754"/>
        <w:spacing w:after="0" w:line="265" w:lineRule="auto"/>
        <w:tabs>
          <w:tab w:leader="none" w:pos="2548" w:val="left"/>
        </w:tabs>
        <w:numPr>
          <w:ilvl w:val="1"/>
          <w:numId w:val="24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Liens, other than Liens described in subsections (i) through (viii) above, arising in connection with Debt permitted hereunder to the extent such Liens will not result in a Default or Event of Default.</w:t>
      </w:r>
    </w:p>
    <w:p>
      <w:pPr>
        <w:spacing w:after="0" w:line="165" w:lineRule="exact"/>
        <w:rPr>
          <w:rFonts w:ascii="Times New Roman" w:cs="Times New Roman" w:eastAsia="Times New Roman" w:hAnsi="Times New Roman"/>
          <w:sz w:val="19"/>
          <w:szCs w:val="19"/>
          <w:color w:val="010000"/>
        </w:rPr>
      </w:pPr>
    </w:p>
    <w:p>
      <w:pPr>
        <w:jc w:val="both"/>
        <w:ind w:left="760" w:firstLine="745"/>
        <w:spacing w:after="0" w:line="251" w:lineRule="auto"/>
        <w:tabs>
          <w:tab w:leader="none" w:pos="2048" w:val="left"/>
        </w:tabs>
        <w:numPr>
          <w:ilvl w:val="0"/>
          <w:numId w:val="24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Debt</w:t>
      </w:r>
      <w:r>
        <w:rPr>
          <w:rFonts w:ascii="Times New Roman" w:cs="Times New Roman" w:eastAsia="Times New Roman" w:hAnsi="Times New Roman"/>
          <w:sz w:val="19"/>
          <w:szCs w:val="19"/>
          <w:color w:val="auto"/>
        </w:rPr>
        <w:t>. Create, incur, assume or suffer to exist, or permit any of its Restricted Subsidiaries to create, incur, assume or suffer to exist, any Debt (other than Debt exclusively among the Loan Parties and their respective Subsidiaries), unless (i) no Event of Default has occurred and is</w:t>
      </w: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265" w:name="page266"/>
    <w:bookmarkEnd w:id="265"/>
    <w:p>
      <w:pPr>
        <w:jc w:val="both"/>
        <w:spacing w:after="0" w:line="242" w:lineRule="auto"/>
        <w:rPr>
          <w:sz w:val="20"/>
          <w:szCs w:val="20"/>
          <w:color w:val="auto"/>
        </w:rPr>
      </w:pPr>
      <w:r>
        <w:rPr>
          <w:rFonts w:ascii="Times New Roman" w:cs="Times New Roman" w:eastAsia="Times New Roman" w:hAnsi="Times New Roman"/>
          <w:sz w:val="19"/>
          <w:szCs w:val="19"/>
          <w:color w:val="auto"/>
        </w:rPr>
        <w:t xml:space="preserve">continuing immediately before and immediately after the incurrence of such Debt and (ii) immediately after giving effect to the incurrence of such Debt, the Borrower will be in compliance,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with the provisions of Section 5.04;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notwithstanding the foregoing, (A) in no event shall any owner of an Unencumbered Asset be a borrower or guarantor of, or otherwise obligated in respect of, any Recourse Debt unless it is a Guarantor hereunder and (B) in no event shall any Loan Party or any Restricted Subsidiary be a borrower or guarantor of, or otherwise obligated in respect of, any Debt (disregarding for this purpose clause (ii) of the second proviso in the definition thereof) of any Unrestricted Subsidiary except for Customary Carveout Agreements.</w:t>
      </w:r>
    </w:p>
    <w:p>
      <w:pPr>
        <w:spacing w:after="0" w:line="190" w:lineRule="exact"/>
        <w:rPr>
          <w:sz w:val="20"/>
          <w:szCs w:val="20"/>
          <w:color w:val="auto"/>
        </w:rPr>
      </w:pPr>
    </w:p>
    <w:p>
      <w:pPr>
        <w:jc w:val="both"/>
        <w:ind w:firstLine="745"/>
        <w:spacing w:after="0" w:line="246" w:lineRule="auto"/>
        <w:tabs>
          <w:tab w:leader="none" w:pos="1288" w:val="left"/>
        </w:tabs>
        <w:numPr>
          <w:ilvl w:val="0"/>
          <w:numId w:val="24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Change in Nature of Business</w:t>
      </w:r>
      <w:r>
        <w:rPr>
          <w:rFonts w:ascii="Times New Roman" w:cs="Times New Roman" w:eastAsia="Times New Roman" w:hAnsi="Times New Roman"/>
          <w:sz w:val="19"/>
          <w:szCs w:val="19"/>
          <w:color w:val="auto"/>
        </w:rPr>
        <w:t>. Make, or permit any of its Restricted Subsidiaries to make, any material change in the nature of its business as carried at the Closing Date; or engage in, or permit any of its Restricted Subsidiaries to engage in, any material line of business substantially different from those lines of business conducted by the Parent and its Subsidiaries on the Closing Date or any business activities substantially related or incidental thereto.</w:t>
      </w:r>
    </w:p>
    <w:p>
      <w:pPr>
        <w:spacing w:after="0" w:line="184" w:lineRule="exact"/>
        <w:rPr>
          <w:rFonts w:ascii="Times New Roman" w:cs="Times New Roman" w:eastAsia="Times New Roman" w:hAnsi="Times New Roman"/>
          <w:sz w:val="19"/>
          <w:szCs w:val="19"/>
          <w:color w:val="010000"/>
        </w:rPr>
      </w:pPr>
    </w:p>
    <w:p>
      <w:pPr>
        <w:jc w:val="both"/>
        <w:ind w:firstLine="745"/>
        <w:spacing w:after="0" w:line="252" w:lineRule="auto"/>
        <w:tabs>
          <w:tab w:leader="none" w:pos="1288" w:val="left"/>
        </w:tabs>
        <w:numPr>
          <w:ilvl w:val="0"/>
          <w:numId w:val="24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Mergers, Etc</w:t>
      </w:r>
      <w:r>
        <w:rPr>
          <w:rFonts w:ascii="Times New Roman" w:cs="Times New Roman" w:eastAsia="Times New Roman" w:hAnsi="Times New Roman"/>
          <w:sz w:val="18"/>
          <w:szCs w:val="18"/>
          <w:color w:val="auto"/>
        </w:rPr>
        <w:t xml:space="preserve">. Merge or consolidate with or into, or convey, transfer (except as permitted by Section 5.02(e)), lease or otherwise dispose of (whether in one transaction or in a series of transactions or pursuant to a Division) all or substantially all of its assets (whether now owned or hereafter acquired) to, any Person, or Divide, or permit any of its Restricted Subsidiaries to do so;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any Restricted Subsidiary of a Loan Party may merge or consolidate with or into, or dispose of assets to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a Division), any other Subsidiary of such Loan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if one or more of such Subsidiaries is also a Loan Party, a Loan Party shall be the surviving entity and, in the case of a Division, the assets of such dividing Loan Party shall be held by a Loan Party or an entity which shall contemporaneously with such Division become a Loan Party or (B) if one or more of such Subsidiaries is an Unrestricted Subsidiary, a Restricted Subsidiary shall be the surviving entity) or any other Loan Party other than the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Loan Party or, in the case of any Loan Party other than the Borrower, another Loan Party shall be the surviving entity and, in the case of a Division, the assets of such dividing Loan Party shall be held by a Loan Party or an entity which shall contemporaneously with such Division become a Loan Party), and (ii) any Loan Party may merge with any Person that is not a Loan Party so long as such Loan Party is the surviving entity or (except in the case of a merger with the Borrower or the Parent, which shall always be the surviving entity) such other Person is the surviving entity and shall promptly become a Loan Party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Parent shall not merge with a Person that is not a Loan Party unless such merger is with a Person that would be in compliance with Section 5.01(p), and which is the general partner or other owner of a Person simultaneously merging with Borrower or a Subsidiary of Borrower, and the Parent shall be the surviving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each case, that no Default shall have occurred and be continuing at the time of such proposed transaction or would result therefrom. Notwithstanding any other provision of this Agreement, (y) any Restricted Subsidiary of a Loan Party (other than the Borrower and any Subsidiary that is the direct owner of an Unencumbered Asset) may liquidate, dissolve or Divide if the Borrower determines in good faith that such liquidation, dissolution or Division is in the best interests of the Borrower and the assets or proceeds from the liquidation, dissolution or Division of such Restricted Subsidiary are transferred to the Borrower or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Default or Event of Default shall have occurred and be continuing at the time of such proposed transaction or would result therefrom, and (z) any Loan Party or Restricted Subsidiary of a Loan Party shall be permitted to effect any Transfer of assets through the sale or transfer of direct or indirect Equity Interests in the Person (other than the Borrower or the Parent) that owns such assets so long as Section 5.02(e) would otherwise permit the Transfer of all assets owned by such Person at the time of such sale or transfer of such Equity Interests. Upon the sale or transfer of Equity Interests in any Person that is a Guarantor permitted under clause (z) above, the Administrative Agent shall, upon the request of the Borrower and at the Borrower’s expense (but not in limitation of the provisions of Section 9.14(b)), release such Guarantor from the Guaranty in accordance with Section 9.14(b).</w:t>
      </w:r>
    </w:p>
    <w:p>
      <w:pPr>
        <w:spacing w:after="0" w:line="200" w:lineRule="exact"/>
        <w:rPr>
          <w:sz w:val="20"/>
          <w:szCs w:val="20"/>
          <w:color w:val="auto"/>
        </w:rPr>
      </w:pPr>
    </w:p>
    <w:p>
      <w:pPr>
        <w:spacing w:after="0" w:line="33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671195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266" w:name="page267"/>
    <w:bookmarkEnd w:id="266"/>
    <w:p>
      <w:pPr>
        <w:jc w:val="both"/>
        <w:ind w:firstLine="745"/>
        <w:spacing w:after="0" w:line="239" w:lineRule="auto"/>
        <w:tabs>
          <w:tab w:leader="none" w:pos="1288" w:val="left"/>
        </w:tabs>
        <w:numPr>
          <w:ilvl w:val="0"/>
          <w:numId w:val="24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Sales, Etc. of Assets</w:t>
      </w:r>
      <w:r>
        <w:rPr>
          <w:rFonts w:ascii="Times New Roman" w:cs="Times New Roman" w:eastAsia="Times New Roman" w:hAnsi="Times New Roman"/>
          <w:sz w:val="19"/>
          <w:szCs w:val="19"/>
          <w:color w:val="auto"/>
        </w:rPr>
        <w:t>. (i) In the case of the Parent, sell, lease, transfer or otherwise dispose of (including pursuant to a Division), or grant any option or other right to purchase, lease or otherwise acquire any asset or assets and (ii) in the case of the Loan Parties (other than the Parent), sell, lease (other than by entering into Tenancy Leases), transfer or otherwise dispose of (including pursuant to a Division), or grant any option or other right to purchase, lease (other than any option or other right to enter into Tenancy Leases) or otherwise acquire, or permit any of its Restricted Subsidiaries to sell, lease, transfer or otherwise dispose of (including pursuant to a Division), or grant any option or other right to purchase, lease or otherwise acquire (each action described in clauses (i) and (ii) of this subsection (e), including, without limitation, any Sale and Leaseback Transaction, being a “</w:t>
      </w:r>
      <w:r>
        <w:rPr>
          <w:rFonts w:ascii="Times New Roman" w:cs="Times New Roman" w:eastAsia="Times New Roman" w:hAnsi="Times New Roman"/>
          <w:sz w:val="19"/>
          <w:szCs w:val="19"/>
          <w:b w:val="1"/>
          <w:bCs w:val="1"/>
          <w:i w:val="1"/>
          <w:iCs w:val="1"/>
          <w:color w:val="auto"/>
        </w:rPr>
        <w:t>Transfer</w:t>
      </w:r>
      <w:r>
        <w:rPr>
          <w:rFonts w:ascii="Times New Roman" w:cs="Times New Roman" w:eastAsia="Times New Roman" w:hAnsi="Times New Roman"/>
          <w:sz w:val="19"/>
          <w:szCs w:val="19"/>
          <w:color w:val="auto"/>
        </w:rPr>
        <w:t xml:space="preserve">”), any asset or assets (or any direct or indirect Equity Interests in the owner thereof), in each case unless (w) no Event of Default shall have occurred and be continuing immediately before and after such Transfer, (x) the Loan Parties shall be in compliance with the covenants contained in Section 5.04 on a </w:t>
      </w:r>
      <w:r>
        <w:rPr>
          <w:rFonts w:ascii="Times New Roman" w:cs="Times New Roman" w:eastAsia="Times New Roman" w:hAnsi="Times New Roman"/>
          <w:sz w:val="19"/>
          <w:szCs w:val="19"/>
          <w:i w:val="1"/>
          <w:iCs w:val="1"/>
          <w:color w:val="auto"/>
        </w:rPr>
        <w:t xml:space="preserve">pro forma </w:t>
      </w:r>
      <w:r>
        <w:rPr>
          <w:rFonts w:ascii="Times New Roman" w:cs="Times New Roman" w:eastAsia="Times New Roman" w:hAnsi="Times New Roman"/>
          <w:sz w:val="19"/>
          <w:szCs w:val="19"/>
          <w:color w:val="auto"/>
        </w:rPr>
        <w:t>basis immediately after giving effect to such Transfer and (y) if applicable, the Borrower shall have provided notice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Agent as required by Section 5.01(j)(iii). Upon any such Transfer, if applicable, the Administrative Agent shall, upon the request of the Borrower and at the Borrower’s expense (but not in limitation of the provisions of Section 9.14(b)), release the applicable Subsidiary Guarantor from the Guaranty in accordance with Section 9.14(b).</w:t>
      </w:r>
    </w:p>
    <w:p>
      <w:pPr>
        <w:spacing w:after="0" w:line="195" w:lineRule="exact"/>
        <w:rPr>
          <w:rFonts w:ascii="Times New Roman" w:cs="Times New Roman" w:eastAsia="Times New Roman" w:hAnsi="Times New Roman"/>
          <w:sz w:val="19"/>
          <w:szCs w:val="19"/>
          <w:color w:val="010000"/>
        </w:rPr>
      </w:pPr>
    </w:p>
    <w:p>
      <w:pPr>
        <w:jc w:val="both"/>
        <w:ind w:firstLine="745"/>
        <w:spacing w:after="0" w:line="242" w:lineRule="auto"/>
        <w:tabs>
          <w:tab w:leader="none" w:pos="1288" w:val="left"/>
        </w:tabs>
        <w:numPr>
          <w:ilvl w:val="0"/>
          <w:numId w:val="24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Restriction on Investments in Unrestricted Subsidiaries and Development Assets</w:t>
      </w:r>
      <w:r>
        <w:rPr>
          <w:rFonts w:ascii="Times New Roman" w:cs="Times New Roman" w:eastAsia="Times New Roman" w:hAnsi="Times New Roman"/>
          <w:sz w:val="19"/>
          <w:szCs w:val="19"/>
          <w:color w:val="auto"/>
        </w:rPr>
        <w:t>. Make or hold, or permit any of its Subsidiaries to make or hold, any Investment (including pursuant to a Division) in an Unrestricted Subsidiary or a Development Asset, except to the extent that (i) the aggregate amount of all Investments (including pursuant to a Division) in Unrestricted Subsidiaries outstanding does not exceed, at any time, 25% of Total Asset Value at such time and (ii) the aggregate amount of all Investments (including pursuant to a Division) in Unrestricted Subsidiaries and Development Assets outstanding does not exceed, at any time, 40% of Total Asset Value at such time.</w:t>
      </w:r>
    </w:p>
    <w:p>
      <w:pPr>
        <w:spacing w:after="0" w:line="190" w:lineRule="exact"/>
        <w:rPr>
          <w:rFonts w:ascii="Times New Roman" w:cs="Times New Roman" w:eastAsia="Times New Roman" w:hAnsi="Times New Roman"/>
          <w:sz w:val="19"/>
          <w:szCs w:val="19"/>
          <w:color w:val="010000"/>
        </w:rPr>
      </w:pPr>
    </w:p>
    <w:p>
      <w:pPr>
        <w:jc w:val="both"/>
        <w:ind w:firstLine="745"/>
        <w:spacing w:after="0" w:line="242" w:lineRule="auto"/>
        <w:tabs>
          <w:tab w:leader="none" w:pos="1288" w:val="left"/>
        </w:tabs>
        <w:numPr>
          <w:ilvl w:val="0"/>
          <w:numId w:val="24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Restricted Payments</w:t>
      </w:r>
      <w:r>
        <w:rPr>
          <w:rFonts w:ascii="Times New Roman" w:cs="Times New Roman" w:eastAsia="Times New Roman" w:hAnsi="Times New Roman"/>
          <w:sz w:val="19"/>
          <w:szCs w:val="19"/>
          <w:color w:val="auto"/>
        </w:rPr>
        <w:t xml:space="preserve">. In the case of the Parent and the Borrower, without the prior consent of the Required Lenders, make any Restricted Payments;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the Parent may make Restricted Payments only so long as (i) no Event of Default shall have occurred and be continuing, and (ii) immediately before and after giving effect to the payment of any such Restricted Payment the Parent shall be in compliance with Section 5.04(a)(v);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in all cases, the Parent shall be permitted to make Restricted Payments not to exceed the minimum amount necessary for the Parent to maintain its status as a REIT and to avoid the imposition of income and excise taxes on the Parent under the Internal Revenue Code.</w:t>
      </w:r>
    </w:p>
    <w:p>
      <w:pPr>
        <w:spacing w:after="0" w:line="190" w:lineRule="exact"/>
        <w:rPr>
          <w:rFonts w:ascii="Times New Roman" w:cs="Times New Roman" w:eastAsia="Times New Roman" w:hAnsi="Times New Roman"/>
          <w:sz w:val="19"/>
          <w:szCs w:val="19"/>
          <w:color w:val="010000"/>
        </w:rPr>
      </w:pPr>
    </w:p>
    <w:p>
      <w:pPr>
        <w:jc w:val="both"/>
        <w:ind w:firstLine="745"/>
        <w:spacing w:after="0" w:line="251" w:lineRule="auto"/>
        <w:tabs>
          <w:tab w:leader="none" w:pos="1288" w:val="left"/>
        </w:tabs>
        <w:numPr>
          <w:ilvl w:val="0"/>
          <w:numId w:val="24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Amendments of Constitutive Documents</w:t>
      </w:r>
      <w:r>
        <w:rPr>
          <w:rFonts w:ascii="Times New Roman" w:cs="Times New Roman" w:eastAsia="Times New Roman" w:hAnsi="Times New Roman"/>
          <w:sz w:val="19"/>
          <w:szCs w:val="19"/>
          <w:color w:val="auto"/>
        </w:rPr>
        <w:t>. Amend, or permit any of its Restricted Subsidiaries to amend, in each case to the extent the same would have a Material Adverse Effect, its limited liability company agreement, partnership agreement, certificate of incorporation or bylaws or other constitutive documents without the prior written consent of the Required Lenders.</w:t>
      </w:r>
    </w:p>
    <w:p>
      <w:pPr>
        <w:spacing w:after="0" w:line="178" w:lineRule="exact"/>
        <w:rPr>
          <w:rFonts w:ascii="Times New Roman" w:cs="Times New Roman" w:eastAsia="Times New Roman" w:hAnsi="Times New Roman"/>
          <w:sz w:val="19"/>
          <w:szCs w:val="19"/>
          <w:color w:val="010000"/>
        </w:rPr>
      </w:pPr>
    </w:p>
    <w:p>
      <w:pPr>
        <w:ind w:firstLine="745"/>
        <w:spacing w:after="0" w:line="265" w:lineRule="auto"/>
        <w:tabs>
          <w:tab w:leader="none" w:pos="1288" w:val="left"/>
        </w:tabs>
        <w:numPr>
          <w:ilvl w:val="0"/>
          <w:numId w:val="24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Accounting Changes</w:t>
      </w:r>
      <w:r>
        <w:rPr>
          <w:rFonts w:ascii="Times New Roman" w:cs="Times New Roman" w:eastAsia="Times New Roman" w:hAnsi="Times New Roman"/>
          <w:sz w:val="19"/>
          <w:szCs w:val="19"/>
          <w:color w:val="auto"/>
        </w:rPr>
        <w:t>. Make or permit, or permit any of its Subsidiaries to make or permit, any change in (i) accounting policies or reporting practices, except as required or permitted by generally accepted accounting principles, or (ii) Fiscal Year.</w:t>
      </w:r>
    </w:p>
    <w:p>
      <w:pPr>
        <w:spacing w:after="0" w:line="165" w:lineRule="exact"/>
        <w:rPr>
          <w:rFonts w:ascii="Times New Roman" w:cs="Times New Roman" w:eastAsia="Times New Roman" w:hAnsi="Times New Roman"/>
          <w:sz w:val="19"/>
          <w:szCs w:val="19"/>
          <w:color w:val="010000"/>
        </w:rPr>
      </w:pPr>
    </w:p>
    <w:p>
      <w:pPr>
        <w:ind w:firstLine="745"/>
        <w:spacing w:after="0" w:line="265" w:lineRule="auto"/>
        <w:tabs>
          <w:tab w:leader="none" w:pos="1288" w:val="left"/>
        </w:tabs>
        <w:numPr>
          <w:ilvl w:val="0"/>
          <w:numId w:val="24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Speculative Transactions</w:t>
      </w:r>
      <w:r>
        <w:rPr>
          <w:rFonts w:ascii="Times New Roman" w:cs="Times New Roman" w:eastAsia="Times New Roman" w:hAnsi="Times New Roman"/>
          <w:sz w:val="19"/>
          <w:szCs w:val="19"/>
          <w:color w:val="auto"/>
        </w:rPr>
        <w:t>. Engage, or permit any of its Restricted Subsidiaries to engage, in any transaction involving commodity options or futures contracts or any similar speculative transactions.</w:t>
      </w:r>
    </w:p>
    <w:p>
      <w:pPr>
        <w:spacing w:after="0" w:line="165" w:lineRule="exact"/>
        <w:rPr>
          <w:rFonts w:ascii="Times New Roman" w:cs="Times New Roman" w:eastAsia="Times New Roman" w:hAnsi="Times New Roman"/>
          <w:sz w:val="19"/>
          <w:szCs w:val="19"/>
          <w:color w:val="010000"/>
        </w:rPr>
      </w:pPr>
    </w:p>
    <w:p>
      <w:pPr>
        <w:jc w:val="both"/>
        <w:ind w:firstLine="745"/>
        <w:spacing w:after="0" w:line="246" w:lineRule="auto"/>
        <w:tabs>
          <w:tab w:leader="none" w:pos="1288" w:val="left"/>
        </w:tabs>
        <w:numPr>
          <w:ilvl w:val="0"/>
          <w:numId w:val="24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Payment Restrictions Affecting Subsidiaries</w:t>
      </w:r>
      <w:r>
        <w:rPr>
          <w:rFonts w:ascii="Times New Roman" w:cs="Times New Roman" w:eastAsia="Times New Roman" w:hAnsi="Times New Roman"/>
          <w:sz w:val="19"/>
          <w:szCs w:val="19"/>
          <w:color w:val="auto"/>
        </w:rPr>
        <w:t>. Directly or indirectly, enter into or suffer to exist, or permit any of its Restricted Subsidiaries to enter into or suffer to exist, any agreement or arrangement limiting the ability of any of its Restricted Subsidiaries to declare or pay dividends or other distributions in respect of its Equity Interests or repay or prepay any Debt owed to, make loans or advances to, or otherwise transfer assets to or invest in, the Borrower or any Restricted Subsidiary of</w:t>
      </w:r>
    </w:p>
    <w:p>
      <w:pPr>
        <w:spacing w:after="0" w:line="31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671195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267" w:name="page268"/>
    <w:bookmarkEnd w:id="267"/>
    <w:p>
      <w:pPr>
        <w:jc w:val="both"/>
        <w:ind w:left="3"/>
        <w:spacing w:after="0" w:line="242" w:lineRule="auto"/>
        <w:rPr>
          <w:sz w:val="20"/>
          <w:szCs w:val="20"/>
          <w:color w:val="auto"/>
        </w:rPr>
      </w:pPr>
      <w:r>
        <w:rPr>
          <w:rFonts w:ascii="Times New Roman" w:cs="Times New Roman" w:eastAsia="Times New Roman" w:hAnsi="Times New Roman"/>
          <w:sz w:val="19"/>
          <w:szCs w:val="19"/>
          <w:color w:val="auto"/>
        </w:rPr>
        <w:t xml:space="preserve">the Borrower (whether through a covenant restricting dividends, loans, asset transfers or investments, a financial covenant or otherwise), except (i) the Loan Documents, (ii) any agreement or instrument evidencing Debt permitted under Section 5.02(b),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terms of such Debt, and of such agreement or instrument, do not restrict distributions in respect of Equity Interests in Subsidiaries directly or indirectly owning Unencumbered Assets, and (iii) any agreement in effect at the time such Restricted Subsidiary becomes a Subsidiary of the Borrower, so long as such agreement was not entered into solely in contemplation of such Person becoming a Subsidiary of the Borrower.</w:t>
      </w:r>
    </w:p>
    <w:p>
      <w:pPr>
        <w:spacing w:after="0" w:line="190" w:lineRule="exact"/>
        <w:rPr>
          <w:sz w:val="20"/>
          <w:szCs w:val="20"/>
          <w:color w:val="auto"/>
        </w:rPr>
      </w:pPr>
    </w:p>
    <w:p>
      <w:pPr>
        <w:jc w:val="both"/>
        <w:ind w:left="3" w:firstLine="745"/>
        <w:spacing w:after="0"/>
        <w:tabs>
          <w:tab w:leader="none" w:pos="1291" w:val="left"/>
        </w:tabs>
        <w:numPr>
          <w:ilvl w:val="1"/>
          <w:numId w:val="2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Amendment, Etc. of Material Contracts</w:t>
      </w:r>
      <w:r>
        <w:rPr>
          <w:rFonts w:ascii="Times New Roman" w:cs="Times New Roman" w:eastAsia="Times New Roman" w:hAnsi="Times New Roman"/>
          <w:sz w:val="19"/>
          <w:szCs w:val="19"/>
          <w:color w:val="auto"/>
        </w:rPr>
        <w:t>. Except as and to the extent the same could not reasonably be expected to have a Material Adverse Effect, cancel or terminate any Material Contract or consent to or accept any cancellation or termination thereof, amend or otherwise modify any Material Contract or give any consent, waiver or approval thereunder, waive any default under or breach of any Material Contract, agree in any manner to any other amendment, modification or change of any term or condition of any Material Contract or take any other action in connection with any Material Contract that would impair in any material respect the value of the interest or rights of any Borrower Party thereunder or that would impair or otherwise adversely affect in any material respect the interest or rights, if any, of the Administrative Agent or any Lender, or permit any of its Restricted Subsidiaries to do any of the foregoing in each case taking into account the effect of any agreements that supplement or serve to substitute for, in whole or in part, such Material Contract.</w:t>
      </w:r>
    </w:p>
    <w:p>
      <w:pPr>
        <w:spacing w:after="0" w:line="193" w:lineRule="exact"/>
        <w:rPr>
          <w:rFonts w:ascii="Times New Roman" w:cs="Times New Roman" w:eastAsia="Times New Roman" w:hAnsi="Times New Roman"/>
          <w:sz w:val="19"/>
          <w:szCs w:val="19"/>
          <w:color w:val="010000"/>
        </w:rPr>
      </w:pPr>
    </w:p>
    <w:p>
      <w:pPr>
        <w:jc w:val="both"/>
        <w:ind w:left="3" w:firstLine="745"/>
        <w:spacing w:after="0" w:line="242" w:lineRule="auto"/>
        <w:tabs>
          <w:tab w:leader="none" w:pos="1291" w:val="left"/>
        </w:tabs>
        <w:numPr>
          <w:ilvl w:val="1"/>
          <w:numId w:val="24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Negative Pledge</w:t>
      </w:r>
      <w:r>
        <w:rPr>
          <w:rFonts w:ascii="Times New Roman" w:cs="Times New Roman" w:eastAsia="Times New Roman" w:hAnsi="Times New Roman"/>
          <w:sz w:val="19"/>
          <w:szCs w:val="19"/>
          <w:color w:val="auto"/>
        </w:rPr>
        <w:t>. Enter into or be subject to any agreement, or permit any of its Restricted Subsidiaries to enter into or be subject to any agreement, governing any Debt which constitutes a Negative Pledge, other than (i) restrictions on further subordinate Liens on Assets encumbered by a mortgage, deed to secure debt or deed of trust securing such Debt or (ii) Negative Pledges with respect to any Asset that is not an Unencumbered Asset (it being agreed that an Asset that is included as an Unencumbered Asset that becomes subject to a Negative Pledge not otherwise permitted under clause (vi) of the definition of the term “Unencumbered Asset Conditions” shall be deemed removed as an Unencumbered Asset in accordance with Section 5.01(j)(ii) and the Borrower shall comply with the requirements of such Section).</w:t>
      </w:r>
    </w:p>
    <w:p>
      <w:pPr>
        <w:spacing w:after="0" w:line="185" w:lineRule="exact"/>
        <w:rPr>
          <w:rFonts w:ascii="Times New Roman" w:cs="Times New Roman" w:eastAsia="Times New Roman" w:hAnsi="Times New Roman"/>
          <w:sz w:val="19"/>
          <w:szCs w:val="19"/>
          <w:color w:val="010000"/>
        </w:rPr>
      </w:pPr>
    </w:p>
    <w:p>
      <w:pPr>
        <w:jc w:val="both"/>
        <w:ind w:left="3" w:firstLine="745"/>
        <w:spacing w:after="0" w:line="252" w:lineRule="auto"/>
        <w:tabs>
          <w:tab w:leader="none" w:pos="1291" w:val="left"/>
        </w:tabs>
        <w:numPr>
          <w:ilvl w:val="1"/>
          <w:numId w:val="24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Parent as Holding Company</w:t>
      </w:r>
      <w:r>
        <w:rPr>
          <w:rFonts w:ascii="Times New Roman" w:cs="Times New Roman" w:eastAsia="Times New Roman" w:hAnsi="Times New Roman"/>
          <w:sz w:val="18"/>
          <w:szCs w:val="18"/>
          <w:color w:val="auto"/>
        </w:rPr>
        <w:t xml:space="preserve">. In the case of the Parent, not directly or indirectly enter into or conduct any business, or engage in any activity (including, without limitation, any action or transaction that is required or restricted with respect to the Borrower and its Subsidiaries under Sections 5.01 and 5.02 without regard to any of the enumerated exceptions to such covenants), other than (i) the ownership, acquisition and disposition of Equity Interests of the Borrower, (ii) the management of the business of the Borrower, and such activities as are incidental thereto, all of which shall be solely in furtherance of the business of the Borrower, (iii) the ownership of (A) assets that have been distributed to the Parent by its Subsidiaries and that are held by the Parent pending further distribution to equity holders of the Parent, (B) assets received by the Parent from third parties (including the net cash proceeds from any issuance and sale by the Parent of any of its Equity Interests), that are held pending contribution of the same to the Borrower, (C) such bank accounts or similar instruments as the Parent deems necessary to carry out its responsibilities under the organization documents of the Borrower and (D) other tangible and intangible assets that, taken as a whole,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 relation to the net assets of the Parent and its Subsidiaries, but which shall in no event include any Equity Interests other than those permitted in clauses (iii)(A) and (B) of this sentence, (iv) the maintenance of its legal existence (including the ability to incur fees, costs and expenses relating to such maintenance), (v) the performance of its obligations with respect to the Loan Documents, (vi) any public offering of its common stock or any other issuance or sale of its Equity Interests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100% of the net cash proceeds of such issuance or sale shall be contributed to the Borrower),</w:t>
      </w:r>
    </w:p>
    <w:p>
      <w:pPr>
        <w:spacing w:after="0" w:line="1" w:lineRule="exact"/>
        <w:rPr>
          <w:rFonts w:ascii="Times New Roman" w:cs="Times New Roman" w:eastAsia="Times New Roman" w:hAnsi="Times New Roman"/>
          <w:sz w:val="18"/>
          <w:szCs w:val="18"/>
          <w:color w:val="010000"/>
        </w:rPr>
      </w:pPr>
    </w:p>
    <w:p>
      <w:pPr>
        <w:jc w:val="both"/>
        <w:ind w:left="3" w:hanging="3"/>
        <w:spacing w:after="0" w:line="239" w:lineRule="auto"/>
        <w:tabs>
          <w:tab w:leader="none" w:pos="385" w:val="left"/>
        </w:tabs>
        <w:numPr>
          <w:ilvl w:val="0"/>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Sections 5.02(g) and 5.04(a)(v), the payment of dividends, (viii) making contributions to the capital of the Borrower, (ix) participating in tax, accounting and other administrative matters as a member of the Consolidated Group, (x) providing indemnification to officers, managers and directors, (xi) any activities incidental to compliance with the provisions of the Securities Act of 1933, as amended, the Exchange Act of 1934,</w:t>
      </w:r>
    </w:p>
    <w:p>
      <w:pPr>
        <w:spacing w:after="0" w:line="325"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671195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9" w:right="339" w:bottom="1440" w:gutter="0" w:footer="0" w:header="0"/>
        </w:sectPr>
      </w:pPr>
    </w:p>
    <w:bookmarkStart w:id="268" w:name="page269"/>
    <w:bookmarkEnd w:id="268"/>
    <w:p>
      <w:pPr>
        <w:jc w:val="both"/>
        <w:ind w:left="760"/>
        <w:spacing w:after="0" w:line="244" w:lineRule="auto"/>
        <w:rPr>
          <w:sz w:val="20"/>
          <w:szCs w:val="20"/>
          <w:color w:val="auto"/>
        </w:rPr>
      </w:pPr>
      <w:r>
        <w:rPr>
          <w:rFonts w:ascii="Times New Roman" w:cs="Times New Roman" w:eastAsia="Times New Roman" w:hAnsi="Times New Roman"/>
          <w:sz w:val="19"/>
          <w:szCs w:val="19"/>
          <w:color w:val="auto"/>
        </w:rPr>
        <w:t>as amended, any rules and regulations promulgated thereunder, and the rules of national securities exchanges, in each case, as applicable to the Parent, as well as activities incidental to investor relations, shareholder meetings and reports to shareholders or debt holders, (xii) the incurrence of Debt, to the extent such incurrence would not result in a Default or Event of Default under Section 5.02(b) or Section 5.04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100% of the net cash proceeds of such incurrence of Debt shall be contributed to the Borrower) and (xiii) any activities incidental to the foregoing.</w:t>
      </w:r>
    </w:p>
    <w:p>
      <w:pPr>
        <w:spacing w:after="0" w:line="185" w:lineRule="exact"/>
        <w:rPr>
          <w:sz w:val="20"/>
          <w:szCs w:val="20"/>
          <w:color w:val="auto"/>
        </w:rPr>
      </w:pPr>
    </w:p>
    <w:p>
      <w:pPr>
        <w:ind w:left="760" w:firstLine="745"/>
        <w:spacing w:after="0" w:line="265" w:lineRule="auto"/>
        <w:tabs>
          <w:tab w:leader="none" w:pos="2048" w:val="left"/>
        </w:tabs>
        <w:numPr>
          <w:ilvl w:val="0"/>
          <w:numId w:val="2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OFAC. Knowingly engage in, or permit any Subsidiary to engage in, any dealings or transactions with any Person, or in any country or territory, that at the time of the dealing or transaction is, or whose government is, the subject </w:t>
      </w:r>
      <w:r>
        <w:rPr>
          <w:rFonts w:ascii="Times New Roman" w:cs="Times New Roman" w:eastAsia="Times New Roman" w:hAnsi="Times New Roman"/>
          <w:sz w:val="19"/>
          <w:szCs w:val="19"/>
          <w:b w:val="1"/>
          <w:bCs w:val="1"/>
          <w:u w:val="single" w:color="auto"/>
          <w:color w:val="0000FF"/>
        </w:rPr>
        <w:t>or target</w:t>
      </w:r>
      <w:r>
        <w:rPr>
          <w:rFonts w:ascii="Times New Roman" w:cs="Times New Roman" w:eastAsia="Times New Roman" w:hAnsi="Times New Roman"/>
          <w:sz w:val="19"/>
          <w:szCs w:val="19"/>
          <w:color w:val="auto"/>
        </w:rPr>
        <w:t xml:space="preserve"> of Sanctions.</w:t>
      </w:r>
    </w:p>
    <w:p>
      <w:pPr>
        <w:spacing w:after="0" w:line="165" w:lineRule="exact"/>
        <w:rPr>
          <w:rFonts w:ascii="Times New Roman" w:cs="Times New Roman" w:eastAsia="Times New Roman" w:hAnsi="Times New Roman"/>
          <w:sz w:val="19"/>
          <w:szCs w:val="19"/>
          <w:color w:val="010000"/>
        </w:rPr>
      </w:pPr>
    </w:p>
    <w:p>
      <w:pPr>
        <w:ind w:left="760" w:firstLine="745"/>
        <w:spacing w:after="0" w:line="265" w:lineRule="auto"/>
        <w:tabs>
          <w:tab w:leader="none" w:pos="2048" w:val="left"/>
        </w:tabs>
        <w:numPr>
          <w:ilvl w:val="0"/>
          <w:numId w:val="24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Senior Financing Transactions</w:t>
      </w:r>
      <w:r>
        <w:rPr>
          <w:rFonts w:ascii="Times New Roman" w:cs="Times New Roman" w:eastAsia="Times New Roman" w:hAnsi="Times New Roman"/>
          <w:sz w:val="19"/>
          <w:szCs w:val="19"/>
          <w:color w:val="auto"/>
        </w:rPr>
        <w:t>. Permit any Subsidiary that is not a Subsidiary Guarantor to become a guarantor or borrower of any Obligations under any Senior Financing Transaction.</w:t>
      </w:r>
    </w:p>
    <w:p>
      <w:pPr>
        <w:spacing w:after="0" w:line="166"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9"/>
          <w:szCs w:val="19"/>
          <w:color w:val="010000"/>
        </w:rPr>
        <w:t>Section 5.03</w:t>
      </w:r>
      <w:r>
        <w:rPr>
          <w:rFonts w:ascii="Times New Roman" w:cs="Times New Roman" w:eastAsia="Times New Roman" w:hAnsi="Times New Roman"/>
          <w:sz w:val="19"/>
          <w:szCs w:val="19"/>
          <w:u w:val="single" w:color="auto"/>
          <w:color w:val="000000"/>
        </w:rPr>
        <w:t>Reporting Requirements</w:t>
      </w:r>
      <w:r>
        <w:rPr>
          <w:rFonts w:ascii="Times New Roman" w:cs="Times New Roman" w:eastAsia="Times New Roman" w:hAnsi="Times New Roman"/>
          <w:sz w:val="19"/>
          <w:szCs w:val="19"/>
          <w:color w:val="000000"/>
        </w:rPr>
        <w:t>. So long as any Advance or any other Obligation of any Loan Party under any Loan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Document shall remain unpaid or any Lender shall have any Commitment hereunder, the Borrower will furnish to the Administrative Agent and the Lenders in accordance with Section 9.02(b):</w:t>
      </w:r>
    </w:p>
    <w:p>
      <w:pPr>
        <w:spacing w:after="0" w:line="179" w:lineRule="exact"/>
        <w:rPr>
          <w:sz w:val="20"/>
          <w:szCs w:val="20"/>
          <w:color w:val="auto"/>
        </w:rPr>
      </w:pPr>
    </w:p>
    <w:p>
      <w:pPr>
        <w:jc w:val="both"/>
        <w:ind w:left="760" w:firstLine="745"/>
        <w:spacing w:after="0" w:line="244" w:lineRule="auto"/>
        <w:tabs>
          <w:tab w:leader="none" w:pos="2048" w:val="left"/>
        </w:tabs>
        <w:numPr>
          <w:ilvl w:val="1"/>
          <w:numId w:val="24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Default Notice</w:t>
      </w:r>
      <w:r>
        <w:rPr>
          <w:rFonts w:ascii="Times New Roman" w:cs="Times New Roman" w:eastAsia="Times New Roman" w:hAnsi="Times New Roman"/>
          <w:sz w:val="19"/>
          <w:szCs w:val="19"/>
          <w:color w:val="auto"/>
        </w:rPr>
        <w:t>. As soon as possible and in any event within two Business Days after a Responsible Officer obtains knowledge of the occurrence of each Default or any event, development or occurrence reasonably expected to result in a Material Adverse Effect continuing on the date of such statement, a statement of the Chief Financial Officer (or other Responsible Officer) of the Parent setting forth details of such Default or such event, development or occurrence and the action that the Parent has taken and proposes to take with respect thereto.</w:t>
      </w:r>
    </w:p>
    <w:p>
      <w:pPr>
        <w:spacing w:after="0" w:line="185" w:lineRule="exact"/>
        <w:rPr>
          <w:rFonts w:ascii="Times New Roman" w:cs="Times New Roman" w:eastAsia="Times New Roman" w:hAnsi="Times New Roman"/>
          <w:sz w:val="19"/>
          <w:szCs w:val="19"/>
          <w:color w:val="010000"/>
        </w:rPr>
      </w:pPr>
    </w:p>
    <w:p>
      <w:pPr>
        <w:jc w:val="both"/>
        <w:ind w:left="760" w:firstLine="745"/>
        <w:spacing w:after="0" w:line="253" w:lineRule="auto"/>
        <w:tabs>
          <w:tab w:leader="none" w:pos="2048" w:val="left"/>
        </w:tabs>
        <w:numPr>
          <w:ilvl w:val="1"/>
          <w:numId w:val="24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Annual Financials</w:t>
      </w:r>
      <w:r>
        <w:rPr>
          <w:rFonts w:ascii="Times New Roman" w:cs="Times New Roman" w:eastAsia="Times New Roman" w:hAnsi="Times New Roman"/>
          <w:sz w:val="18"/>
          <w:szCs w:val="18"/>
          <w:color w:val="auto"/>
        </w:rPr>
        <w:t>. As soon as available and in any event within 90 days after the end of each Fiscal Year, a copy of the annual audit report for such year for the Parent and its Subsidiaries, including therein Consolidated balance sheets of the Parent and its Subsidiaries as of the end of such Fiscal Year and Consolidated statements of income and a Consolidated statement of cash flows of the Parent and its Subsidiaries for such Fiscal Year (it being acknowledged that a copy of the annual audit report filed by the Parent with the Securities and Exchange Commission shall satisfy the foregoing requirements), in each case accompanied by (x) an opinion acceptable to the Required Lenders of PricewaterhouseCoopers LLP or other independent public accountants of recognized standing reasonably acceptable to the Required Lenders, which opinion shall be prepared in accordance with generally accepted auditing standards and shall not be subject to any “going concern” or like qualification or exception or any qualification or exception as to the scope of such audit, and</w:t>
      </w:r>
    </w:p>
    <w:p>
      <w:pPr>
        <w:spacing w:after="0" w:line="2" w:lineRule="exact"/>
        <w:rPr>
          <w:rFonts w:ascii="Times New Roman" w:cs="Times New Roman" w:eastAsia="Times New Roman" w:hAnsi="Times New Roman"/>
          <w:sz w:val="18"/>
          <w:szCs w:val="18"/>
          <w:color w:val="010000"/>
        </w:rPr>
      </w:pPr>
    </w:p>
    <w:p>
      <w:pPr>
        <w:jc w:val="both"/>
        <w:ind w:left="760" w:hanging="3"/>
        <w:spacing w:after="0" w:line="218" w:lineRule="exact"/>
        <w:tabs>
          <w:tab w:leader="none" w:pos="1031"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applicable and if the Parent and its Subsidiaries are subject to the requirements of Section 404 of the Sarbanes-Oxley Act of 2002, a report of such independent public accountants as to the internal controls of the Parent and its Subsidiaries required under Section 404 of the Sarbanes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Oxley Act of 2002, in each case certified in a manner to which the Required Lenders have not objected, in their reasonable discretion, together with (i) a schedule in form reasonably satisfactory to the Administrative Agent of the computations used by the Parent in determining, as of the end of such Fiscal Year, compliance with the covenants contained in Section 5.04,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the event of any change in GAAP used in the preparation of such financial statements, the Parent shall also provide, if necessary for the determination of compliance with Section 5.04, a statement of reconciliation conforming such financial statements to GAAP and (ii) a certificate of the Chief Financial Officer (or other Responsible Officer) of the Parent stating that no Default has occurred and is continuing or, if a Default has occurred and is continuing, a statement as to the nature thereof and the action that the Parent has taken and proposes to take with respect thereto.</w:t>
      </w:r>
    </w:p>
    <w:p>
      <w:pPr>
        <w:spacing w:after="0" w:line="3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69" w:name="page270"/>
    <w:bookmarkEnd w:id="269"/>
    <w:p>
      <w:pPr>
        <w:jc w:val="both"/>
        <w:ind w:firstLine="745"/>
        <w:spacing w:after="0" w:line="219" w:lineRule="exact"/>
        <w:tabs>
          <w:tab w:leader="none" w:pos="1288" w:val="left"/>
        </w:tabs>
        <w:numPr>
          <w:ilvl w:val="0"/>
          <w:numId w:val="25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Quarterly Financials</w:t>
      </w:r>
      <w:r>
        <w:rPr>
          <w:rFonts w:ascii="Times New Roman" w:cs="Times New Roman" w:eastAsia="Times New Roman" w:hAnsi="Times New Roman"/>
          <w:sz w:val="19"/>
          <w:szCs w:val="19"/>
          <w:color w:val="auto"/>
        </w:rPr>
        <w:t>. As soon as available and in any event within 45 days after the end of each of the first three quarters of each Fiscal Year, Consolidated balance sheets of the Parent and its Subsidiaries as of the end of such quarter and Consolidated statements of income and a Consolidated statement of cash flows of the Parent and its Subsidiaries for the period commencing at the end of the previous fiscal quarter and ending with the end of such fiscal quarter and Consolidated statements of income and a Consolidated statement of cash flows of the Parent and its Subsidiaries for the period commencing at the end of the previous Fiscal Year and ending with the end of such quarter, setting forth in each case in comparative form the corresponding figures for the corresponding date or period of the preceding Fiscal Year, all in reasonable detail and duly certified (subject to normal year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end audit adjustments) by the Chief Executive Officer, Chief Financial Officer or Treasurer (or other Responsible Officer performing similar functions) of the Parent as having been prepared in accordance with GAAP (it being acknowledged that a copy of the quarterly financials filed by the Parent with the Securities and Exchange Commission shall satisfy the foregoing requirements), together with (i) a certificate of such officer stating that no Default has occurred and is continuing or, if a Default has occurred and is continuing, a statement as to the nature thereof and the action that the Parent has taken and proposes to take with respect thereto and (ii) a schedule in form reasonably satisfactory to the Administrative Agent of the computations used by the Parent in determining compliance with the covenants contained in Section 5.04,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in the event of any change in GAAP used in the preparation of such financial statements, the Parent shall also provide, if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necessary for the determination of compliance with Section 5.04, a statement of reconciliation conforming such financial statements to GAAP.</w:t>
      </w:r>
    </w:p>
    <w:p>
      <w:pPr>
        <w:spacing w:after="0" w:line="189" w:lineRule="exact"/>
        <w:rPr>
          <w:rFonts w:ascii="Times New Roman" w:cs="Times New Roman" w:eastAsia="Times New Roman" w:hAnsi="Times New Roman"/>
          <w:sz w:val="19"/>
          <w:szCs w:val="19"/>
          <w:color w:val="010000"/>
        </w:rPr>
      </w:pPr>
    </w:p>
    <w:p>
      <w:pPr>
        <w:jc w:val="both"/>
        <w:ind w:firstLine="745"/>
        <w:spacing w:after="0" w:line="234" w:lineRule="exact"/>
        <w:tabs>
          <w:tab w:leader="none" w:pos="1288" w:val="left"/>
        </w:tabs>
        <w:numPr>
          <w:ilvl w:val="0"/>
          <w:numId w:val="25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Investment Grade Rating Notice</w:t>
      </w:r>
      <w:r>
        <w:rPr>
          <w:rFonts w:ascii="Times New Roman" w:cs="Times New Roman" w:eastAsia="Times New Roman" w:hAnsi="Times New Roman"/>
          <w:sz w:val="19"/>
          <w:szCs w:val="19"/>
          <w:color w:val="auto"/>
        </w:rPr>
        <w:t>. Promptly upon a Responsible Officer becoming aware of a change in the Investment Grade Rating (including the initial issuance of any Investment Grade Rating) or any other credit rating given by S&amp;P, Moody’s or another nationally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recognized rating agency to the Borrower’s or the Parent’s long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 senior unsecured debt or any announcement that any such rating is “under review” or that such rating has been placed on a watch list or that any similar action has been taken by S&amp;P, Moody’s or another nationally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recognized rating agency, notice of such change, announcement or action.</w:t>
      </w:r>
    </w:p>
    <w:p>
      <w:pPr>
        <w:spacing w:after="0" w:line="157" w:lineRule="exact"/>
        <w:rPr>
          <w:rFonts w:ascii="Times New Roman" w:cs="Times New Roman" w:eastAsia="Times New Roman" w:hAnsi="Times New Roman"/>
          <w:sz w:val="19"/>
          <w:szCs w:val="19"/>
          <w:color w:val="010000"/>
        </w:rPr>
      </w:pPr>
    </w:p>
    <w:p>
      <w:pPr>
        <w:jc w:val="both"/>
        <w:ind w:firstLine="745"/>
        <w:spacing w:after="0" w:line="246" w:lineRule="auto"/>
        <w:tabs>
          <w:tab w:leader="none" w:pos="1288" w:val="left"/>
        </w:tabs>
        <w:numPr>
          <w:ilvl w:val="0"/>
          <w:numId w:val="25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Unencumbered Asset Financials</w:t>
      </w:r>
      <w:r>
        <w:rPr>
          <w:rFonts w:ascii="Times New Roman" w:cs="Times New Roman" w:eastAsia="Times New Roman" w:hAnsi="Times New Roman"/>
          <w:sz w:val="19"/>
          <w:szCs w:val="19"/>
          <w:color w:val="auto"/>
        </w:rPr>
        <w:t>. Concurrently with delivery of the items set forth in Section 5.03(b) and (c), the delivery to the Administrative Agent of a list of all Unencumbered Assets at such time, which list shall include the name, location and a short description of each such Unencumbered Asset and the Net Operating Income of each such Unencumbered Asset as of the end of the applicable quarter of the Fiscal Year or the Fiscal Year, as applicable, to which the financial reporting relates.</w:t>
      </w:r>
    </w:p>
    <w:p>
      <w:pPr>
        <w:spacing w:after="0" w:line="180" w:lineRule="exact"/>
        <w:rPr>
          <w:rFonts w:ascii="Times New Roman" w:cs="Times New Roman" w:eastAsia="Times New Roman" w:hAnsi="Times New Roman"/>
          <w:sz w:val="19"/>
          <w:szCs w:val="19"/>
          <w:color w:val="010000"/>
        </w:rPr>
      </w:pPr>
    </w:p>
    <w:p>
      <w:pPr>
        <w:jc w:val="both"/>
        <w:ind w:firstLine="745"/>
        <w:spacing w:after="0" w:line="248" w:lineRule="auto"/>
        <w:tabs>
          <w:tab w:leader="none" w:pos="1288" w:val="left"/>
        </w:tabs>
        <w:numPr>
          <w:ilvl w:val="0"/>
          <w:numId w:val="25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Annual Budgets</w:t>
      </w:r>
      <w:r>
        <w:rPr>
          <w:rFonts w:ascii="Times New Roman" w:cs="Times New Roman" w:eastAsia="Times New Roman" w:hAnsi="Times New Roman"/>
          <w:sz w:val="19"/>
          <w:szCs w:val="19"/>
          <w:color w:val="auto"/>
        </w:rPr>
        <w:t xml:space="preserve">. As soon as available and in any event within </w:t>
      </w:r>
      <w:r>
        <w:rPr>
          <w:rFonts w:ascii="Times New Roman" w:cs="Times New Roman" w:eastAsia="Times New Roman" w:hAnsi="Times New Roman"/>
          <w:sz w:val="19"/>
          <w:szCs w:val="19"/>
          <w:color w:val="FF0000"/>
          <w:strike w:val="1"/>
        </w:rPr>
        <w:t>than 45</w:t>
      </w:r>
      <w:r>
        <w:rPr>
          <w:rFonts w:ascii="Times New Roman" w:cs="Times New Roman" w:eastAsia="Times New Roman" w:hAnsi="Times New Roman"/>
          <w:sz w:val="19"/>
          <w:szCs w:val="19"/>
          <w:b w:val="1"/>
          <w:bCs w:val="1"/>
          <w:u w:val="single" w:color="auto"/>
          <w:color w:val="0000FF"/>
        </w:rPr>
        <w:t>90</w:t>
      </w:r>
      <w:r>
        <w:rPr>
          <w:rFonts w:ascii="Times New Roman" w:cs="Times New Roman" w:eastAsia="Times New Roman" w:hAnsi="Times New Roman"/>
          <w:sz w:val="19"/>
          <w:szCs w:val="19"/>
          <w:color w:val="auto"/>
        </w:rPr>
        <w:t xml:space="preserve"> days after the end of each Fiscal Year, forecasts prepared by management of the Parent, in form reasonably satisfactory to the Administrative Agent, of balance sheets, income statements and cash flow statements on a quarterly basis for the then current Fiscal Year and on an annual basis for each Fiscal Year thereafter until the Maturity Date.</w:t>
      </w:r>
    </w:p>
    <w:p>
      <w:pPr>
        <w:spacing w:after="0" w:line="180" w:lineRule="exact"/>
        <w:rPr>
          <w:rFonts w:ascii="Times New Roman" w:cs="Times New Roman" w:eastAsia="Times New Roman" w:hAnsi="Times New Roman"/>
          <w:sz w:val="19"/>
          <w:szCs w:val="19"/>
          <w:color w:val="010000"/>
        </w:rPr>
      </w:pPr>
    </w:p>
    <w:p>
      <w:pPr>
        <w:jc w:val="both"/>
        <w:ind w:firstLine="745"/>
        <w:spacing w:after="0" w:line="244" w:lineRule="auto"/>
        <w:tabs>
          <w:tab w:leader="none" w:pos="1288" w:val="left"/>
        </w:tabs>
        <w:numPr>
          <w:ilvl w:val="0"/>
          <w:numId w:val="25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Material Litigation</w:t>
      </w:r>
      <w:r>
        <w:rPr>
          <w:rFonts w:ascii="Times New Roman" w:cs="Times New Roman" w:eastAsia="Times New Roman" w:hAnsi="Times New Roman"/>
          <w:sz w:val="19"/>
          <w:szCs w:val="19"/>
          <w:color w:val="auto"/>
        </w:rPr>
        <w:t>. Promptly after the commencement thereof, notice of all actions, investigations, litigation and proceedings before any court or governmental department, commission, board, bureau, agency or instrumentality, domestic or foreign, affecting any Loan Party or any of its Restricted Subsidiaries of the type described in Section 4.01(f), and promptly after the occurrence thereof, notice of any adverse change in the status or the financial effect on any Loan Party or any of its Restricted Subsidiaries of the Material Litigation from that described on Schedule 4.01(f) hereto.</w:t>
      </w:r>
    </w:p>
    <w:p>
      <w:pPr>
        <w:spacing w:after="0" w:line="185" w:lineRule="exact"/>
        <w:rPr>
          <w:rFonts w:ascii="Times New Roman" w:cs="Times New Roman" w:eastAsia="Times New Roman" w:hAnsi="Times New Roman"/>
          <w:sz w:val="19"/>
          <w:szCs w:val="19"/>
          <w:color w:val="010000"/>
        </w:rPr>
      </w:pPr>
    </w:p>
    <w:p>
      <w:pPr>
        <w:jc w:val="both"/>
        <w:ind w:firstLine="745"/>
        <w:spacing w:after="0" w:line="251" w:lineRule="auto"/>
        <w:tabs>
          <w:tab w:leader="none" w:pos="1288" w:val="left"/>
        </w:tabs>
        <w:numPr>
          <w:ilvl w:val="0"/>
          <w:numId w:val="25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Securities Reports</w:t>
      </w:r>
      <w:r>
        <w:rPr>
          <w:rFonts w:ascii="Times New Roman" w:cs="Times New Roman" w:eastAsia="Times New Roman" w:hAnsi="Times New Roman"/>
          <w:sz w:val="19"/>
          <w:szCs w:val="19"/>
          <w:color w:val="auto"/>
        </w:rPr>
        <w:t>. Promptly after the sending or filing thereof, copies of all proxy statements, financial statements and reports that any Loan Party or any of its Subsidiaries sends to the holders of its Equity Interests, and copies of all regular, periodic and special reports, and all registration statements, that any Loan Party or any of its Subsidiaries files with the Securities and Exchange</w:t>
      </w:r>
    </w:p>
    <w:p>
      <w:pPr>
        <w:spacing w:after="0" w:line="31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671195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270" w:name="page271"/>
    <w:bookmarkEnd w:id="270"/>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Commission or any Governmental Authority that may be substituted therefor, or with any national securities exchange, and, to the extent not publicly available electronically at www.sec.gov or www.easterlyreit.com (or successor web sites thereto), copies of all other financial statements, reports, notices and other materials, if any, sent or made available generally by any Loan Party to the “public” holders of its Equity Interests or filed with the Securities and Exchange Commission or any Governmental Authority that may be substituted therefor, or with any national securities exchange, all press releases made available generally by any Loan Party or any of its Subsidiaries to the public concerning material developments in the business of any Loan Party or any such Subsidiary and all notifications received by any Loan Party or any Subsidiary thereof from the Securities and Exchange Commission or any other Governmental Authority pursuant to the Securities Exchange Act and the rules promulgated thereunder. Copies of each such proxy statements, financial statements and reports may be delivered electronically and if so delivered, shall be deemed to have been delivered on the date on which (i) a Loan Party posts such documents, or provides a link thereto, on www.easterlyreit.com (or successor web site thereto) or (ii) such documents are posted on its behalf on the Platform,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Parent shall notify the Administrative Agent (by facsimile or e-mail) of the posting of any such documents and, if requested, provide to the Administrative Agent by e-mail electronic versions (i.e., soft copies) of such documents. The Administrative Agent shall have no obligation to request the delivery or to maintain copies of the documents referred to above in, and in any event shall have no responsibility to monitor compliance by any Loan Party with any such request for delivery, and each Lender shall be solely responsible for obtaining and maintaining its own copies of such documents.</w:t>
      </w:r>
    </w:p>
    <w:p>
      <w:pPr>
        <w:spacing w:after="0" w:line="183" w:lineRule="exact"/>
        <w:rPr>
          <w:sz w:val="20"/>
          <w:szCs w:val="20"/>
          <w:color w:val="auto"/>
        </w:rPr>
      </w:pPr>
    </w:p>
    <w:p>
      <w:pPr>
        <w:jc w:val="both"/>
        <w:ind w:firstLine="745"/>
        <w:spacing w:after="0" w:line="244" w:lineRule="auto"/>
        <w:tabs>
          <w:tab w:leader="none" w:pos="1288" w:val="left"/>
        </w:tabs>
        <w:numPr>
          <w:ilvl w:val="0"/>
          <w:numId w:val="25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Real Property and Subsidiaries</w:t>
      </w:r>
      <w:r>
        <w:rPr>
          <w:rFonts w:ascii="Times New Roman" w:cs="Times New Roman" w:eastAsia="Times New Roman" w:hAnsi="Times New Roman"/>
          <w:sz w:val="19"/>
          <w:szCs w:val="19"/>
          <w:color w:val="auto"/>
        </w:rPr>
        <w:t>. As soon as available and in any event within 15 days after the end of each quarter of each Fiscal Year, reports supplementing Schedule 4.01(p) and Schedule 4.01(b), including, with respect to Schedule 4.01(p), an identification of all owned and leased real property acquired or disposed of by any Loan Party or any of its Subsidiaries during such quarter, and, with respect to each such Schedule, a description of such other changes in the information included in such Schedules as may be necessary for such Schedules to be accurate and complete.</w:t>
      </w:r>
    </w:p>
    <w:p>
      <w:pPr>
        <w:spacing w:after="0" w:line="185" w:lineRule="exact"/>
        <w:rPr>
          <w:rFonts w:ascii="Times New Roman" w:cs="Times New Roman" w:eastAsia="Times New Roman" w:hAnsi="Times New Roman"/>
          <w:sz w:val="19"/>
          <w:szCs w:val="19"/>
          <w:color w:val="010000"/>
        </w:rPr>
      </w:pPr>
    </w:p>
    <w:p>
      <w:pPr>
        <w:jc w:val="both"/>
        <w:ind w:firstLine="745"/>
        <w:spacing w:after="0" w:line="242" w:lineRule="auto"/>
        <w:tabs>
          <w:tab w:leader="none" w:pos="1288" w:val="left"/>
        </w:tabs>
        <w:numPr>
          <w:ilvl w:val="0"/>
          <w:numId w:val="25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Assets Reports</w:t>
      </w:r>
      <w:r>
        <w:rPr>
          <w:rFonts w:ascii="Times New Roman" w:cs="Times New Roman" w:eastAsia="Times New Roman" w:hAnsi="Times New Roman"/>
          <w:sz w:val="19"/>
          <w:szCs w:val="19"/>
          <w:color w:val="auto"/>
        </w:rPr>
        <w:t xml:space="preserve">. As soon as available and in any event within 45 days after the end of each quarter of each Fiscal Year, a report listing and describing (in detail reasonably satisfactory to the Administrative Agent) all Real Property assets of the Parent and its Subsidiaries as of the end of such quarter in form and substance reasonably satisfactory to the Administrative Agent. </w:t>
      </w:r>
      <w:r>
        <w:rPr>
          <w:rFonts w:ascii="Times New Roman" w:cs="Times New Roman" w:eastAsia="Times New Roman" w:hAnsi="Times New Roman"/>
          <w:sz w:val="19"/>
          <w:szCs w:val="19"/>
          <w:b w:val="1"/>
          <w:bCs w:val="1"/>
          <w:u w:val="single" w:color="auto"/>
          <w:color w:val="0000FF"/>
        </w:rPr>
        <w:t>For the avoidance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u w:val="single" w:color="auto"/>
          <w:color w:val="0000FF"/>
        </w:rPr>
        <w:t>of doubt, the requirement to deliver an asset report shall be deemed satisfied to the extent the Borrower has previously delivered, as part of its general reporting requirements for the applicable quarter, a list and description (in detail reasonably satisfactory to the Administrative Agent) of all of the Real Property assets of the Borrower and its Subsidiaries.</w:t>
      </w:r>
    </w:p>
    <w:p>
      <w:pPr>
        <w:spacing w:after="0" w:line="190" w:lineRule="exact"/>
        <w:rPr>
          <w:rFonts w:ascii="Times New Roman" w:cs="Times New Roman" w:eastAsia="Times New Roman" w:hAnsi="Times New Roman"/>
          <w:sz w:val="19"/>
          <w:szCs w:val="19"/>
          <w:color w:val="010000"/>
        </w:rPr>
      </w:pPr>
    </w:p>
    <w:p>
      <w:pPr>
        <w:jc w:val="both"/>
        <w:ind w:firstLine="745"/>
        <w:spacing w:after="0" w:line="219" w:lineRule="exact"/>
        <w:tabs>
          <w:tab w:leader="none" w:pos="1288" w:val="left"/>
        </w:tabs>
        <w:numPr>
          <w:ilvl w:val="0"/>
          <w:numId w:val="25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Environmental Conditions</w:t>
      </w:r>
      <w:r>
        <w:rPr>
          <w:rFonts w:ascii="Times New Roman" w:cs="Times New Roman" w:eastAsia="Times New Roman" w:hAnsi="Times New Roman"/>
          <w:sz w:val="19"/>
          <w:szCs w:val="19"/>
          <w:color w:val="auto"/>
        </w:rPr>
        <w:t>. Notice to the Administrative Agent (i) promptly upon obtaining knowledge of any material violation of any Environmental Law affecting any asset owned or operated by any Borrower Party or any Subsidiary thereof or the operations thereof or the operations of any of its Subsidiaries, (ii) promptly upon obtaining knowledge of any known release, discharge or disposal of any Hazardous Materials at, from, or into any asset which it reports in writing or is legally required to report in writing to any Governmental Authority and which is material in amount or nature or which could reasonably be expected to materially adversely affect the value of such asset, (iii) promptly upon its receipt of any written notice of material violation of any Environmental Laws or of any material release, discharge or disposal of Hazardous Materials in violation of any Environmental Laws or any matter that could reasonably be expected to result in an Environmental Action, including a notice or claim of liability or potential responsibility from any third party (including without limitation any federal, state or local governmental officials) and including notice of any formal inquiry, proceeding, demand, investigation or other action with regard to (A) such Borrower Party’s or any other Person’s operation of any asset in compliance with Environmental Laws, (B) Hazardous Materials contamination on, from or into any asset, or (C) investigation or remediation of off</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site locations at which such Borrower Party or any of its predecessors are alleged to have directly or indirectly disposed</w:t>
      </w:r>
    </w:p>
    <w:p>
      <w:pPr>
        <w:spacing w:after="0" w:line="33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671195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271" w:name="page272"/>
    <w:bookmarkEnd w:id="271"/>
    <w:p>
      <w:pPr>
        <w:jc w:val="both"/>
        <w:ind w:left="760"/>
        <w:spacing w:after="0" w:line="242" w:lineRule="auto"/>
        <w:rPr>
          <w:sz w:val="20"/>
          <w:szCs w:val="20"/>
          <w:color w:val="auto"/>
        </w:rPr>
      </w:pPr>
      <w:r>
        <w:rPr>
          <w:rFonts w:ascii="Times New Roman" w:cs="Times New Roman" w:eastAsia="Times New Roman" w:hAnsi="Times New Roman"/>
          <w:sz w:val="19"/>
          <w:szCs w:val="19"/>
          <w:color w:val="auto"/>
        </w:rPr>
        <w:t xml:space="preserve">of Hazardous Materials, or (iv) upon such Borrower Party’s obtaining knowledge that any expense or loss has been incurred by such Governmental Authority in connection with the assessment, containment, removal or remediation of any Hazardous Materials with respect to which such Borrower Party or any Joint Venture could reasonably be expected to incur material liability or for which a Lien may be imposed on any asset,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notice is required only for any of the events described in clauses (i) through (iv) above that could reasonably be expected to result in a Material Adverse Effect or could reasonably be expected to result in a material Environmental Action with respect to any Unencumbered Asset.</w:t>
      </w:r>
    </w:p>
    <w:p>
      <w:pPr>
        <w:spacing w:after="0" w:line="190" w:lineRule="exact"/>
        <w:rPr>
          <w:sz w:val="20"/>
          <w:szCs w:val="20"/>
          <w:color w:val="auto"/>
        </w:rPr>
      </w:pPr>
    </w:p>
    <w:p>
      <w:pPr>
        <w:jc w:val="both"/>
        <w:ind w:left="760" w:firstLine="745"/>
        <w:spacing w:after="0" w:line="244" w:lineRule="auto"/>
        <w:tabs>
          <w:tab w:leader="none" w:pos="2048" w:val="left"/>
        </w:tabs>
        <w:numPr>
          <w:ilvl w:val="0"/>
          <w:numId w:val="25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Unencumbered Asset Value</w:t>
      </w:r>
      <w:r>
        <w:rPr>
          <w:rFonts w:ascii="Times New Roman" w:cs="Times New Roman" w:eastAsia="Times New Roman" w:hAnsi="Times New Roman"/>
          <w:sz w:val="19"/>
          <w:szCs w:val="19"/>
          <w:color w:val="auto"/>
        </w:rPr>
        <w:t>. Promptly after a Responsible Officer becomes aware of any setoff, claim, withholding or defense asserted or effected against any Borrower Party, or to which any Unencumbered Asset is subject, which could reasonably be expected to (i) have a material adverse effect on the value of an Unencumbered Asset, (ii) have a Material Adverse Effect or (iii) result in the imposition or assertion of a Lien against any Unencumbered Asset which is not a Permitted Lien, notice to the Administrative Agent thereof.</w:t>
      </w:r>
    </w:p>
    <w:p>
      <w:pPr>
        <w:spacing w:after="0" w:line="185" w:lineRule="exact"/>
        <w:rPr>
          <w:rFonts w:ascii="Times New Roman" w:cs="Times New Roman" w:eastAsia="Times New Roman" w:hAnsi="Times New Roman"/>
          <w:sz w:val="19"/>
          <w:szCs w:val="19"/>
          <w:color w:val="010000"/>
        </w:rPr>
      </w:pPr>
    </w:p>
    <w:p>
      <w:pPr>
        <w:jc w:val="both"/>
        <w:ind w:left="760" w:firstLine="745"/>
        <w:spacing w:after="0" w:line="246" w:lineRule="auto"/>
        <w:tabs>
          <w:tab w:leader="none" w:pos="2048" w:val="left"/>
        </w:tabs>
        <w:numPr>
          <w:ilvl w:val="0"/>
          <w:numId w:val="25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Addition/Removal of Unencumbered Assets</w:t>
      </w:r>
      <w:r>
        <w:rPr>
          <w:rFonts w:ascii="Times New Roman" w:cs="Times New Roman" w:eastAsia="Times New Roman" w:hAnsi="Times New Roman"/>
          <w:sz w:val="19"/>
          <w:szCs w:val="19"/>
          <w:color w:val="auto"/>
        </w:rPr>
        <w:t>. Notice to the Administrative Agent of the addition, removal, Transfer or redesignation of any Unencumbered Asset pursuant to Section 5.01(j) or Section 5.02(e)(ii), including, promptly after obtaining actual knowledge thereof, any event or circumstance that results in any Asset previously qualifying as an Unencumbered Asset ceasing to qualify as such, together with any certificate of a Responsible Officer as is required by Section 5.01(j) or 5.02(e)(ii), as applicable.</w:t>
      </w:r>
    </w:p>
    <w:p>
      <w:pPr>
        <w:spacing w:after="0" w:line="184" w:lineRule="exact"/>
        <w:rPr>
          <w:rFonts w:ascii="Times New Roman" w:cs="Times New Roman" w:eastAsia="Times New Roman" w:hAnsi="Times New Roman"/>
          <w:sz w:val="19"/>
          <w:szCs w:val="19"/>
          <w:color w:val="010000"/>
        </w:rPr>
      </w:pPr>
    </w:p>
    <w:p>
      <w:pPr>
        <w:jc w:val="both"/>
        <w:ind w:left="760" w:firstLine="745"/>
        <w:spacing w:after="0" w:line="239" w:lineRule="auto"/>
        <w:tabs>
          <w:tab w:leader="none" w:pos="2048" w:val="left"/>
        </w:tabs>
        <w:numPr>
          <w:ilvl w:val="0"/>
          <w:numId w:val="25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Reconciliation Statements</w:t>
      </w:r>
      <w:r>
        <w:rPr>
          <w:rFonts w:ascii="Times New Roman" w:cs="Times New Roman" w:eastAsia="Times New Roman" w:hAnsi="Times New Roman"/>
          <w:sz w:val="19"/>
          <w:szCs w:val="19"/>
          <w:color w:val="auto"/>
        </w:rPr>
        <w:t xml:space="preserve">. If, as a result of any change in accounting principles and policies from those used in the preparation of the audited financial statements referred to in Section 4.01(g) and forecasts referred to in Section 4.01(h), the Consolidated and consolidating financial statements and forecasts of the Parent and its Subsidiaries delivered pursuant to Section 5.03(b), (c) or (f) will differ in any material respect from the Consolidated and consolidating financial statements that would have been delivered pursuant to such Section had no such change in accounting principles and policies been made, then (i) together with the first delivery of financial statements or forecasts pursuant to Section 5.03(b), (c) or (f) following such change, Consolidated and consolidating financial statements and forecasts of the Parent and its Subsidiaries for the fiscal quarter immediately preceding the fiscal quarter in which such change is made, prepared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as if such change had been in effect during such fiscal quarter, and (ii) if requested by Administrative Agent, a written statement of the Chief Executive Officer, Chief Financial Officer or Treasurer (or other Responsible Officer performing similar functions) of the Parent setting forth the differences (including any differences that would affect any calculations relating to the financial covenants set forth in Section 5.04) which would have resulted if such financial statements and forecasts had been prepared without giving effect to such change.</w:t>
      </w:r>
    </w:p>
    <w:p>
      <w:pPr>
        <w:spacing w:after="0" w:line="197" w:lineRule="exact"/>
        <w:rPr>
          <w:rFonts w:ascii="Times New Roman" w:cs="Times New Roman" w:eastAsia="Times New Roman" w:hAnsi="Times New Roman"/>
          <w:sz w:val="19"/>
          <w:szCs w:val="19"/>
          <w:color w:val="010000"/>
        </w:rPr>
      </w:pPr>
    </w:p>
    <w:p>
      <w:pPr>
        <w:jc w:val="both"/>
        <w:ind w:left="760" w:firstLine="745"/>
        <w:spacing w:after="0" w:line="251" w:lineRule="auto"/>
        <w:tabs>
          <w:tab w:leader="none" w:pos="2048" w:val="left"/>
        </w:tabs>
        <w:numPr>
          <w:ilvl w:val="0"/>
          <w:numId w:val="25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Beneficial Ownership Certification</w:t>
      </w:r>
      <w:r>
        <w:rPr>
          <w:rFonts w:ascii="Times New Roman" w:cs="Times New Roman" w:eastAsia="Times New Roman" w:hAnsi="Times New Roman"/>
          <w:sz w:val="19"/>
          <w:szCs w:val="19"/>
          <w:color w:val="auto"/>
        </w:rPr>
        <w:t>. Promptly following any change in beneficial ownership of the Borrower that would render any statement in the existing Beneficial Ownership Certification untrue or inaccurate, an updated Beneficial Ownership Certification for the Borrower.</w:t>
      </w:r>
    </w:p>
    <w:p>
      <w:pPr>
        <w:spacing w:after="0" w:line="178" w:lineRule="exact"/>
        <w:rPr>
          <w:rFonts w:ascii="Times New Roman" w:cs="Times New Roman" w:eastAsia="Times New Roman" w:hAnsi="Times New Roman"/>
          <w:sz w:val="19"/>
          <w:szCs w:val="19"/>
          <w:color w:val="010000"/>
        </w:rPr>
      </w:pPr>
    </w:p>
    <w:p>
      <w:pPr>
        <w:jc w:val="both"/>
        <w:ind w:left="760" w:firstLine="745"/>
        <w:spacing w:after="0" w:line="251" w:lineRule="auto"/>
        <w:tabs>
          <w:tab w:leader="none" w:pos="2048" w:val="left"/>
        </w:tabs>
        <w:numPr>
          <w:ilvl w:val="0"/>
          <w:numId w:val="25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Other Information</w:t>
      </w:r>
      <w:r>
        <w:rPr>
          <w:rFonts w:ascii="Times New Roman" w:cs="Times New Roman" w:eastAsia="Times New Roman" w:hAnsi="Times New Roman"/>
          <w:sz w:val="19"/>
          <w:szCs w:val="19"/>
          <w:color w:val="auto"/>
        </w:rPr>
        <w:t>. Promptly, such other information respecting the business, condition (financial or otherwise), operations, performance, properties or prospects of any Loan Party or any of its Restricted Subsidiaries as the Administrative Agent, or any Lender through the Administrative Agent, may from time to time reasonably request.</w:t>
      </w:r>
    </w:p>
    <w:p>
      <w:pPr>
        <w:spacing w:after="0" w:line="179" w:lineRule="exact"/>
        <w:rPr>
          <w:sz w:val="20"/>
          <w:szCs w:val="20"/>
          <w:color w:val="auto"/>
        </w:rPr>
      </w:pPr>
    </w:p>
    <w:p>
      <w:pPr>
        <w:ind w:firstLine="1497"/>
        <w:spacing w:after="0" w:line="265" w:lineRule="auto"/>
        <w:rPr>
          <w:sz w:val="20"/>
          <w:szCs w:val="20"/>
          <w:color w:val="auto"/>
        </w:rPr>
      </w:pPr>
      <w:r>
        <w:rPr>
          <w:rFonts w:ascii="Times New Roman" w:cs="Times New Roman" w:eastAsia="Times New Roman" w:hAnsi="Times New Roman"/>
          <w:sz w:val="19"/>
          <w:szCs w:val="19"/>
          <w:color w:val="010000"/>
        </w:rPr>
        <w:t>Section 5.04</w:t>
      </w:r>
      <w:r>
        <w:rPr>
          <w:rFonts w:ascii="Times New Roman" w:cs="Times New Roman" w:eastAsia="Times New Roman" w:hAnsi="Times New Roman"/>
          <w:sz w:val="19"/>
          <w:szCs w:val="19"/>
          <w:u w:val="single" w:color="auto"/>
          <w:color w:val="000000"/>
        </w:rPr>
        <w:t>Financial Covenants</w:t>
      </w:r>
      <w:r>
        <w:rPr>
          <w:rFonts w:ascii="Times New Roman" w:cs="Times New Roman" w:eastAsia="Times New Roman" w:hAnsi="Times New Roman"/>
          <w:sz w:val="19"/>
          <w:szCs w:val="19"/>
          <w:color w:val="000000"/>
        </w:rPr>
        <w:t>. So long as any Advance or any other Obligation of any Loan Party under any Loan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Document shall remain unpaid or any Lender shall have, at any time after the Initial Borrowing, any Commitment hereunder, the Parent will:</w:t>
      </w:r>
    </w:p>
    <w:p>
      <w:pPr>
        <w:spacing w:after="0" w:line="166" w:lineRule="exact"/>
        <w:rPr>
          <w:sz w:val="20"/>
          <w:szCs w:val="20"/>
          <w:color w:val="auto"/>
        </w:rPr>
      </w:pPr>
    </w:p>
    <w:p>
      <w:pPr>
        <w:ind w:left="2040" w:hanging="535"/>
        <w:spacing w:after="0"/>
        <w:tabs>
          <w:tab w:leader="none" w:pos="2040" w:val="left"/>
        </w:tabs>
        <w:numPr>
          <w:ilvl w:val="0"/>
          <w:numId w:val="25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Parent Financial Covenants</w:t>
      </w:r>
      <w:r>
        <w:rPr>
          <w:rFonts w:ascii="Times New Roman" w:cs="Times New Roman" w:eastAsia="Times New Roman" w:hAnsi="Times New Roman"/>
          <w:sz w:val="19"/>
          <w:szCs w:val="19"/>
          <w:color w:val="auto"/>
        </w:rPr>
        <w:t>.</w:t>
      </w:r>
    </w:p>
    <w:p>
      <w:pPr>
        <w:spacing w:after="0" w:line="34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72" w:name="page273"/>
    <w:bookmarkEnd w:id="272"/>
    <w:p>
      <w:pPr>
        <w:jc w:val="both"/>
        <w:ind w:left="1500" w:firstLine="754"/>
        <w:spacing w:after="0" w:line="248" w:lineRule="auto"/>
        <w:tabs>
          <w:tab w:leader="none" w:pos="2548" w:val="left"/>
        </w:tabs>
        <w:numPr>
          <w:ilvl w:val="1"/>
          <w:numId w:val="2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Maximum Leverage Ratio</w:t>
      </w:r>
      <w:r>
        <w:rPr>
          <w:rFonts w:ascii="Times New Roman" w:cs="Times New Roman" w:eastAsia="Times New Roman" w:hAnsi="Times New Roman"/>
          <w:sz w:val="19"/>
          <w:szCs w:val="19"/>
          <w:color w:val="auto"/>
        </w:rPr>
        <w:t xml:space="preserve">. Maintain at all times a Leverage Ratio of not greater than 60%;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Leverage Ratio may be increased to 65% for the four consecutive fiscal quarters following the fiscal quarter in which a Material Acquisition occurs (the period during which any such increase in the Leverage Ratio shall be in effect being called a “</w:t>
      </w:r>
      <w:r>
        <w:rPr>
          <w:rFonts w:ascii="Times New Roman" w:cs="Times New Roman" w:eastAsia="Times New Roman" w:hAnsi="Times New Roman"/>
          <w:sz w:val="19"/>
          <w:szCs w:val="19"/>
          <w:i w:val="1"/>
          <w:iCs w:val="1"/>
          <w:color w:val="auto"/>
        </w:rPr>
        <w:t>Leverage Increase Period</w:t>
      </w:r>
      <w:r>
        <w:rPr>
          <w:rFonts w:ascii="Times New Roman" w:cs="Times New Roman" w:eastAsia="Times New Roman" w:hAnsi="Times New Roman"/>
          <w:sz w:val="19"/>
          <w:szCs w:val="19"/>
          <w:color w:val="auto"/>
        </w:rPr>
        <w:t>”). There shall be no more than two Leverage Increase Periods prior to the Termination Date.</w:t>
      </w:r>
    </w:p>
    <w:p>
      <w:pPr>
        <w:spacing w:after="0" w:line="180" w:lineRule="exact"/>
        <w:rPr>
          <w:rFonts w:ascii="Times New Roman" w:cs="Times New Roman" w:eastAsia="Times New Roman" w:hAnsi="Times New Roman"/>
          <w:sz w:val="19"/>
          <w:szCs w:val="19"/>
          <w:color w:val="010000"/>
        </w:rPr>
      </w:pPr>
    </w:p>
    <w:p>
      <w:pPr>
        <w:ind w:left="2560" w:hanging="306"/>
        <w:spacing w:after="0"/>
        <w:tabs>
          <w:tab w:leader="none" w:pos="2560" w:val="left"/>
        </w:tabs>
        <w:numPr>
          <w:ilvl w:val="1"/>
          <w:numId w:val="2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Maximum Secured Debt Leverage Ratio</w:t>
      </w:r>
      <w:r>
        <w:rPr>
          <w:rFonts w:ascii="Times New Roman" w:cs="Times New Roman" w:eastAsia="Times New Roman" w:hAnsi="Times New Roman"/>
          <w:sz w:val="19"/>
          <w:szCs w:val="19"/>
          <w:color w:val="auto"/>
        </w:rPr>
        <w:t>. Maintain at all times a Secured Debt Leverage Ratio of not greater than</w:t>
      </w:r>
    </w:p>
    <w:p>
      <w:pPr>
        <w:spacing w:after="0" w:line="17" w:lineRule="exact"/>
        <w:rPr>
          <w:rFonts w:ascii="Times New Roman" w:cs="Times New Roman" w:eastAsia="Times New Roman" w:hAnsi="Times New Roman"/>
          <w:sz w:val="19"/>
          <w:szCs w:val="19"/>
          <w:color w:val="010000"/>
        </w:rPr>
      </w:pPr>
    </w:p>
    <w:p>
      <w:pPr>
        <w:ind w:left="1500"/>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40%.</w:t>
      </w:r>
    </w:p>
    <w:p>
      <w:pPr>
        <w:spacing w:after="0" w:line="193" w:lineRule="exact"/>
        <w:rPr>
          <w:rFonts w:ascii="Times New Roman" w:cs="Times New Roman" w:eastAsia="Times New Roman" w:hAnsi="Times New Roman"/>
          <w:sz w:val="19"/>
          <w:szCs w:val="19"/>
          <w:color w:val="010000"/>
        </w:rPr>
      </w:pPr>
    </w:p>
    <w:p>
      <w:pPr>
        <w:ind w:left="2560" w:hanging="306"/>
        <w:spacing w:after="0"/>
        <w:tabs>
          <w:tab w:leader="none" w:pos="2560" w:val="left"/>
        </w:tabs>
        <w:numPr>
          <w:ilvl w:val="1"/>
          <w:numId w:val="2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010000"/>
        </w:rPr>
      </w:pPr>
    </w:p>
    <w:p>
      <w:pPr>
        <w:ind w:left="2560" w:hanging="306"/>
        <w:spacing w:after="0"/>
        <w:tabs>
          <w:tab w:leader="none" w:pos="2560" w:val="left"/>
        </w:tabs>
        <w:numPr>
          <w:ilvl w:val="1"/>
          <w:numId w:val="2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w:t>
      </w:r>
    </w:p>
    <w:p>
      <w:pPr>
        <w:spacing w:after="0" w:line="209" w:lineRule="exact"/>
        <w:rPr>
          <w:rFonts w:ascii="Times New Roman" w:cs="Times New Roman" w:eastAsia="Times New Roman" w:hAnsi="Times New Roman"/>
          <w:sz w:val="19"/>
          <w:szCs w:val="19"/>
          <w:color w:val="010000"/>
        </w:rPr>
      </w:pPr>
    </w:p>
    <w:p>
      <w:pPr>
        <w:jc w:val="both"/>
        <w:ind w:left="1500" w:firstLine="754"/>
        <w:spacing w:after="0" w:line="253" w:lineRule="auto"/>
        <w:tabs>
          <w:tab w:leader="none" w:pos="2548" w:val="left"/>
        </w:tabs>
        <w:numPr>
          <w:ilvl w:val="1"/>
          <w:numId w:val="2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Maximum Dividend Payout Ratio</w:t>
      </w:r>
      <w:r>
        <w:rPr>
          <w:rFonts w:ascii="Times New Roman" w:cs="Times New Roman" w:eastAsia="Times New Roman" w:hAnsi="Times New Roman"/>
          <w:sz w:val="19"/>
          <w:szCs w:val="19"/>
          <w:color w:val="auto"/>
        </w:rPr>
        <w:t xml:space="preserve">. Maintain at all times a Dividend Payout Ratio of equal to or </w:t>
      </w:r>
      <w:r>
        <w:rPr>
          <w:rFonts w:ascii="Times New Roman" w:cs="Times New Roman" w:eastAsia="Times New Roman" w:hAnsi="Times New Roman"/>
          <w:sz w:val="19"/>
          <w:szCs w:val="19"/>
          <w:i w:val="1"/>
          <w:iCs w:val="1"/>
          <w:color w:val="auto"/>
        </w:rPr>
        <w:t>less</w:t>
      </w:r>
      <w:r>
        <w:rPr>
          <w:rFonts w:ascii="Times New Roman" w:cs="Times New Roman" w:eastAsia="Times New Roman" w:hAnsi="Times New Roman"/>
          <w:sz w:val="19"/>
          <w:szCs w:val="19"/>
          <w:color w:val="auto"/>
        </w:rPr>
        <w:t xml:space="preserve"> than (A) 95% or (B) such greater amount as may be required by applicable law to maintain status as a REIT for tax purposes and avoid imposition of income and excise taxes on the Parent under the Internal Revenue Code.</w:t>
      </w:r>
    </w:p>
    <w:p>
      <w:pPr>
        <w:spacing w:after="0" w:line="177" w:lineRule="exact"/>
        <w:rPr>
          <w:rFonts w:ascii="Times New Roman" w:cs="Times New Roman" w:eastAsia="Times New Roman" w:hAnsi="Times New Roman"/>
          <w:sz w:val="19"/>
          <w:szCs w:val="19"/>
          <w:color w:val="010000"/>
        </w:rPr>
      </w:pPr>
    </w:p>
    <w:p>
      <w:pPr>
        <w:ind w:left="2560" w:hanging="306"/>
        <w:spacing w:after="0"/>
        <w:tabs>
          <w:tab w:leader="none" w:pos="2560" w:val="left"/>
        </w:tabs>
        <w:numPr>
          <w:ilvl w:val="1"/>
          <w:numId w:val="25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Minimum Fixed Charge Coverage Ratio</w:t>
      </w:r>
      <w:r>
        <w:rPr>
          <w:rFonts w:ascii="Times New Roman" w:cs="Times New Roman" w:eastAsia="Times New Roman" w:hAnsi="Times New Roman"/>
          <w:sz w:val="19"/>
          <w:szCs w:val="19"/>
          <w:color w:val="auto"/>
        </w:rPr>
        <w:t>.  Maintain at all times a Fixed Charge Coverage Ratio of not less than</w:t>
      </w:r>
    </w:p>
    <w:p>
      <w:pPr>
        <w:spacing w:after="0" w:line="17" w:lineRule="exact"/>
        <w:rPr>
          <w:rFonts w:ascii="Times New Roman" w:cs="Times New Roman" w:eastAsia="Times New Roman" w:hAnsi="Times New Roman"/>
          <w:sz w:val="19"/>
          <w:szCs w:val="19"/>
          <w:color w:val="010000"/>
        </w:rPr>
      </w:pPr>
    </w:p>
    <w:p>
      <w:pPr>
        <w:ind w:left="1500"/>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1.50:1.0.</w:t>
      </w:r>
    </w:p>
    <w:p>
      <w:pPr>
        <w:spacing w:after="0" w:line="193" w:lineRule="exact"/>
        <w:rPr>
          <w:rFonts w:ascii="Times New Roman" w:cs="Times New Roman" w:eastAsia="Times New Roman" w:hAnsi="Times New Roman"/>
          <w:sz w:val="19"/>
          <w:szCs w:val="19"/>
          <w:color w:val="010000"/>
        </w:rPr>
      </w:pPr>
    </w:p>
    <w:p>
      <w:pPr>
        <w:ind w:left="2040" w:hanging="535"/>
        <w:spacing w:after="0"/>
        <w:tabs>
          <w:tab w:leader="none" w:pos="2040" w:val="left"/>
        </w:tabs>
        <w:numPr>
          <w:ilvl w:val="0"/>
          <w:numId w:val="25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Unencumbered Asset Financial Covenants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010000"/>
        </w:rPr>
      </w:pPr>
    </w:p>
    <w:p>
      <w:pPr>
        <w:jc w:val="both"/>
        <w:ind w:left="1500" w:firstLine="754"/>
        <w:spacing w:after="0" w:line="244" w:lineRule="auto"/>
        <w:tabs>
          <w:tab w:leader="none" w:pos="2548" w:val="left"/>
        </w:tabs>
        <w:numPr>
          <w:ilvl w:val="1"/>
          <w:numId w:val="25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Maximum Unsecured Leverage Ratio</w:t>
      </w:r>
      <w:r>
        <w:rPr>
          <w:rFonts w:ascii="Times New Roman" w:cs="Times New Roman" w:eastAsia="Times New Roman" w:hAnsi="Times New Roman"/>
          <w:sz w:val="19"/>
          <w:szCs w:val="19"/>
          <w:color w:val="auto"/>
        </w:rPr>
        <w:t xml:space="preserve">. Maintain at all times an Unsecured Leverage Ratio of not greater than 60%;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Unsecured Leverage Ratio may be increased to 65% for the four consecutive fiscal quarters following the fiscal quarter in which a Material Acquisition occurs (the period during which any such increase in the Leverage Ratio shall be in effect being called a “</w:t>
      </w:r>
      <w:r>
        <w:rPr>
          <w:rFonts w:ascii="Times New Roman" w:cs="Times New Roman" w:eastAsia="Times New Roman" w:hAnsi="Times New Roman"/>
          <w:sz w:val="19"/>
          <w:szCs w:val="19"/>
          <w:i w:val="1"/>
          <w:iCs w:val="1"/>
          <w:color w:val="auto"/>
        </w:rPr>
        <w:t>Unsecured Leverage Increase Period</w:t>
      </w:r>
      <w:r>
        <w:rPr>
          <w:rFonts w:ascii="Times New Roman" w:cs="Times New Roman" w:eastAsia="Times New Roman" w:hAnsi="Times New Roman"/>
          <w:sz w:val="19"/>
          <w:szCs w:val="19"/>
          <w:color w:val="auto"/>
        </w:rPr>
        <w:t>”). There shall be no more than two Unsecured Leverage Increase Periods prior to the Termination Date.</w:t>
      </w:r>
    </w:p>
    <w:p>
      <w:pPr>
        <w:spacing w:after="0" w:line="185" w:lineRule="exact"/>
        <w:rPr>
          <w:rFonts w:ascii="Times New Roman" w:cs="Times New Roman" w:eastAsia="Times New Roman" w:hAnsi="Times New Roman"/>
          <w:sz w:val="19"/>
          <w:szCs w:val="19"/>
          <w:color w:val="010000"/>
        </w:rPr>
      </w:pPr>
    </w:p>
    <w:p>
      <w:pPr>
        <w:ind w:left="1500" w:firstLine="754"/>
        <w:spacing w:after="0" w:line="265" w:lineRule="auto"/>
        <w:tabs>
          <w:tab w:leader="none" w:pos="2548" w:val="left"/>
        </w:tabs>
        <w:numPr>
          <w:ilvl w:val="1"/>
          <w:numId w:val="25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Minimum Unencumbered Asset Debt Service Coverage Ratio</w:t>
      </w:r>
      <w:r>
        <w:rPr>
          <w:rFonts w:ascii="Times New Roman" w:cs="Times New Roman" w:eastAsia="Times New Roman" w:hAnsi="Times New Roman"/>
          <w:sz w:val="19"/>
          <w:szCs w:val="19"/>
          <w:color w:val="auto"/>
        </w:rPr>
        <w:t>. Maintain at all times an Unencumbered Asset Debt Service Coverage Ratio of not less than 1.75:1.00.</w:t>
      </w:r>
    </w:p>
    <w:p>
      <w:pPr>
        <w:spacing w:after="0" w:line="166"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auto"/>
        </w:rPr>
        <w:t xml:space="preserve">To the extent any calculations described in Sections 5.04(a) or 5.04(b) are required to be made on any date of determination other than the last day of a fiscal quarter of the Parent, such calculations shall be made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to account for any acquisitions or dispositions of Assets, and the incurrence or repayment of any Debt for borrowed money relating to such Assets, that have occurred since the last day of the fiscal quarter of the Parent most recently ended. To the extent any calculations described in Sections 5.04(a) or 5.04(b) are required to be made on a Test Date relating to (a) an Advance or (b) any addition, removal, redesignation or Transfer of any Unencumbered Asset pursuant to Section 5.01(j) or Section 5.02(e)(ii), such calculations shall be made both immediately before and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immediately after giving effect to such Advance or such Transfer, as applicable. All such calculations shall be reasonably acceptable to the Administrative Agent.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VI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EVENTS OF DEFAULT</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010000"/>
        </w:rPr>
        <w:t>Section 6.01</w:t>
      </w:r>
      <w:r>
        <w:rPr>
          <w:rFonts w:ascii="Times New Roman" w:cs="Times New Roman" w:eastAsia="Times New Roman" w:hAnsi="Times New Roman"/>
          <w:sz w:val="19"/>
          <w:szCs w:val="19"/>
          <w:u w:val="single" w:color="auto"/>
          <w:color w:val="000000"/>
        </w:rPr>
        <w:t>Events of Default</w:t>
      </w:r>
      <w:r>
        <w:rPr>
          <w:rFonts w:ascii="Times New Roman" w:cs="Times New Roman" w:eastAsia="Times New Roman" w:hAnsi="Times New Roman"/>
          <w:sz w:val="19"/>
          <w:szCs w:val="19"/>
          <w:color w:val="000000"/>
        </w:rPr>
        <w:t>. If any of the following events (“</w:t>
      </w:r>
      <w:r>
        <w:rPr>
          <w:rFonts w:ascii="Times New Roman" w:cs="Times New Roman" w:eastAsia="Times New Roman" w:hAnsi="Times New Roman"/>
          <w:sz w:val="19"/>
          <w:szCs w:val="19"/>
          <w:b w:val="1"/>
          <w:bCs w:val="1"/>
          <w:i w:val="1"/>
          <w:iCs w:val="1"/>
          <w:color w:val="000000"/>
        </w:rPr>
        <w:t>Events of Default</w:t>
      </w:r>
      <w:r>
        <w:rPr>
          <w:rFonts w:ascii="Times New Roman" w:cs="Times New Roman" w:eastAsia="Times New Roman" w:hAnsi="Times New Roman"/>
          <w:sz w:val="19"/>
          <w:szCs w:val="19"/>
          <w:color w:val="000000"/>
        </w:rPr>
        <w:t>”) shall occur and be continuing:</w:t>
      </w:r>
    </w:p>
    <w:p>
      <w:pPr>
        <w:spacing w:after="0" w:line="35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273" w:name="page274"/>
    <w:bookmarkEnd w:id="273"/>
    <w:p>
      <w:pPr>
        <w:jc w:val="both"/>
        <w:ind w:firstLine="745"/>
        <w:spacing w:after="0" w:line="246" w:lineRule="auto"/>
        <w:tabs>
          <w:tab w:leader="none" w:pos="1288" w:val="left"/>
        </w:tabs>
        <w:numPr>
          <w:ilvl w:val="0"/>
          <w:numId w:val="25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Failure to Make Payments When Due</w:t>
      </w:r>
      <w:r>
        <w:rPr>
          <w:rFonts w:ascii="Times New Roman" w:cs="Times New Roman" w:eastAsia="Times New Roman" w:hAnsi="Times New Roman"/>
          <w:sz w:val="19"/>
          <w:szCs w:val="19"/>
          <w:color w:val="auto"/>
        </w:rPr>
        <w:t>. (i) The Borrower shall fail to pay any principal of any Advance when the same shall become due and payable or (ii) the Borrower shall fail to pay any interest on any Advance, or any Loan Party shall fail to make any other payment under any Loan Document, in each case under this clause (ii) within three Business Days after the same becomes due and payable; or</w:t>
      </w:r>
    </w:p>
    <w:p>
      <w:pPr>
        <w:spacing w:after="0" w:line="184" w:lineRule="exact"/>
        <w:rPr>
          <w:rFonts w:ascii="Times New Roman" w:cs="Times New Roman" w:eastAsia="Times New Roman" w:hAnsi="Times New Roman"/>
          <w:sz w:val="19"/>
          <w:szCs w:val="19"/>
          <w:color w:val="010000"/>
        </w:rPr>
      </w:pPr>
    </w:p>
    <w:p>
      <w:pPr>
        <w:jc w:val="both"/>
        <w:ind w:firstLine="745"/>
        <w:spacing w:after="0" w:line="244" w:lineRule="auto"/>
        <w:tabs>
          <w:tab w:leader="none" w:pos="1288" w:val="left"/>
        </w:tabs>
        <w:numPr>
          <w:ilvl w:val="0"/>
          <w:numId w:val="25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Breach of Representations and Warranties</w:t>
      </w:r>
      <w:r>
        <w:rPr>
          <w:rFonts w:ascii="Times New Roman" w:cs="Times New Roman" w:eastAsia="Times New Roman" w:hAnsi="Times New Roman"/>
          <w:sz w:val="19"/>
          <w:szCs w:val="19"/>
          <w:color w:val="auto"/>
        </w:rPr>
        <w:t>. Any representation, warranty, certification or statement of fact made or deemed made by or on behalf of the Borrower or any other Loan Party herein, in any other Loan Document, or in any document delivered in connection herewith or therewith shall be incorrect or misleading in any material respect when made or deemed made or any representation or warranty that is already by its terms qualified as to “materiality”, “Material Adverse Effect” or similar language shall be incorrect or misleading in any respect after giving effect to such qualification when made or deemed made; or</w:t>
      </w:r>
    </w:p>
    <w:p>
      <w:pPr>
        <w:spacing w:after="0" w:line="185" w:lineRule="exact"/>
        <w:rPr>
          <w:rFonts w:ascii="Times New Roman" w:cs="Times New Roman" w:eastAsia="Times New Roman" w:hAnsi="Times New Roman"/>
          <w:sz w:val="19"/>
          <w:szCs w:val="19"/>
          <w:color w:val="010000"/>
        </w:rPr>
      </w:pPr>
    </w:p>
    <w:p>
      <w:pPr>
        <w:ind w:firstLine="745"/>
        <w:spacing w:after="0" w:line="265" w:lineRule="auto"/>
        <w:tabs>
          <w:tab w:leader="none" w:pos="1288" w:val="left"/>
        </w:tabs>
        <w:numPr>
          <w:ilvl w:val="0"/>
          <w:numId w:val="25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Breach of Certain Covenants</w:t>
      </w:r>
      <w:r>
        <w:rPr>
          <w:rFonts w:ascii="Times New Roman" w:cs="Times New Roman" w:eastAsia="Times New Roman" w:hAnsi="Times New Roman"/>
          <w:sz w:val="19"/>
          <w:szCs w:val="19"/>
          <w:color w:val="auto"/>
        </w:rPr>
        <w:t>. The Borrower shall fail to perform or observe any term, covenant or agreement contained in Section 2.14, 5.01(e) (only with respect to the Borrower or the Parent), (i), (o), (p) or (q), 5.02, 5.03 or 5.04; or</w:t>
      </w:r>
    </w:p>
    <w:p>
      <w:pPr>
        <w:spacing w:after="0" w:line="165" w:lineRule="exact"/>
        <w:rPr>
          <w:rFonts w:ascii="Times New Roman" w:cs="Times New Roman" w:eastAsia="Times New Roman" w:hAnsi="Times New Roman"/>
          <w:sz w:val="19"/>
          <w:szCs w:val="19"/>
          <w:color w:val="010000"/>
        </w:rPr>
      </w:pPr>
    </w:p>
    <w:p>
      <w:pPr>
        <w:jc w:val="both"/>
        <w:ind w:firstLine="745"/>
        <w:spacing w:after="0" w:line="246" w:lineRule="auto"/>
        <w:tabs>
          <w:tab w:leader="none" w:pos="1288" w:val="left"/>
        </w:tabs>
        <w:numPr>
          <w:ilvl w:val="0"/>
          <w:numId w:val="25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Other Defaults under Loan Documents</w:t>
      </w:r>
      <w:r>
        <w:rPr>
          <w:rFonts w:ascii="Times New Roman" w:cs="Times New Roman" w:eastAsia="Times New Roman" w:hAnsi="Times New Roman"/>
          <w:sz w:val="19"/>
          <w:szCs w:val="19"/>
          <w:color w:val="auto"/>
        </w:rPr>
        <w:t>. Any Loan Party shall fail to perform or observe any other term, covenant or agreement contained in any Loan Document (other than a Guaranteed Hedge Agreement) on its part to be performed or observed if such failure shall remain unremedied for 30 days after the earlier of the date on which (i) a Responsible Officer becomes aware of such failure or (ii) written notice thereof shall have been given to the Borrower by the Administrative Agent or any Lender; or</w:t>
      </w:r>
    </w:p>
    <w:p>
      <w:pPr>
        <w:spacing w:after="0" w:line="184" w:lineRule="exact"/>
        <w:rPr>
          <w:rFonts w:ascii="Times New Roman" w:cs="Times New Roman" w:eastAsia="Times New Roman" w:hAnsi="Times New Roman"/>
          <w:sz w:val="19"/>
          <w:szCs w:val="19"/>
          <w:color w:val="010000"/>
        </w:rPr>
      </w:pPr>
    </w:p>
    <w:p>
      <w:pPr>
        <w:jc w:val="both"/>
        <w:ind w:firstLine="745"/>
        <w:spacing w:after="0"/>
        <w:tabs>
          <w:tab w:leader="none" w:pos="1288" w:val="left"/>
        </w:tabs>
        <w:numPr>
          <w:ilvl w:val="0"/>
          <w:numId w:val="25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Cross Defaults</w:t>
      </w:r>
      <w:r>
        <w:rPr>
          <w:rFonts w:ascii="Times New Roman" w:cs="Times New Roman" w:eastAsia="Times New Roman" w:hAnsi="Times New Roman"/>
          <w:sz w:val="19"/>
          <w:szCs w:val="19"/>
          <w:color w:val="auto"/>
        </w:rPr>
        <w:t>. (i) Any Loan Party or any Restricted Subsidiary thereof shall fail to pay any principal of, premium or interest on or any other amount payable in respect of any Material Debt when the same becomes due and payable (whether by scheduled maturity, required prepayment, acceleration, demand or otherwise); or (ii) any other event shall occur or condition shall exist under any agreement or instrument relating to any such Material Debt, if (A) the effect of such event or condition is to permit the acceleration of the maturity of such Material Debt or otherwise permit the holders thereof to cause such Material Debt to mature, and (B) such event or condition shall remain unremedied or otherwise uncured for a period of 30 days; or (iii) the maturity of any such Material Debt shall be accelerated or any such Material Debt shall be declared to be due and payable or required to be prepaid or redeemed (other than by a regularly scheduled required prepayment or redemption), purchased or defeased, or an offer to prepay, redeem, purchase or defease such Material Debt shall be required to be made, in each case prior to the stated maturity thereof; or</w:t>
      </w:r>
    </w:p>
    <w:p>
      <w:pPr>
        <w:spacing w:after="0" w:line="193" w:lineRule="exact"/>
        <w:rPr>
          <w:rFonts w:ascii="Times New Roman" w:cs="Times New Roman" w:eastAsia="Times New Roman" w:hAnsi="Times New Roman"/>
          <w:sz w:val="19"/>
          <w:szCs w:val="19"/>
          <w:color w:val="010000"/>
        </w:rPr>
      </w:pPr>
    </w:p>
    <w:p>
      <w:pPr>
        <w:jc w:val="both"/>
        <w:ind w:firstLine="745"/>
        <w:spacing w:after="0"/>
        <w:tabs>
          <w:tab w:leader="none" w:pos="1288" w:val="left"/>
        </w:tabs>
        <w:numPr>
          <w:ilvl w:val="0"/>
          <w:numId w:val="25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Insolvency Events</w:t>
      </w:r>
      <w:r>
        <w:rPr>
          <w:rFonts w:ascii="Times New Roman" w:cs="Times New Roman" w:eastAsia="Times New Roman" w:hAnsi="Times New Roman"/>
          <w:sz w:val="19"/>
          <w:szCs w:val="19"/>
          <w:color w:val="auto"/>
        </w:rPr>
        <w:t>. Any Loan Party or any Restricted Subsidiary thereof shall generally not pay its debts as such debts become due, or shall admit in writing its inability to pay its debts generally, or shall make a general assignment for the benefit of creditors; or any proceeding shall be instituted by or against any Loan Party or any Restricted Subsidiary thereof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or other similar official for it or for any substantial part of its property and, in the case of any such proceeding instituted against it (but not instituted by it) that is being diligently contested by it in good faith, either such proceeding shall remain undismissed or unstayed for a period of 60 days or any of the actions sought in such proceeding (including, without limitation, the entry of an order for relief against, or the appointment of a receiver, trustee, custodian or other similar official for, it or any substantial part of its property) shall occur; or any Loan Party or any Restricted Subsidiary thereof shall take any corporate action to authorize any of the actions set forth above in this subsection (f); or</w:t>
      </w:r>
    </w:p>
    <w:p>
      <w:pPr>
        <w:spacing w:after="0" w:line="32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671195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274" w:name="page275"/>
    <w:bookmarkEnd w:id="274"/>
    <w:p>
      <w:pPr>
        <w:jc w:val="both"/>
        <w:ind w:left="760" w:firstLine="745"/>
        <w:spacing w:after="0" w:line="241" w:lineRule="auto"/>
        <w:tabs>
          <w:tab w:leader="none" w:pos="2048" w:val="left"/>
        </w:tabs>
        <w:numPr>
          <w:ilvl w:val="1"/>
          <w:numId w:val="25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Monetary Judgments</w:t>
      </w:r>
      <w:r>
        <w:rPr>
          <w:rFonts w:ascii="Times New Roman" w:cs="Times New Roman" w:eastAsia="Times New Roman" w:hAnsi="Times New Roman"/>
          <w:sz w:val="19"/>
          <w:szCs w:val="19"/>
          <w:color w:val="auto"/>
        </w:rPr>
        <w:t xml:space="preserve">. Any judgments or orders, either individually or in the aggregate, for the payment of money in excess of $50,000,000 shall be rendered against any Loan Party or any Restricted Subsidiary thereof and either (i) enforcement proceedings shall have been commenced by any creditor upon such judgment or order or (ii) there shall be any period of 30 consecutive days during which a stay of enforcement of such judgment or order, by reason of a pending appeal or otherwise, shall not be in effect;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however</w:t>
      </w:r>
      <w:r>
        <w:rPr>
          <w:rFonts w:ascii="Times New Roman" w:cs="Times New Roman" w:eastAsia="Times New Roman" w:hAnsi="Times New Roman"/>
          <w:sz w:val="19"/>
          <w:szCs w:val="19"/>
          <w:color w:val="auto"/>
        </w:rPr>
        <w:t>, that any such judgment or order shall not give rise to an Event of Default under this Section 6.01(g) if and so long as</w:t>
      </w:r>
    </w:p>
    <w:p>
      <w:pPr>
        <w:spacing w:after="0" w:line="3" w:lineRule="exact"/>
        <w:rPr>
          <w:rFonts w:ascii="Times New Roman" w:cs="Times New Roman" w:eastAsia="Times New Roman" w:hAnsi="Times New Roman"/>
          <w:sz w:val="19"/>
          <w:szCs w:val="19"/>
          <w:color w:val="010000"/>
        </w:rPr>
      </w:pPr>
    </w:p>
    <w:p>
      <w:pPr>
        <w:jc w:val="both"/>
        <w:ind w:left="760" w:hanging="3"/>
        <w:spacing w:after="0" w:line="239" w:lineRule="auto"/>
        <w:tabs>
          <w:tab w:leader="none" w:pos="1083"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 of such judgment or order which remains unsatisfied is covered by a valid and binding policy of insurance between the respective Loan Party or Restricted Subsidiary and the insurer covering full payment of such unsatisfied amount and (B) such insurer, which shall be rated at least “A” by A.M. Best Company, has been notified, and has not disputed the claim made for payment, of the amount of such judgment or order; or</w:t>
      </w:r>
    </w:p>
    <w:p>
      <w:pPr>
        <w:spacing w:after="0" w:line="160" w:lineRule="exact"/>
        <w:rPr>
          <w:rFonts w:ascii="Times New Roman" w:cs="Times New Roman" w:eastAsia="Times New Roman" w:hAnsi="Times New Roman"/>
          <w:sz w:val="19"/>
          <w:szCs w:val="19"/>
          <w:color w:val="auto"/>
        </w:rPr>
      </w:pPr>
    </w:p>
    <w:p>
      <w:pPr>
        <w:jc w:val="both"/>
        <w:ind w:left="760" w:firstLine="745"/>
        <w:spacing w:after="0" w:line="230" w:lineRule="exact"/>
        <w:tabs>
          <w:tab w:leader="none" w:pos="2048" w:val="left"/>
        </w:tabs>
        <w:numPr>
          <w:ilvl w:val="1"/>
          <w:numId w:val="25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Non</w:t>
      </w:r>
      <w:r>
        <w:rPr>
          <w:rFonts w:ascii="MS PGothic" w:cs="MS PGothic" w:eastAsia="MS PGothic" w:hAnsi="MS PGothic"/>
          <w:sz w:val="19"/>
          <w:szCs w:val="19"/>
          <w:u w:val="single" w:color="auto"/>
          <w:color w:val="auto"/>
        </w:rPr>
        <w:t>‑</w:t>
      </w:r>
      <w:r>
        <w:rPr>
          <w:rFonts w:ascii="Times New Roman" w:cs="Times New Roman" w:eastAsia="Times New Roman" w:hAnsi="Times New Roman"/>
          <w:sz w:val="19"/>
          <w:szCs w:val="19"/>
          <w:u w:val="single" w:color="auto"/>
          <w:color w:val="auto"/>
        </w:rPr>
        <w:t>Monetary Judgments</w:t>
      </w:r>
      <w:r>
        <w:rPr>
          <w:rFonts w:ascii="Times New Roman" w:cs="Times New Roman" w:eastAsia="Times New Roman" w:hAnsi="Times New Roman"/>
          <w:sz w:val="19"/>
          <w:szCs w:val="19"/>
          <w:color w:val="auto"/>
        </w:rPr>
        <w:t>. (x) Any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monetary judgment, order or writ shall be rendered against any Loan Party or Restricted Subsidiary thereof or (y) any seizure or attachment shall be issued or enforced against any Borrower Party or any of their respective assets, in any such case that could reasonably be expected to result in a Material Adverse Effect, and there shall be any period of 30 consecutive days during which a stay of enforcement of such judgment, order, writ, seizure or attachment, by reason of a pending appeal or otherwise, shall not be in effect; or</w:t>
      </w:r>
    </w:p>
    <w:p>
      <w:pPr>
        <w:spacing w:after="0" w:line="191" w:lineRule="exact"/>
        <w:rPr>
          <w:rFonts w:ascii="Times New Roman" w:cs="Times New Roman" w:eastAsia="Times New Roman" w:hAnsi="Times New Roman"/>
          <w:sz w:val="19"/>
          <w:szCs w:val="19"/>
          <w:color w:val="010000"/>
        </w:rPr>
      </w:pPr>
    </w:p>
    <w:p>
      <w:pPr>
        <w:jc w:val="both"/>
        <w:ind w:left="760" w:firstLine="745"/>
        <w:spacing w:after="0" w:line="251" w:lineRule="auto"/>
        <w:tabs>
          <w:tab w:leader="none" w:pos="2048" w:val="left"/>
        </w:tabs>
        <w:numPr>
          <w:ilvl w:val="1"/>
          <w:numId w:val="25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Unenforceability of Loan Documents</w:t>
      </w:r>
      <w:r>
        <w:rPr>
          <w:rFonts w:ascii="Times New Roman" w:cs="Times New Roman" w:eastAsia="Times New Roman" w:hAnsi="Times New Roman"/>
          <w:sz w:val="19"/>
          <w:szCs w:val="19"/>
          <w:color w:val="auto"/>
        </w:rPr>
        <w:t>. Any provision of any Loan Document after delivery thereof pursuant to Section 3.01 or 5.01(j) shall for any reason (other than pursuant to the terms hereof or thereof) cease to be valid and binding on or enforceable against any Loan Party which is party to it, or any such Loan Party shall so state in writing; or</w:t>
      </w:r>
    </w:p>
    <w:p>
      <w:pPr>
        <w:spacing w:after="0" w:line="178" w:lineRule="exact"/>
        <w:rPr>
          <w:rFonts w:ascii="Times New Roman" w:cs="Times New Roman" w:eastAsia="Times New Roman" w:hAnsi="Times New Roman"/>
          <w:sz w:val="19"/>
          <w:szCs w:val="19"/>
          <w:color w:val="010000"/>
        </w:rPr>
      </w:pPr>
    </w:p>
    <w:p>
      <w:pPr>
        <w:ind w:left="2040" w:hanging="535"/>
        <w:spacing w:after="0"/>
        <w:tabs>
          <w:tab w:leader="none" w:pos="2040" w:val="left"/>
        </w:tabs>
        <w:numPr>
          <w:ilvl w:val="1"/>
          <w:numId w:val="25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Change of Control</w:t>
      </w:r>
      <w:r>
        <w:rPr>
          <w:rFonts w:ascii="Times New Roman" w:cs="Times New Roman" w:eastAsia="Times New Roman" w:hAnsi="Times New Roman"/>
          <w:sz w:val="19"/>
          <w:szCs w:val="19"/>
          <w:color w:val="auto"/>
        </w:rPr>
        <w:t>. A Change of Control shall occur; or</w:t>
      </w:r>
    </w:p>
    <w:p>
      <w:pPr>
        <w:spacing w:after="0" w:line="213" w:lineRule="exact"/>
        <w:rPr>
          <w:rFonts w:ascii="Times New Roman" w:cs="Times New Roman" w:eastAsia="Times New Roman" w:hAnsi="Times New Roman"/>
          <w:sz w:val="19"/>
          <w:szCs w:val="19"/>
          <w:color w:val="010000"/>
        </w:rPr>
      </w:pPr>
    </w:p>
    <w:p>
      <w:pPr>
        <w:ind w:left="2040" w:hanging="535"/>
        <w:spacing w:after="0"/>
        <w:tabs>
          <w:tab w:leader="none" w:pos="2040" w:val="left"/>
        </w:tabs>
        <w:numPr>
          <w:ilvl w:val="1"/>
          <w:numId w:val="25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ERISA Events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010000"/>
        </w:rPr>
      </w:pPr>
    </w:p>
    <w:p>
      <w:pPr>
        <w:jc w:val="both"/>
        <w:ind w:left="760" w:firstLine="1494"/>
        <w:spacing w:after="0" w:line="246" w:lineRule="auto"/>
        <w:tabs>
          <w:tab w:leader="none" w:pos="2557" w:val="left"/>
        </w:tabs>
        <w:numPr>
          <w:ilvl w:val="2"/>
          <w:numId w:val="25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ERISA Event shall have occurred with respect to a Plan and the sum (determined as of the date of occurrence of such ERISA Event) of the Insufficiency of such Plan and the Insufficiency of any and all other Plans with respect to which an ERISA Event shall have occurred and then exist (or the liability of the Loan Parties and the ERISA Affiliates related to such ERISA Event) exceeds $5,000,000;</w:t>
      </w:r>
    </w:p>
    <w:p>
      <w:pPr>
        <w:spacing w:after="0" w:line="184" w:lineRule="exact"/>
        <w:rPr>
          <w:rFonts w:ascii="Times New Roman" w:cs="Times New Roman" w:eastAsia="Times New Roman" w:hAnsi="Times New Roman"/>
          <w:sz w:val="19"/>
          <w:szCs w:val="19"/>
          <w:color w:val="010000"/>
        </w:rPr>
      </w:pPr>
    </w:p>
    <w:p>
      <w:pPr>
        <w:jc w:val="both"/>
        <w:ind w:left="760" w:firstLine="1494"/>
        <w:spacing w:after="0" w:line="246" w:lineRule="auto"/>
        <w:tabs>
          <w:tab w:leader="none" w:pos="2557" w:val="left"/>
        </w:tabs>
        <w:numPr>
          <w:ilvl w:val="2"/>
          <w:numId w:val="25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Loan Party or any ERISA Affiliate shall have been notified by the sponsor of a Multiemployer Plan that it has incurred Withdrawal Liability to such Multiemployer Plan in an amount that, when aggregated with all other amounts required to be paid to Multiemployer Plans by the Loan Parties and the ERISA Affiliates as Withdrawal Liability (determined as of the date of such notification), exceeds $5,000,000 or requires payments exceeding $2,000,000 per annum; or</w:t>
      </w:r>
    </w:p>
    <w:p>
      <w:pPr>
        <w:spacing w:after="0" w:line="184" w:lineRule="exact"/>
        <w:rPr>
          <w:rFonts w:ascii="Times New Roman" w:cs="Times New Roman" w:eastAsia="Times New Roman" w:hAnsi="Times New Roman"/>
          <w:sz w:val="19"/>
          <w:szCs w:val="19"/>
          <w:color w:val="010000"/>
        </w:rPr>
      </w:pPr>
    </w:p>
    <w:p>
      <w:pPr>
        <w:jc w:val="both"/>
        <w:ind w:left="760" w:firstLine="1494"/>
        <w:spacing w:after="0" w:line="242" w:lineRule="auto"/>
        <w:tabs>
          <w:tab w:leader="none" w:pos="2557" w:val="left"/>
        </w:tabs>
        <w:numPr>
          <w:ilvl w:val="2"/>
          <w:numId w:val="25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Loan Party or any ERISA Affiliate shall have been notified by the sponsor of a Multiemployer Plan that such Multiemployer Plan is in reorganization or is being terminated, within the meaning of Title IV of ERISA, and as a result of such reorganization or termination the aggregate annual contributions of the Loan Parties and the ERISA Affiliates to all Multiemployer Plans that are then in reorganization or being terminated have been or will be increased over the amounts contributed to such Multiemployer Plans for the plan years of such Multiemployer Plans immediately preceding the plan year in which such reorganization or termination occurs by an amount exceeding $2,000,000;</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then, and in any such event, the Administrative Agent (i) shall at the request, or may with the consent, of the Required Lenders, by notice to the Borrower, declare the Commitments of each Lender and the obligation of each Lender to make Advances to be terminated, whereupon the same shall forthwith terminate, (ii) shall at the request, or may with the consent, of the Required Lenders, by notice to the Borrower, declare the Advances, all interest thereon and all other amounts payable under this Agreement and the other Loan Documents to be</w:t>
      </w:r>
    </w:p>
    <w:p>
      <w:pPr>
        <w:spacing w:after="0" w:line="3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75" w:name="page276"/>
    <w:bookmarkEnd w:id="275"/>
    <w:p>
      <w:pPr>
        <w:jc w:val="both"/>
        <w:spacing w:after="0" w:line="242" w:lineRule="auto"/>
        <w:rPr>
          <w:sz w:val="20"/>
          <w:szCs w:val="20"/>
          <w:color w:val="auto"/>
        </w:rPr>
      </w:pPr>
      <w:r>
        <w:rPr>
          <w:rFonts w:ascii="Times New Roman" w:cs="Times New Roman" w:eastAsia="Times New Roman" w:hAnsi="Times New Roman"/>
          <w:sz w:val="19"/>
          <w:szCs w:val="19"/>
          <w:color w:val="auto"/>
        </w:rPr>
        <w:t xml:space="preserve">forthwith due and payable, whereupon the Advances, all such interest and all such amounts shall become and be forthwith due and payable, without presentment, demand, protest or further notice of any kind, all of which are hereby expressly waived by the Borrower;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in the event of an actual or deemed entry of an order for relief with respect to the Borrower under any Bankruptcy Law, (y) the Commitments of each Lender and the obligation of each Lender to make Advances shall automatically be terminated and (z) the Advances, all such interest and all such amounts shall automatically become and be due and payable, without presentment, demand, protest or any notice of any kind, all of which are hereby expressly waived by the Borrower; and (iii) shall at the request, or may with the consent of the Required Lenders, proceed to enforce its rights and remedies under the Loan Documents for the benefit of the Lenders by appropriate proceedings.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VII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GUARANTY</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010000"/>
        </w:rPr>
        <w:t>Section 7.01</w:t>
      </w:r>
      <w:r>
        <w:rPr>
          <w:rFonts w:ascii="Times New Roman" w:cs="Times New Roman" w:eastAsia="Times New Roman" w:hAnsi="Times New Roman"/>
          <w:sz w:val="19"/>
          <w:szCs w:val="19"/>
          <w:u w:val="single" w:color="auto"/>
          <w:color w:val="000000"/>
        </w:rPr>
        <w:t>Guaranty; Limitation of Liability</w:t>
      </w:r>
      <w:r>
        <w:rPr>
          <w:rFonts w:ascii="Times New Roman" w:cs="Times New Roman" w:eastAsia="Times New Roman" w:hAnsi="Times New Roman"/>
          <w:sz w:val="19"/>
          <w:szCs w:val="19"/>
          <w:color w:val="000000"/>
        </w:rPr>
        <w:t>.</w:t>
      </w:r>
    </w:p>
    <w:p>
      <w:pPr>
        <w:spacing w:after="0" w:line="214" w:lineRule="exact"/>
        <w:rPr>
          <w:sz w:val="20"/>
          <w:szCs w:val="20"/>
          <w:color w:val="auto"/>
        </w:rPr>
      </w:pPr>
    </w:p>
    <w:p>
      <w:pPr>
        <w:jc w:val="both"/>
        <w:ind w:firstLine="1505"/>
        <w:spacing w:after="0"/>
        <w:tabs>
          <w:tab w:leader="none" w:pos="2036"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hereby absolutely, unconditionally and irrevocably guarantees the punctual payment when due, whether at scheduled maturity or on any date of a required prepayment or by acceleration, demand or otherwise, of all Obligations of the Borrower and each other Loan Party now or hereafter existing under or in respect of the Loan Documents (including, without limitation, any extensions, modifications, substitutions, amendments or renewals of any or all of the foregoing Obligations, but in each case excluding all Excluded Swap Obligations), whether direct or indirect, absolute or contingent, and whether for principal, interest, premiums, fees, indemnities, contract causes of action, costs, expenses or otherwise (such Obligations being the “</w:t>
      </w:r>
      <w:r>
        <w:rPr>
          <w:rFonts w:ascii="Times New Roman" w:cs="Times New Roman" w:eastAsia="Times New Roman" w:hAnsi="Times New Roman"/>
          <w:sz w:val="19"/>
          <w:szCs w:val="19"/>
          <w:b w:val="1"/>
          <w:bCs w:val="1"/>
          <w:i w:val="1"/>
          <w:iCs w:val="1"/>
          <w:color w:val="auto"/>
        </w:rPr>
        <w:t>Guaranteed Obligations</w:t>
      </w:r>
      <w:r>
        <w:rPr>
          <w:rFonts w:ascii="Times New Roman" w:cs="Times New Roman" w:eastAsia="Times New Roman" w:hAnsi="Times New Roman"/>
          <w:sz w:val="19"/>
          <w:szCs w:val="19"/>
          <w:color w:val="auto"/>
        </w:rPr>
        <w:t>”), and agrees to pay any and all expenses (including, without limitation, reasonable fees and expenses of counsel) incurred by the Administrative Agent or any Lender in enforcing any rights under this Agreement or any other Loan Document. Without limiting the generality of the foregoing, each Guarantor’s liability shall extend to all amounts that constitute part of the Guaranteed Obligations and would be owed by any other Loan Party to the Administrative Agent or any Lender under or in respect of the Loan Documents but for the fact that they are unenforceable or not allowable due to the existence of a bankruptcy, reorganization or similar proceeding involving such other Loan Party. This Guaranty is and constitutes a guaranty of payment and not merely of collection.</w:t>
      </w:r>
    </w:p>
    <w:p>
      <w:pPr>
        <w:spacing w:after="0" w:line="188" w:lineRule="exact"/>
        <w:rPr>
          <w:rFonts w:ascii="Times New Roman" w:cs="Times New Roman" w:eastAsia="Times New Roman" w:hAnsi="Times New Roman"/>
          <w:sz w:val="19"/>
          <w:szCs w:val="19"/>
          <w:color w:val="auto"/>
        </w:rPr>
      </w:pPr>
    </w:p>
    <w:p>
      <w:pPr>
        <w:jc w:val="both"/>
        <w:ind w:firstLine="1505"/>
        <w:spacing w:after="0" w:line="242" w:lineRule="auto"/>
        <w:tabs>
          <w:tab w:leader="none" w:pos="2036"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the Administrative Agent and each other Lender hereby confirms that it is the intention of all such Persons that this Guaranty and the Obligations of each Guarantor hereunder not constitute a fraudulent transfer or conveyance for purposes of Bankruptcy Law, the Uniform Fraudulent Conveyance Act, the Uniform Fraudulent Transfer Act or any similar foreign, federal or state law to the extent applicable to this Guaranty and the Obligations of each Guarantor hereunder. To effectuate the foregoing intention, the Guarantors, the Administrative Agent and the Lenders hereby irrevocably agree that the Obligations of each Guarantor under this Guaranty at any time shall be limited to the maximum amount as will result in the Obligations of such Guarantor under this Guaranty not constituting a fraudulent transfer or conveyance.</w:t>
      </w:r>
    </w:p>
    <w:p>
      <w:pPr>
        <w:spacing w:after="0" w:line="185" w:lineRule="exact"/>
        <w:rPr>
          <w:rFonts w:ascii="Times New Roman" w:cs="Times New Roman" w:eastAsia="Times New Roman" w:hAnsi="Times New Roman"/>
          <w:sz w:val="19"/>
          <w:szCs w:val="19"/>
          <w:color w:val="auto"/>
        </w:rPr>
      </w:pPr>
    </w:p>
    <w:p>
      <w:pPr>
        <w:jc w:val="both"/>
        <w:ind w:firstLine="1505"/>
        <w:spacing w:after="0" w:line="246" w:lineRule="auto"/>
        <w:tabs>
          <w:tab w:leader="none" w:pos="2036"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hereby unconditionally and irrevocably agrees that in the event any payment shall be required to be made to the Administrative Agent or any Lender under this Guaranty or any other guaranty, such Guarantor will contribute, to the maximum extent permitted by law, such amounts to each other Guarantor and each other guarantor so as to maximize the aggregate amount paid to the Administrative Agent or any Lender under or in respect of the Loan Documents.</w:t>
      </w:r>
    </w:p>
    <w:p>
      <w:pPr>
        <w:spacing w:after="0" w:line="18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010000"/>
        </w:rPr>
        <w:t>Section 7.02</w:t>
      </w:r>
      <w:r>
        <w:rPr>
          <w:rFonts w:ascii="Times New Roman" w:cs="Times New Roman" w:eastAsia="Times New Roman" w:hAnsi="Times New Roman"/>
          <w:sz w:val="19"/>
          <w:szCs w:val="19"/>
          <w:u w:val="single" w:color="auto"/>
          <w:color w:val="000000"/>
        </w:rPr>
        <w:t>Guaranty Absolute</w:t>
      </w:r>
      <w:r>
        <w:rPr>
          <w:rFonts w:ascii="Times New Roman" w:cs="Times New Roman" w:eastAsia="Times New Roman" w:hAnsi="Times New Roman"/>
          <w:sz w:val="19"/>
          <w:szCs w:val="19"/>
          <w:color w:val="000000"/>
        </w:rPr>
        <w:t>. Each Guarantor guarantees that the Guaranteed Obligations will be paid strictly in accordance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with the terms of this Agreement and the other Loan Documents, regardless of any law, regulation or order now or hereafter in effect in any jurisdiction affecting any of such terms or the rights of the Administrative Agent or any Lender with respect thereto. The Obligations of each Guarantor under or in respect of this Guaranty are independent of the Guaranteed Obligations or any other</w:t>
      </w:r>
    </w:p>
    <w:p>
      <w:pPr>
        <w:spacing w:after="0" w:line="3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76" w:name="page277"/>
    <w:bookmarkEnd w:id="276"/>
    <w:p>
      <w:pPr>
        <w:jc w:val="both"/>
        <w:spacing w:after="0" w:line="244" w:lineRule="auto"/>
        <w:rPr>
          <w:sz w:val="20"/>
          <w:szCs w:val="20"/>
          <w:color w:val="auto"/>
        </w:rPr>
      </w:pPr>
      <w:r>
        <w:rPr>
          <w:rFonts w:ascii="Times New Roman" w:cs="Times New Roman" w:eastAsia="Times New Roman" w:hAnsi="Times New Roman"/>
          <w:sz w:val="19"/>
          <w:szCs w:val="19"/>
          <w:color w:val="auto"/>
        </w:rPr>
        <w:t>Obligations of any other Loan Party under or in respect of this Agreement or the other Loan Documents, and a separate action or actions may be brought and prosecuted against each Guarantor to enforce this Guaranty, irrespective of whether any action is brought against the Borrower or any other Loan Party or whether the Borrower or any other Loan Party is joined in any such action or actions. The liability of each Guarantor under this Guaranty shall be irrevocable, absolute and unconditional irrespective of, and each Guarantor hereby irrevocably waives any defenses it may now have or hereafter acquire in any way relating to, any or all of the following:</w:t>
      </w:r>
    </w:p>
    <w:p>
      <w:pPr>
        <w:spacing w:after="0" w:line="185" w:lineRule="exact"/>
        <w:rPr>
          <w:sz w:val="20"/>
          <w:szCs w:val="20"/>
          <w:color w:val="auto"/>
        </w:rPr>
      </w:pPr>
    </w:p>
    <w:p>
      <w:pPr>
        <w:ind w:left="2040" w:hanging="535"/>
        <w:spacing w:after="0"/>
        <w:tabs>
          <w:tab w:leader="none" w:pos="2040" w:val="left"/>
        </w:tabs>
        <w:numPr>
          <w:ilvl w:val="0"/>
          <w:numId w:val="2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lack of validity or enforceability of any Loan Document or any agreement or instrument relating thereto;</w:t>
      </w:r>
    </w:p>
    <w:p>
      <w:pPr>
        <w:spacing w:after="0" w:line="213" w:lineRule="exact"/>
        <w:rPr>
          <w:rFonts w:ascii="Times New Roman" w:cs="Times New Roman" w:eastAsia="Times New Roman" w:hAnsi="Times New Roman"/>
          <w:sz w:val="19"/>
          <w:szCs w:val="19"/>
          <w:color w:val="010000"/>
        </w:rPr>
      </w:pPr>
    </w:p>
    <w:p>
      <w:pPr>
        <w:jc w:val="both"/>
        <w:ind w:left="760" w:firstLine="745"/>
        <w:spacing w:after="0" w:line="246" w:lineRule="auto"/>
        <w:tabs>
          <w:tab w:leader="none" w:pos="2048" w:val="left"/>
        </w:tabs>
        <w:numPr>
          <w:ilvl w:val="0"/>
          <w:numId w:val="2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change in the time, manner or place of payment of, or in any other term of, all or any of the Guaranteed Obligations or any other Obligations of any other Loan Party under or in respect of the Loan Documents, or any other amendment or waiver of or any consent to departure from any Loan Document, including, without limitation, any increase in the Guaranteed Obligations resulting from the extension of additional credit to the Borrower, any other Loan Party or any of their Subsidiaries or otherwise;</w:t>
      </w:r>
    </w:p>
    <w:p>
      <w:pPr>
        <w:spacing w:after="0" w:line="154" w:lineRule="exact"/>
        <w:rPr>
          <w:rFonts w:ascii="Times New Roman" w:cs="Times New Roman" w:eastAsia="Times New Roman" w:hAnsi="Times New Roman"/>
          <w:sz w:val="19"/>
          <w:szCs w:val="19"/>
          <w:color w:val="010000"/>
        </w:rPr>
      </w:pPr>
    </w:p>
    <w:p>
      <w:pPr>
        <w:ind w:left="760" w:firstLine="745"/>
        <w:spacing w:after="0" w:line="252" w:lineRule="exact"/>
        <w:tabs>
          <w:tab w:leader="none" w:pos="2048" w:val="left"/>
        </w:tabs>
        <w:numPr>
          <w:ilvl w:val="0"/>
          <w:numId w:val="2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taking, exchange, release or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perfection of any collateral, or any taking, release or amendment or waiver of, or consent to departure from, any other guaranty, for all or any of the Guaranteed Obligations;</w:t>
      </w:r>
    </w:p>
    <w:p>
      <w:pPr>
        <w:spacing w:after="0" w:line="188" w:lineRule="exact"/>
        <w:rPr>
          <w:rFonts w:ascii="Times New Roman" w:cs="Times New Roman" w:eastAsia="Times New Roman" w:hAnsi="Times New Roman"/>
          <w:sz w:val="19"/>
          <w:szCs w:val="19"/>
          <w:color w:val="010000"/>
        </w:rPr>
      </w:pPr>
    </w:p>
    <w:p>
      <w:pPr>
        <w:jc w:val="both"/>
        <w:ind w:left="760" w:firstLine="745"/>
        <w:spacing w:after="0" w:line="251" w:lineRule="auto"/>
        <w:tabs>
          <w:tab w:leader="none" w:pos="2048" w:val="left"/>
        </w:tabs>
        <w:numPr>
          <w:ilvl w:val="0"/>
          <w:numId w:val="2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manner of application of collateral, or proceeds thereof, to all or any of the Guaranteed Obligations, or any manner of sale or other disposition of any collateral for all or any of the Guaranteed Obligations or any other Obligations of any Loan Party under the Loan Documents or any other assets of any Loan Party or any of its Subsidiaries;</w:t>
      </w:r>
    </w:p>
    <w:p>
      <w:pPr>
        <w:spacing w:after="0" w:line="178" w:lineRule="exact"/>
        <w:rPr>
          <w:rFonts w:ascii="Times New Roman" w:cs="Times New Roman" w:eastAsia="Times New Roman" w:hAnsi="Times New Roman"/>
          <w:sz w:val="19"/>
          <w:szCs w:val="19"/>
          <w:color w:val="010000"/>
        </w:rPr>
      </w:pPr>
    </w:p>
    <w:p>
      <w:pPr>
        <w:ind w:left="2040" w:hanging="535"/>
        <w:spacing w:after="0"/>
        <w:tabs>
          <w:tab w:leader="none" w:pos="2040" w:val="left"/>
        </w:tabs>
        <w:numPr>
          <w:ilvl w:val="0"/>
          <w:numId w:val="2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change, restructuring or termination of the corporate structure or existence of any Loan Party or any of its</w:t>
      </w:r>
    </w:p>
    <w:p>
      <w:pPr>
        <w:spacing w:after="0" w:line="17" w:lineRule="exact"/>
        <w:rPr>
          <w:rFonts w:ascii="Times New Roman" w:cs="Times New Roman" w:eastAsia="Times New Roman" w:hAnsi="Times New Roman"/>
          <w:sz w:val="19"/>
          <w:szCs w:val="19"/>
          <w:color w:val="010000"/>
        </w:rPr>
      </w:pPr>
    </w:p>
    <w:p>
      <w:pPr>
        <w:ind w:left="760"/>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Subsidiaries;</w:t>
      </w:r>
    </w:p>
    <w:p>
      <w:pPr>
        <w:spacing w:after="0" w:line="193" w:lineRule="exact"/>
        <w:rPr>
          <w:rFonts w:ascii="Times New Roman" w:cs="Times New Roman" w:eastAsia="Times New Roman" w:hAnsi="Times New Roman"/>
          <w:sz w:val="19"/>
          <w:szCs w:val="19"/>
          <w:color w:val="010000"/>
        </w:rPr>
      </w:pPr>
    </w:p>
    <w:p>
      <w:pPr>
        <w:jc w:val="both"/>
        <w:ind w:left="760" w:firstLine="745"/>
        <w:spacing w:after="0" w:line="246" w:lineRule="auto"/>
        <w:tabs>
          <w:tab w:leader="none" w:pos="2048" w:val="left"/>
        </w:tabs>
        <w:numPr>
          <w:ilvl w:val="0"/>
          <w:numId w:val="2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failure of the Administrative Agent or any Lender to disclose to any Loan Party any information relating to the business, condition (financial or otherwise), operations, performance, properties or prospects of any other Loan Party now or hereafter known to the Administrative Agent or any Lender (each Guarantor waiving any duty on the part of the Administrative Agent and any Lender to disclose such information);</w:t>
      </w:r>
    </w:p>
    <w:p>
      <w:pPr>
        <w:spacing w:after="0" w:line="184" w:lineRule="exact"/>
        <w:rPr>
          <w:rFonts w:ascii="Times New Roman" w:cs="Times New Roman" w:eastAsia="Times New Roman" w:hAnsi="Times New Roman"/>
          <w:sz w:val="19"/>
          <w:szCs w:val="19"/>
          <w:color w:val="010000"/>
        </w:rPr>
      </w:pPr>
    </w:p>
    <w:p>
      <w:pPr>
        <w:jc w:val="both"/>
        <w:ind w:left="760" w:firstLine="745"/>
        <w:spacing w:after="0" w:line="251" w:lineRule="auto"/>
        <w:tabs>
          <w:tab w:leader="none" w:pos="2048" w:val="left"/>
        </w:tabs>
        <w:numPr>
          <w:ilvl w:val="0"/>
          <w:numId w:val="2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failure of any other Person to execute or deliver this Agreement, any other Loan Document, any Guaranty Supplement or any other guaranty or agreement or the release or reduction of liability of any Guarantor or other guarantor or surety with respect to the Guaranteed Obligations; or</w:t>
      </w:r>
    </w:p>
    <w:p>
      <w:pPr>
        <w:spacing w:after="0" w:line="178" w:lineRule="exact"/>
        <w:rPr>
          <w:rFonts w:ascii="Times New Roman" w:cs="Times New Roman" w:eastAsia="Times New Roman" w:hAnsi="Times New Roman"/>
          <w:sz w:val="19"/>
          <w:szCs w:val="19"/>
          <w:color w:val="010000"/>
        </w:rPr>
      </w:pPr>
    </w:p>
    <w:p>
      <w:pPr>
        <w:jc w:val="both"/>
        <w:ind w:left="760" w:firstLine="745"/>
        <w:spacing w:after="0" w:line="251" w:lineRule="auto"/>
        <w:tabs>
          <w:tab w:leader="none" w:pos="2048" w:val="left"/>
        </w:tabs>
        <w:numPr>
          <w:ilvl w:val="0"/>
          <w:numId w:val="26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any other circumstance (including, without limitation, any statute of limitations) or any existence of or reliance on any representation by the Administrative Agent or any Lender that might otherwise constitute a defense available to, or a discharge of, any Loan Party or any other guarantor or surety.</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This Guaranty shall continue to be effective or be reinstated, as the case may be, if at any time any payment of any of the Guaranteed Obligations is rescinded or must otherwise be returned by the Administrative Agent or any Lender or any other Person upon the insolvency, bankruptcy or reorganization of the Borrower or any other Loan Party or otherwise, all as though such payment had not been made.</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010000"/>
        </w:rPr>
        <w:t>Section 7.03</w:t>
      </w:r>
      <w:r>
        <w:rPr>
          <w:rFonts w:ascii="Times New Roman" w:cs="Times New Roman" w:eastAsia="Times New Roman" w:hAnsi="Times New Roman"/>
          <w:sz w:val="19"/>
          <w:szCs w:val="19"/>
          <w:u w:val="single" w:color="auto"/>
          <w:color w:val="000000"/>
        </w:rPr>
        <w:t>Waivers and Acknowledgments</w:t>
      </w:r>
      <w:r>
        <w:rPr>
          <w:rFonts w:ascii="Times New Roman" w:cs="Times New Roman" w:eastAsia="Times New Roman" w:hAnsi="Times New Roman"/>
          <w:sz w:val="19"/>
          <w:szCs w:val="19"/>
          <w:color w:val="000000"/>
        </w:rPr>
        <w:t>.</w:t>
      </w:r>
    </w:p>
    <w:p>
      <w:pPr>
        <w:spacing w:after="0" w:line="34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77" w:name="page278"/>
    <w:bookmarkEnd w:id="277"/>
    <w:p>
      <w:pPr>
        <w:jc w:val="both"/>
        <w:ind w:firstLine="1505"/>
        <w:spacing w:after="0" w:line="246" w:lineRule="auto"/>
        <w:tabs>
          <w:tab w:leader="none" w:pos="2036" w:val="left"/>
        </w:tabs>
        <w:numPr>
          <w:ilvl w:val="0"/>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hereby unconditionally and irrevocably waives promptness, diligence, notice of acceptance, presentment, demand for performance, notice of nonperformance, default, acceleration, protest or dishonor and any other notice with respect to any of the Guaranteed Obligations and this Guaranty and any requirement that the Administrative Agent or any Lender protect, secure, perfect or insure any Lien or any property subject thereto or exhaust any right or take any action against any Loan Party or any other Person or any collateral.</w:t>
      </w:r>
    </w:p>
    <w:p>
      <w:pPr>
        <w:spacing w:after="0" w:line="184" w:lineRule="exact"/>
        <w:rPr>
          <w:rFonts w:ascii="Times New Roman" w:cs="Times New Roman" w:eastAsia="Times New Roman" w:hAnsi="Times New Roman"/>
          <w:sz w:val="19"/>
          <w:szCs w:val="19"/>
          <w:color w:val="auto"/>
        </w:rPr>
      </w:pPr>
    </w:p>
    <w:p>
      <w:pPr>
        <w:ind w:firstLine="1505"/>
        <w:spacing w:after="0" w:line="265" w:lineRule="auto"/>
        <w:tabs>
          <w:tab w:leader="none" w:pos="2036" w:val="left"/>
        </w:tabs>
        <w:numPr>
          <w:ilvl w:val="0"/>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hereby unconditionally and irrevocably waives any right to revoke this Guaranty and acknowledges that this Guaranty is continuing in nature and applies to all Guaranteed Obligations, whether existing now or in the future.</w:t>
      </w:r>
    </w:p>
    <w:p>
      <w:pPr>
        <w:spacing w:after="0" w:line="165" w:lineRule="exact"/>
        <w:rPr>
          <w:rFonts w:ascii="Times New Roman" w:cs="Times New Roman" w:eastAsia="Times New Roman" w:hAnsi="Times New Roman"/>
          <w:sz w:val="19"/>
          <w:szCs w:val="19"/>
          <w:color w:val="auto"/>
        </w:rPr>
      </w:pPr>
    </w:p>
    <w:p>
      <w:pPr>
        <w:jc w:val="both"/>
        <w:ind w:firstLine="1505"/>
        <w:spacing w:after="0" w:line="231" w:lineRule="exact"/>
        <w:tabs>
          <w:tab w:leader="none" w:pos="2036" w:val="left"/>
        </w:tabs>
        <w:numPr>
          <w:ilvl w:val="0"/>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hereby unconditionally and irrevocably waives (i) any defense arising by reason of any claim or defense based upon an election of remedies by the Administrative Agent or any Lender that in any manner impairs, reduces, releases or otherwise adversely affects the subrogation, reimbursement, exoneration, contribution or indemnification rights of such Guarantor or other rights of such Guarantor to proceed against any of the other Loan Parties, any other guarantor or any other Person or any collateral and (ii) any defense based on any right of set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off or counterclaim against or in respect of the Obligations of such Guarantor hereunder.</w:t>
      </w:r>
    </w:p>
    <w:p>
      <w:pPr>
        <w:spacing w:after="0" w:line="157" w:lineRule="exact"/>
        <w:rPr>
          <w:rFonts w:ascii="Times New Roman" w:cs="Times New Roman" w:eastAsia="Times New Roman" w:hAnsi="Times New Roman"/>
          <w:sz w:val="19"/>
          <w:szCs w:val="19"/>
          <w:color w:val="auto"/>
        </w:rPr>
      </w:pPr>
    </w:p>
    <w:p>
      <w:pPr>
        <w:jc w:val="both"/>
        <w:ind w:firstLine="1505"/>
        <w:spacing w:after="0" w:line="246" w:lineRule="auto"/>
        <w:tabs>
          <w:tab w:leader="none" w:pos="2036" w:val="left"/>
        </w:tabs>
        <w:numPr>
          <w:ilvl w:val="0"/>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acknowledges that the Administrative Agent may, without notice to or demand upon such Guarantor and without affecting the liability of such Guarantor under this Guaranty, foreclose under any mortgage by nonjudicial sale, and each Guarantor hereby waives any defense to the recovery by the Administrative Agent and the Lenders against such Guarantor of any deficiency after such nonjudicial sale and any defense or benefits that may be afforded by applicable law.</w:t>
      </w:r>
    </w:p>
    <w:p>
      <w:pPr>
        <w:spacing w:after="0" w:line="184" w:lineRule="exact"/>
        <w:rPr>
          <w:rFonts w:ascii="Times New Roman" w:cs="Times New Roman" w:eastAsia="Times New Roman" w:hAnsi="Times New Roman"/>
          <w:sz w:val="19"/>
          <w:szCs w:val="19"/>
          <w:color w:val="auto"/>
        </w:rPr>
      </w:pPr>
    </w:p>
    <w:p>
      <w:pPr>
        <w:jc w:val="both"/>
        <w:ind w:firstLine="1505"/>
        <w:spacing w:after="0" w:line="246" w:lineRule="auto"/>
        <w:tabs>
          <w:tab w:leader="none" w:pos="2036" w:val="left"/>
        </w:tabs>
        <w:numPr>
          <w:ilvl w:val="0"/>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hereby unconditionally and irrevocably waives any duty on the part of the Administrative Agent or any Lender to disclose to such Guarantor any matter, fact or thing relating to the business, condition (financial or otherwise), operations, performance, properties or prospects of the Borrower, any other Loan Party or any of their Subsidiaries now or hereafter known by the Administrative Agent or any Lender.</w:t>
      </w:r>
    </w:p>
    <w:p>
      <w:pPr>
        <w:spacing w:after="0" w:line="184" w:lineRule="exact"/>
        <w:rPr>
          <w:rFonts w:ascii="Times New Roman" w:cs="Times New Roman" w:eastAsia="Times New Roman" w:hAnsi="Times New Roman"/>
          <w:sz w:val="19"/>
          <w:szCs w:val="19"/>
          <w:color w:val="auto"/>
        </w:rPr>
      </w:pPr>
    </w:p>
    <w:p>
      <w:pPr>
        <w:jc w:val="both"/>
        <w:ind w:firstLine="1505"/>
        <w:spacing w:after="0" w:line="251" w:lineRule="auto"/>
        <w:tabs>
          <w:tab w:leader="none" w:pos="2036" w:val="left"/>
        </w:tabs>
        <w:numPr>
          <w:ilvl w:val="0"/>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acknowledges that it will receive substantial direct and indirect benefits from the financing arrangements contemplated by this Agreement and the other Loan Documents and that the waivers set forth in Section 7.02 and this Section 7.03 are knowingly made in contemplation of such benefits.</w:t>
      </w:r>
    </w:p>
    <w:p>
      <w:pPr>
        <w:spacing w:after="0" w:line="179" w:lineRule="exact"/>
        <w:rPr>
          <w:sz w:val="20"/>
          <w:szCs w:val="20"/>
          <w:color w:val="auto"/>
        </w:rPr>
      </w:pPr>
    </w:p>
    <w:p>
      <w:pPr>
        <w:jc w:val="both"/>
        <w:ind w:firstLine="1497"/>
        <w:spacing w:after="0" w:line="219" w:lineRule="exact"/>
        <w:rPr>
          <w:sz w:val="20"/>
          <w:szCs w:val="20"/>
          <w:color w:val="auto"/>
        </w:rPr>
      </w:pPr>
      <w:r>
        <w:rPr>
          <w:rFonts w:ascii="Times New Roman" w:cs="Times New Roman" w:eastAsia="Times New Roman" w:hAnsi="Times New Roman"/>
          <w:sz w:val="19"/>
          <w:szCs w:val="19"/>
          <w:color w:val="010000"/>
        </w:rPr>
        <w:t>Section 7.04</w:t>
      </w:r>
      <w:r>
        <w:rPr>
          <w:rFonts w:ascii="Times New Roman" w:cs="Times New Roman" w:eastAsia="Times New Roman" w:hAnsi="Times New Roman"/>
          <w:sz w:val="19"/>
          <w:szCs w:val="19"/>
          <w:u w:val="single" w:color="auto"/>
          <w:color w:val="000000"/>
        </w:rPr>
        <w:t>Subrogation</w:t>
      </w:r>
      <w:r>
        <w:rPr>
          <w:rFonts w:ascii="Times New Roman" w:cs="Times New Roman" w:eastAsia="Times New Roman" w:hAnsi="Times New Roman"/>
          <w:sz w:val="19"/>
          <w:szCs w:val="19"/>
          <w:color w:val="000000"/>
        </w:rPr>
        <w:t>. Each Guarantor hereby unconditionally and irrevocably agrees not to exercise any rights that it may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now have or hereafter acquire against the Borrower, any other Loan Party or any other insider guarantor that arise from the existence, payment, performance or enforcement of such Guarantor’s Obligations under or in respect of this Guaranty, this Agreement or any other Loan Document, including, without limitation, any right of subrogation, reimbursement, exoneration, contribution or indemnification and any right to participate in any claim or remedy of the Administrative Agent or any Lender against the Borrower, any other Loan Party or any other insider guarantor or any collateral, whether or not such claim, remedy or right arises in equity or under contract, statute or common law, including, without limitation, the right to take or receive from the Borrower, any other Loan Party or any other insider guarantor, directly or indirectly, in cash or other property or by set</w:t>
      </w:r>
      <w:r>
        <w:rPr>
          <w:rFonts w:ascii="MS PGothic" w:cs="MS PGothic" w:eastAsia="MS PGothic" w:hAnsi="MS PGothic"/>
          <w:sz w:val="19"/>
          <w:szCs w:val="19"/>
          <w:color w:val="000000"/>
        </w:rPr>
        <w:t>‑</w:t>
      </w:r>
      <w:r>
        <w:rPr>
          <w:rFonts w:ascii="Times New Roman" w:cs="Times New Roman" w:eastAsia="Times New Roman" w:hAnsi="Times New Roman"/>
          <w:sz w:val="19"/>
          <w:szCs w:val="19"/>
          <w:color w:val="000000"/>
        </w:rPr>
        <w:t>off or in any other manner, payment or security on account of such claim, remedy or right, unless and until all of the Guaranteed Obligations and all other amounts payable under this Guaranty shall have been indefeasibly paid in full in cash and the Commitments shall have expired or been terminated. If any amount shall be paid to any Guarantor in violation of the immediately preceding sentence at any time prior to the latest of (a) the indefeasible payment in full in cash of the Guaranteed Obligations and all other amounts payable under this Guaranty and (b) the termination in whole of the Commitments, such amount shall be received and held in trust for the benefit of the Administrative Agent and the Lenders, shall be segregated from other property and funds of such Guarantor and shall forthwith be paid or delivered to the Administrative</w:t>
      </w:r>
    </w:p>
    <w:p>
      <w:pPr>
        <w:spacing w:after="0" w:line="33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78" w:name="page279"/>
    <w:bookmarkEnd w:id="278"/>
    <w:p>
      <w:pPr>
        <w:jc w:val="both"/>
        <w:spacing w:after="0" w:line="241" w:lineRule="auto"/>
        <w:rPr>
          <w:sz w:val="20"/>
          <w:szCs w:val="20"/>
          <w:color w:val="auto"/>
        </w:rPr>
      </w:pPr>
      <w:r>
        <w:rPr>
          <w:rFonts w:ascii="Times New Roman" w:cs="Times New Roman" w:eastAsia="Times New Roman" w:hAnsi="Times New Roman"/>
          <w:sz w:val="19"/>
          <w:szCs w:val="19"/>
          <w:color w:val="auto"/>
        </w:rPr>
        <w:t>Agent in the same form as so received (with any necessary endorsement or assignment) to be credited and applied to the Guaranteed Obligations and all other amounts payable under this Guaranty, whether matured or unmatured, in accordance with the terms of the Loan Documents. If (i) any Guarantor shall make payment to the Administrative Agent or any Lender of all or any part of the Guaranteed Obligations, (ii) all of the Guaranteed Obligations and all other amounts payable under this Guaranty shall have been indefeasibly paid in full in cash and (iii) the termination in whole of the Commitments shall have occurred, the Administrative Agent and the Lenders will, at such Guarantor’s request and expense, execute and deliver to such Guarantor appropriate documents, without recourse and without representation or warranty, necessary to evidence the transfer by subrogation to such Guarantor of an interest in the Guaranteed Obligations resulting from such payment made by such Guarantor pursuant to this Guaranty.</w:t>
      </w:r>
    </w:p>
    <w:p>
      <w:pPr>
        <w:spacing w:after="0" w:line="189"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010000"/>
        </w:rPr>
        <w:t>Section 7.05</w:t>
      </w:r>
      <w:r>
        <w:rPr>
          <w:rFonts w:ascii="Times New Roman" w:cs="Times New Roman" w:eastAsia="Times New Roman" w:hAnsi="Times New Roman"/>
          <w:sz w:val="19"/>
          <w:szCs w:val="19"/>
          <w:u w:val="single" w:color="auto"/>
          <w:color w:val="000000"/>
        </w:rPr>
        <w:t>Guaranty Supplements</w:t>
      </w:r>
      <w:r>
        <w:rPr>
          <w:rFonts w:ascii="Times New Roman" w:cs="Times New Roman" w:eastAsia="Times New Roman" w:hAnsi="Times New Roman"/>
          <w:sz w:val="19"/>
          <w:szCs w:val="19"/>
          <w:color w:val="000000"/>
        </w:rPr>
        <w:t>. Upon the execution and delivery by any Person of a Guaranty Supplement, (i) such Person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shall be referred to as an “</w:t>
      </w:r>
      <w:r>
        <w:rPr>
          <w:rFonts w:ascii="Times New Roman" w:cs="Times New Roman" w:eastAsia="Times New Roman" w:hAnsi="Times New Roman"/>
          <w:sz w:val="19"/>
          <w:szCs w:val="19"/>
          <w:b w:val="1"/>
          <w:bCs w:val="1"/>
          <w:i w:val="1"/>
          <w:iCs w:val="1"/>
          <w:color w:val="000000"/>
        </w:rPr>
        <w:t>Additional Guarantor</w:t>
      </w:r>
      <w:r>
        <w:rPr>
          <w:rFonts w:ascii="Times New Roman" w:cs="Times New Roman" w:eastAsia="Times New Roman" w:hAnsi="Times New Roman"/>
          <w:sz w:val="19"/>
          <w:szCs w:val="19"/>
          <w:color w:val="000000"/>
        </w:rPr>
        <w:t>” and shall become and be a Guarantor hereunder, and each reference in this Agreement to a “Guarantor” or a “Loan Party” shall also mean and be a reference to such Additional Guarantor, and each reference in any other Loan Document to a “Guarantor” shall also mean and be a reference to such Additional Guarantor, and (ii) each reference herein to “this Agreement”, “this Guaranty”, “hereunder”, “hereof” or words of like import referring to this Agreement and this Guaranty, and each reference in any other Loan Document to the “Loan Agreement”, “Guaranty”, “thereunder”, “thereof” or words of like import referring to this Agreement and this Guaranty, shall mean and be a reference to this Agreement and this Guaranty as supplemented by such Guaranty Supplement.</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010000"/>
        </w:rPr>
        <w:t>Section 7.06</w:t>
      </w:r>
      <w:r>
        <w:rPr>
          <w:rFonts w:ascii="Times New Roman" w:cs="Times New Roman" w:eastAsia="Times New Roman" w:hAnsi="Times New Roman"/>
          <w:sz w:val="19"/>
          <w:szCs w:val="19"/>
          <w:u w:val="single" w:color="auto"/>
          <w:color w:val="000000"/>
        </w:rPr>
        <w:t>Indemnification by Guarantors</w:t>
      </w:r>
      <w:r>
        <w:rPr>
          <w:rFonts w:ascii="Times New Roman" w:cs="Times New Roman" w:eastAsia="Times New Roman" w:hAnsi="Times New Roman"/>
          <w:sz w:val="19"/>
          <w:szCs w:val="19"/>
          <w:color w:val="000000"/>
        </w:rPr>
        <w:t>.</w:t>
      </w:r>
    </w:p>
    <w:p>
      <w:pPr>
        <w:spacing w:after="0" w:line="214" w:lineRule="exact"/>
        <w:rPr>
          <w:sz w:val="20"/>
          <w:szCs w:val="20"/>
          <w:color w:val="auto"/>
        </w:rPr>
      </w:pPr>
    </w:p>
    <w:p>
      <w:pPr>
        <w:jc w:val="both"/>
        <w:ind w:firstLine="1505"/>
        <w:spacing w:after="0" w:line="242" w:lineRule="auto"/>
        <w:tabs>
          <w:tab w:leader="none" w:pos="2036" w:val="left"/>
        </w:tabs>
        <w:numPr>
          <w:ilvl w:val="0"/>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limitation on any other Obligations of any Guarantor or remedies of the Administrative Agent or the Lenders under this Agreement, this Guaranty or the other Loan Documents, each Guarantor shall, to the fullest extent permitted by law, indemnify, defend and save and hold harmless the Administrative Agent, the Lenders, the Arrangers and each of their Affiliates and their respective officers, directors, employees, agents and advisors (each, an “</w:t>
      </w:r>
      <w:r>
        <w:rPr>
          <w:rFonts w:ascii="Times New Roman" w:cs="Times New Roman" w:eastAsia="Times New Roman" w:hAnsi="Times New Roman"/>
          <w:sz w:val="19"/>
          <w:szCs w:val="19"/>
          <w:b w:val="1"/>
          <w:bCs w:val="1"/>
          <w:i w:val="1"/>
          <w:iCs w:val="1"/>
          <w:color w:val="auto"/>
        </w:rPr>
        <w:t>Indemnified Party</w:t>
      </w:r>
      <w:r>
        <w:rPr>
          <w:rFonts w:ascii="Times New Roman" w:cs="Times New Roman" w:eastAsia="Times New Roman" w:hAnsi="Times New Roman"/>
          <w:sz w:val="19"/>
          <w:szCs w:val="19"/>
          <w:color w:val="auto"/>
        </w:rPr>
        <w:t>”) from and against, and shall pay on demand, any and all claims, damages, losses, liabilities and expenses (including, without limitation, reasonable fees and expenses of counsel) that may be incurred by or asserted or awarded against any Indemnified Party in connection with or as a result of any failure of any Guaranteed Obligations to be the legal, valid and binding obligations of any Loan Party enforceable against such Loan Party in accordance with their terms.</w:t>
      </w:r>
    </w:p>
    <w:p>
      <w:pPr>
        <w:spacing w:after="0" w:line="185" w:lineRule="exact"/>
        <w:rPr>
          <w:rFonts w:ascii="Times New Roman" w:cs="Times New Roman" w:eastAsia="Times New Roman" w:hAnsi="Times New Roman"/>
          <w:sz w:val="19"/>
          <w:szCs w:val="19"/>
          <w:color w:val="auto"/>
        </w:rPr>
      </w:pPr>
    </w:p>
    <w:p>
      <w:pPr>
        <w:jc w:val="both"/>
        <w:ind w:firstLine="1505"/>
        <w:spacing w:after="0" w:line="244" w:lineRule="auto"/>
        <w:tabs>
          <w:tab w:leader="none" w:pos="2036" w:val="left"/>
        </w:tabs>
        <w:numPr>
          <w:ilvl w:val="0"/>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hereby also agrees that no Indemnified Party shall have any liability (whether direct or indirect, in contract, tort or otherwise) to any of the Guarantors or any of their respective Affiliates or any of their respective officers, directors, employees, agents and advisors, and each Guarantor hereby agrees not to assert any claim against any Indemnified Party on any theory of liability, for special, indirect, consequential or punitive damages arising out of or otherwise relating to the Facility, the actual or proposed use of the proceeds of the Advances, the Loan Documents or any of the transactions contemplated by the Loan Documents.</w:t>
      </w:r>
    </w:p>
    <w:p>
      <w:pPr>
        <w:spacing w:after="0" w:line="185"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9"/>
          <w:szCs w:val="19"/>
          <w:color w:val="010000"/>
        </w:rPr>
        <w:t>Section 7.07</w:t>
      </w:r>
      <w:r>
        <w:rPr>
          <w:rFonts w:ascii="Times New Roman" w:cs="Times New Roman" w:eastAsia="Times New Roman" w:hAnsi="Times New Roman"/>
          <w:sz w:val="19"/>
          <w:szCs w:val="19"/>
          <w:u w:val="single" w:color="auto"/>
          <w:color w:val="000000"/>
        </w:rPr>
        <w:t>Subordination</w:t>
      </w:r>
      <w:r>
        <w:rPr>
          <w:rFonts w:ascii="Times New Roman" w:cs="Times New Roman" w:eastAsia="Times New Roman" w:hAnsi="Times New Roman"/>
          <w:sz w:val="19"/>
          <w:szCs w:val="19"/>
          <w:color w:val="000000"/>
        </w:rPr>
        <w:t>. Each Guarantor hereby subordinates any and all debts, liabilities and other Obligations owed to</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such Guarantor by each other Loan Party (the “</w:t>
      </w:r>
      <w:r>
        <w:rPr>
          <w:rFonts w:ascii="Times New Roman" w:cs="Times New Roman" w:eastAsia="Times New Roman" w:hAnsi="Times New Roman"/>
          <w:sz w:val="19"/>
          <w:szCs w:val="19"/>
          <w:b w:val="1"/>
          <w:bCs w:val="1"/>
          <w:i w:val="1"/>
          <w:iCs w:val="1"/>
          <w:color w:val="000000"/>
        </w:rPr>
        <w:t>Subordinated Obligations</w:t>
      </w:r>
      <w:r>
        <w:rPr>
          <w:rFonts w:ascii="Times New Roman" w:cs="Times New Roman" w:eastAsia="Times New Roman" w:hAnsi="Times New Roman"/>
          <w:sz w:val="19"/>
          <w:szCs w:val="19"/>
          <w:color w:val="000000"/>
        </w:rPr>
        <w:t>”) to the Guaranteed Obligations to the extent and in the manner hereinafter set forth in this Section 7.07.</w:t>
      </w:r>
    </w:p>
    <w:p>
      <w:pPr>
        <w:spacing w:after="0" w:line="179" w:lineRule="exact"/>
        <w:rPr>
          <w:sz w:val="20"/>
          <w:szCs w:val="20"/>
          <w:color w:val="auto"/>
        </w:rPr>
      </w:pPr>
    </w:p>
    <w:p>
      <w:pPr>
        <w:jc w:val="both"/>
        <w:ind w:firstLine="1505"/>
        <w:spacing w:after="0" w:line="244" w:lineRule="auto"/>
        <w:tabs>
          <w:tab w:leader="none" w:pos="2036" w:val="left"/>
        </w:tabs>
        <w:numPr>
          <w:ilvl w:val="0"/>
          <w:numId w:val="26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Prohibited Payments, Etc</w:t>
      </w:r>
      <w:r>
        <w:rPr>
          <w:rFonts w:ascii="Times New Roman" w:cs="Times New Roman" w:eastAsia="Times New Roman" w:hAnsi="Times New Roman"/>
          <w:sz w:val="19"/>
          <w:szCs w:val="19"/>
          <w:color w:val="auto"/>
        </w:rPr>
        <w:t>. Except during the continuance of an Event of Default (including the commencement and continuation of any proceeding under any Bankruptcy Law relating to any other Loan Party), each Guarantor may receive regularly scheduled payments or payments made in the ordinary course of business from any other Loan Party on account of the Subordinated Obligations. After the occurrence and during the continuance of any Event of Default (including the commencement and continuation of any proceeding under any Bankruptcy Law relating to any other Loan Party), however, unless the Administrative</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9"/>
          <w:szCs w:val="19"/>
          <w:color w:val="auto"/>
        </w:rPr>
        <w:t>Agent otherwise agrees, no Guarantor shall demand, accept or take any action to collect any payment on account of the Subordinated Obligations.</w:t>
      </w:r>
    </w:p>
    <w:p>
      <w:pPr>
        <w:spacing w:after="0" w:line="214" w:lineRule="exact"/>
        <w:rPr>
          <w:sz w:val="20"/>
          <w:szCs w:val="20"/>
          <w:color w:val="auto"/>
        </w:rPr>
      </w:pPr>
    </w:p>
    <w:p>
      <w:pPr>
        <w:jc w:val="both"/>
        <w:ind w:firstLine="1505"/>
        <w:spacing w:after="0" w:line="244" w:lineRule="auto"/>
        <w:tabs>
          <w:tab w:leader="none" w:pos="2036" w:val="left"/>
        </w:tabs>
        <w:numPr>
          <w:ilvl w:val="0"/>
          <w:numId w:val="26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Prior Payment of Guaranteed Obligations</w:t>
      </w:r>
      <w:r>
        <w:rPr>
          <w:rFonts w:ascii="Times New Roman" w:cs="Times New Roman" w:eastAsia="Times New Roman" w:hAnsi="Times New Roman"/>
          <w:sz w:val="19"/>
          <w:szCs w:val="19"/>
          <w:color w:val="auto"/>
        </w:rPr>
        <w:t>. In any proceeding under any Bankruptcy Law relating to any other Loan Party, each Guarantor agrees that the Administrative Agent and the Lenders shall be entitled to receive payment in full in cash of all Guaranteed Obligations (including all interest and expenses accruing after the commencement of a proceeding under any Bankruptcy Law, whether or not constituting an allowed claim in such proceeding (“</w:t>
      </w:r>
      <w:r>
        <w:rPr>
          <w:rFonts w:ascii="Times New Roman" w:cs="Times New Roman" w:eastAsia="Times New Roman" w:hAnsi="Times New Roman"/>
          <w:sz w:val="19"/>
          <w:szCs w:val="19"/>
          <w:b w:val="1"/>
          <w:bCs w:val="1"/>
          <w:i w:val="1"/>
          <w:iCs w:val="1"/>
          <w:color w:val="auto"/>
        </w:rPr>
        <w:t>Post Petition Interest</w:t>
      </w:r>
      <w:r>
        <w:rPr>
          <w:rFonts w:ascii="Times New Roman" w:cs="Times New Roman" w:eastAsia="Times New Roman" w:hAnsi="Times New Roman"/>
          <w:sz w:val="19"/>
          <w:szCs w:val="19"/>
          <w:color w:val="auto"/>
        </w:rPr>
        <w:t>”)) before such Guarantor receives payment of any Subordinated Obligations.</w:t>
      </w:r>
    </w:p>
    <w:p>
      <w:pPr>
        <w:spacing w:after="0" w:line="155" w:lineRule="exact"/>
        <w:rPr>
          <w:rFonts w:ascii="Times New Roman" w:cs="Times New Roman" w:eastAsia="Times New Roman" w:hAnsi="Times New Roman"/>
          <w:sz w:val="19"/>
          <w:szCs w:val="19"/>
          <w:color w:val="010000"/>
        </w:rPr>
      </w:pPr>
    </w:p>
    <w:p>
      <w:pPr>
        <w:jc w:val="both"/>
        <w:ind w:firstLine="1505"/>
        <w:spacing w:after="0" w:line="228" w:lineRule="exact"/>
        <w:tabs>
          <w:tab w:leader="none" w:pos="2036" w:val="left"/>
        </w:tabs>
        <w:numPr>
          <w:ilvl w:val="0"/>
          <w:numId w:val="26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Turn</w:t>
      </w:r>
      <w:r>
        <w:rPr>
          <w:rFonts w:ascii="MS PGothic" w:cs="MS PGothic" w:eastAsia="MS PGothic" w:hAnsi="MS PGothic"/>
          <w:sz w:val="19"/>
          <w:szCs w:val="19"/>
          <w:u w:val="single" w:color="auto"/>
          <w:color w:val="auto"/>
        </w:rPr>
        <w:t>‑</w:t>
      </w:r>
      <w:r>
        <w:rPr>
          <w:rFonts w:ascii="Times New Roman" w:cs="Times New Roman" w:eastAsia="Times New Roman" w:hAnsi="Times New Roman"/>
          <w:sz w:val="19"/>
          <w:szCs w:val="19"/>
          <w:u w:val="single" w:color="auto"/>
          <w:color w:val="auto"/>
        </w:rPr>
        <w:t>Over</w:t>
      </w:r>
      <w:r>
        <w:rPr>
          <w:rFonts w:ascii="Times New Roman" w:cs="Times New Roman" w:eastAsia="Times New Roman" w:hAnsi="Times New Roman"/>
          <w:sz w:val="19"/>
          <w:szCs w:val="19"/>
          <w:color w:val="auto"/>
        </w:rPr>
        <w:t>. After the occurrence and during the continuance of any Event of Default (including the commencement and continuation of any proceeding under any Bankruptcy Law relating to any other Loan Party), each Guarantor shall, if the Administrative Agent so requests, collect, enforce and receive payments on account of the Subordinated Obligations as trustee for the Administrative Agent and the Lenders and deliver such payments to the Administrative Agent on account of the Guaranteed Obligations (including all Post Petition Interest), together with any necessary endorsements or other instruments of transfer, but without reducing or affecting in any manner the liability of such Guarantor under the other provisions of this Guaranty.</w:t>
      </w:r>
    </w:p>
    <w:p>
      <w:pPr>
        <w:spacing w:after="0" w:line="189" w:lineRule="exact"/>
        <w:rPr>
          <w:rFonts w:ascii="Times New Roman" w:cs="Times New Roman" w:eastAsia="Times New Roman" w:hAnsi="Times New Roman"/>
          <w:sz w:val="19"/>
          <w:szCs w:val="19"/>
          <w:color w:val="010000"/>
        </w:rPr>
      </w:pPr>
    </w:p>
    <w:p>
      <w:pPr>
        <w:jc w:val="both"/>
        <w:ind w:firstLine="1505"/>
        <w:spacing w:after="0" w:line="242" w:lineRule="auto"/>
        <w:tabs>
          <w:tab w:leader="none" w:pos="2036" w:val="left"/>
        </w:tabs>
        <w:numPr>
          <w:ilvl w:val="0"/>
          <w:numId w:val="26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Administrative Agent Authorization</w:t>
      </w:r>
      <w:r>
        <w:rPr>
          <w:rFonts w:ascii="Times New Roman" w:cs="Times New Roman" w:eastAsia="Times New Roman" w:hAnsi="Times New Roman"/>
          <w:sz w:val="19"/>
          <w:szCs w:val="19"/>
          <w:color w:val="auto"/>
        </w:rPr>
        <w:t>. After the occurrence and during the continuance of any Event of Default (including the commencement and continuation of any proceeding under any Bankruptcy Law relating to any other Loan Party), the Administrative Agent is authorized and empowered (but without any obligation to so do), in its discretion, (i) in the name of each Guarantor, to collect and enforce, and to submit claims in respect of, Subordinated Obligations and to apply any amounts received thereon to the Guaranteed Obligations (including any and all Post Petition Interest), and (ii) to require each Guarantor (A) to collect and enforce, and to submit claims in respect of, Subordinated Obligations and (B) to pay any amounts received on such obligations to the Administrative Agent for application to the Guaranteed Obligations (including any and all Post Petition Interest).</w:t>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010000"/>
        </w:rPr>
        <w:t>Section 7.08</w:t>
      </w:r>
      <w:r>
        <w:rPr>
          <w:rFonts w:ascii="Times New Roman" w:cs="Times New Roman" w:eastAsia="Times New Roman" w:hAnsi="Times New Roman"/>
          <w:sz w:val="19"/>
          <w:szCs w:val="19"/>
          <w:u w:val="single" w:color="auto"/>
          <w:color w:val="000000"/>
        </w:rPr>
        <w:t>Continuing Guaranty; Effect of Release</w:t>
      </w:r>
      <w:r>
        <w:rPr>
          <w:rFonts w:ascii="Times New Roman" w:cs="Times New Roman" w:eastAsia="Times New Roman" w:hAnsi="Times New Roman"/>
          <w:sz w:val="19"/>
          <w:szCs w:val="19"/>
          <w:color w:val="000000"/>
        </w:rPr>
        <w:t>.</w:t>
      </w:r>
    </w:p>
    <w:p>
      <w:pPr>
        <w:spacing w:after="0" w:line="214" w:lineRule="exact"/>
        <w:rPr>
          <w:sz w:val="20"/>
          <w:szCs w:val="20"/>
          <w:color w:val="auto"/>
        </w:rPr>
      </w:pPr>
    </w:p>
    <w:p>
      <w:pPr>
        <w:jc w:val="both"/>
        <w:ind w:firstLine="1505"/>
        <w:spacing w:after="0" w:line="246" w:lineRule="auto"/>
        <w:tabs>
          <w:tab w:leader="none" w:pos="2036" w:val="left"/>
        </w:tabs>
        <w:numPr>
          <w:ilvl w:val="0"/>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Guaranty is a continuing guaranty and shall (a) remain in full force and effect until the later of (i) the indefeasible payment in full in cash of the Guaranteed Obligations and all other amounts payable under this Guaranty and (ii) the termination in whole of the Commitments, (b) be binding upon the Guarantors, their successors and assigns and (c) inure to the benefit of and be enforceable by the Administrative Agent and the Lenders and their successors, transferees and assigns.</w:t>
      </w:r>
    </w:p>
    <w:p>
      <w:pPr>
        <w:spacing w:after="0" w:line="184" w:lineRule="exact"/>
        <w:rPr>
          <w:rFonts w:ascii="Times New Roman" w:cs="Times New Roman" w:eastAsia="Times New Roman" w:hAnsi="Times New Roman"/>
          <w:sz w:val="19"/>
          <w:szCs w:val="19"/>
          <w:color w:val="auto"/>
        </w:rPr>
      </w:pPr>
    </w:p>
    <w:p>
      <w:pPr>
        <w:jc w:val="both"/>
        <w:ind w:firstLine="1505"/>
        <w:spacing w:after="0" w:line="246" w:lineRule="auto"/>
        <w:tabs>
          <w:tab w:leader="none" w:pos="2036" w:val="left"/>
        </w:tabs>
        <w:numPr>
          <w:ilvl w:val="0"/>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or anything to the contrary contained in this Agreement (including, without limitation, in this Article VII), in no event shall any applicable Subsidiary Guarantor have any liability or obligation of any kind or nature under the Guaranty (including for such purpose, any Guaranty Supplement) and/or this Agreement and any other Loan Document from and after the date such Subsidiary Guarantor is released from its obligations under this Agreement and the other Loan Documents pursuant to Section 9.14.</w:t>
      </w:r>
    </w:p>
    <w:p>
      <w:pPr>
        <w:spacing w:after="0" w:line="184"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19"/>
          <w:szCs w:val="19"/>
          <w:color w:val="010000"/>
        </w:rPr>
        <w:t>Section 7.09</w:t>
      </w:r>
      <w:r>
        <w:rPr>
          <w:rFonts w:ascii="Times New Roman" w:cs="Times New Roman" w:eastAsia="Times New Roman" w:hAnsi="Times New Roman"/>
          <w:sz w:val="19"/>
          <w:szCs w:val="19"/>
          <w:u w:val="single" w:color="auto"/>
          <w:color w:val="000000"/>
        </w:rPr>
        <w:t>Keepwell</w:t>
      </w:r>
      <w:r>
        <w:rPr>
          <w:rFonts w:ascii="Times New Roman" w:cs="Times New Roman" w:eastAsia="Times New Roman" w:hAnsi="Times New Roman"/>
          <w:sz w:val="19"/>
          <w:szCs w:val="19"/>
          <w:color w:val="000000"/>
        </w:rPr>
        <w:t>. Each Qualified ECP Guarantor hereby jointly and severally absolutely, unconditionally and irrevocably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undertakes to provide such funds or other support as may be needed from time to time by each other Loan Party to honor all of its Guaranteed Obligations in respect of Swap Obligations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i w:val="1"/>
          <w:iCs w:val="1"/>
          <w:color w:val="000000"/>
        </w:rPr>
        <w:t>however</w:t>
      </w:r>
      <w:r>
        <w:rPr>
          <w:rFonts w:ascii="Times New Roman" w:cs="Times New Roman" w:eastAsia="Times New Roman" w:hAnsi="Times New Roman"/>
          <w:sz w:val="19"/>
          <w:szCs w:val="19"/>
          <w:color w:val="000000"/>
        </w:rPr>
        <w:t>, that each Qualified ECP Guarantor shall only be liable under this Section 7.09 for the maximum amount of such liability that can be hereby incurred without rendering its obligations under this Section 7.09, or otherwise in respect of the Guaranteed Obligations, as it relates to such other Loan Party, voidable under applicable law relating to fraudulent conveyance or fraudulent transfer, and not for any greater amount). The obligations of each Qualified ECP Guarantor under this Section shall remain in full force and effect until a discharge of the Guaranteed Obligations. Each Qualified ECP Guarantor intends that this Section 7.09 constitute, and this Section 7.09 shall be deemed to constitute, a “keepwell, support, or other agreement”</w:t>
      </w:r>
    </w:p>
    <w:p>
      <w:pPr>
        <w:spacing w:after="0" w:line="32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9"/>
          <w:szCs w:val="19"/>
          <w:color w:val="auto"/>
        </w:rPr>
        <w:t>for the benefit of each other Loan Party for all purposes of Section 1a(18)(A)(v)(II) of the Commodity Exchange Act.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VIII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THE ADMINISTRATIVE AGENT</w:t>
      </w:r>
    </w:p>
    <w:p>
      <w:pPr>
        <w:spacing w:after="0" w:line="218" w:lineRule="exact"/>
        <w:rPr>
          <w:sz w:val="20"/>
          <w:szCs w:val="20"/>
          <w:color w:val="auto"/>
        </w:rPr>
      </w:pPr>
    </w:p>
    <w:p>
      <w:pPr>
        <w:jc w:val="both"/>
        <w:ind w:firstLine="1497"/>
        <w:spacing w:after="0" w:line="219" w:lineRule="exact"/>
        <w:rPr>
          <w:sz w:val="20"/>
          <w:szCs w:val="20"/>
          <w:color w:val="auto"/>
        </w:rPr>
      </w:pPr>
      <w:r>
        <w:rPr>
          <w:rFonts w:ascii="Times New Roman" w:cs="Times New Roman" w:eastAsia="Times New Roman" w:hAnsi="Times New Roman"/>
          <w:sz w:val="19"/>
          <w:szCs w:val="19"/>
          <w:color w:val="010000"/>
        </w:rPr>
        <w:t>Section 8.01</w:t>
      </w:r>
      <w:r>
        <w:rPr>
          <w:rFonts w:ascii="Times New Roman" w:cs="Times New Roman" w:eastAsia="Times New Roman" w:hAnsi="Times New Roman"/>
          <w:sz w:val="19"/>
          <w:szCs w:val="19"/>
          <w:u w:val="single" w:color="auto"/>
          <w:color w:val="000000"/>
        </w:rPr>
        <w:t>Authorization and Action</w:t>
      </w:r>
      <w:r>
        <w:rPr>
          <w:rFonts w:ascii="Times New Roman" w:cs="Times New Roman" w:eastAsia="Times New Roman" w:hAnsi="Times New Roman"/>
          <w:sz w:val="19"/>
          <w:szCs w:val="19"/>
          <w:color w:val="000000"/>
        </w:rPr>
        <w:t>. Each Lender (in its capacity as a Lender and on behalf of itself and its Affiliates as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potential Hedge Banks) hereby appoints and authorizes the Administrative Agent to take such action as agent on its behalf and to exercise such powers and discretion under this Agreement and the other Loan Documents as are delegated to the Administrative Agent by the terms hereof and thereof, together with such powers and discretion as are reasonably incidental thereto. As to any matters not expressly provided for by the Loan Documents (including, without limitation, enforcement or collection of the Notes), the Administrative Agent shall not be required to exercise any discretion or take any action, but shall be required to act or to refrain from acting (and shall be fully protected in so acting or refraining from acting) upon the instructions of the Required Lenders or such greater number of Lenders as may be required pursuant to this Agreement, and such instructions shall be binding upon all Lenders and all holders of Notes;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i w:val="1"/>
          <w:iCs w:val="1"/>
          <w:color w:val="000000"/>
        </w:rPr>
        <w:t>however</w:t>
      </w:r>
      <w:r>
        <w:rPr>
          <w:rFonts w:ascii="Times New Roman" w:cs="Times New Roman" w:eastAsia="Times New Roman" w:hAnsi="Times New Roman"/>
          <w:sz w:val="19"/>
          <w:szCs w:val="19"/>
          <w:color w:val="000000"/>
        </w:rPr>
        <w:t>, that the Administrative Agent shall not be required to take any action that exposes the Administrative Agent to personal liability or that is contrary to this Agreement or applicable law. The Administrative Agent agrees to give to each Lender prompt notice of each notice given to it by the Borrower pursuant to the terms of this Agreement. Notwithstanding anything to the contrary in any Loan Document, no Person identified as a syndication agent, documentation agent, senior manager, joint lead arranger or joint bookrunner, in such Person’s capacity as such, shall have any obligations or duties to any Loan Party, the Administrative Agent or any Lender under any of such Loan Documents. In its capacity as the Lenders’ contractual representative, the Administrative Agent is a “representative” of the Lenders as used within the meaning of “Secured Party” under Section 9</w:t>
      </w:r>
      <w:r>
        <w:rPr>
          <w:rFonts w:ascii="MS PGothic" w:cs="MS PGothic" w:eastAsia="MS PGothic" w:hAnsi="MS PGothic"/>
          <w:sz w:val="19"/>
          <w:szCs w:val="19"/>
          <w:color w:val="000000"/>
        </w:rPr>
        <w:t>‑</w:t>
      </w:r>
      <w:r>
        <w:rPr>
          <w:rFonts w:ascii="Times New Roman" w:cs="Times New Roman" w:eastAsia="Times New Roman" w:hAnsi="Times New Roman"/>
          <w:sz w:val="19"/>
          <w:szCs w:val="19"/>
          <w:color w:val="000000"/>
        </w:rPr>
        <w:t>102 of the Uniform Commercial Code.</w:t>
      </w:r>
    </w:p>
    <w:p>
      <w:pPr>
        <w:spacing w:after="0" w:line="19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19"/>
          <w:szCs w:val="19"/>
          <w:color w:val="010000"/>
        </w:rPr>
        <w:t>Section 8.02</w:t>
      </w:r>
      <w:r>
        <w:rPr>
          <w:rFonts w:ascii="Times New Roman" w:cs="Times New Roman" w:eastAsia="Times New Roman" w:hAnsi="Times New Roman"/>
          <w:sz w:val="19"/>
          <w:szCs w:val="19"/>
          <w:u w:val="single" w:color="auto"/>
          <w:color w:val="000000"/>
        </w:rPr>
        <w:t>The Administrative Agent’s Reliance, Etc.</w:t>
      </w:r>
      <w:r>
        <w:rPr>
          <w:rFonts w:ascii="Times New Roman" w:cs="Times New Roman" w:eastAsia="Times New Roman" w:hAnsi="Times New Roman"/>
          <w:sz w:val="19"/>
          <w:szCs w:val="19"/>
          <w:color w:val="000000"/>
        </w:rPr>
        <w:t>. Neither the Administrative Agent nor any of its directors, officers,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agents or employees shall be liable for any action taken or omitted to be taken by it or them under or in connection with the Loan Documents, except for its or their own gross negligence or willful misconduct. Without limitation of the generality of the foregoing, the Administrative Agent:</w:t>
      </w:r>
    </w:p>
    <w:p>
      <w:pPr>
        <w:spacing w:after="0" w:line="2" w:lineRule="exact"/>
        <w:rPr>
          <w:sz w:val="20"/>
          <w:szCs w:val="20"/>
          <w:color w:val="auto"/>
        </w:rPr>
      </w:pPr>
    </w:p>
    <w:p>
      <w:pPr>
        <w:jc w:val="both"/>
        <w:ind w:firstLine="8"/>
        <w:spacing w:after="0" w:line="237" w:lineRule="auto"/>
        <w:tabs>
          <w:tab w:leader="none" w:pos="280"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the Administrative Agent, may treat the payee of any Note as the holder thereof until the Administrative Agent receives and accepts an Accession Agreement entered into by an Acceding Lender as provided in Section 2.17 or an Assignment and Acceptance entered into by the Lender that is the payee of such Note, as assignor, and an Eligible Assignee, as assignee, or, in the case of any other Agent, the Administrative Agent has received notice from the Administrative Agent that it has received and accepted such Accession Agreement or Assignment and Acceptance, as the case may be, in each case as provided in Section 9.07; (b) may consult with legal counsel (including counsel for any Loan Party), independent public accountants and other experts selected by it and shall not be liable for any action taken or omitted to be taken in good faith by it in accordance with the advice of such counsel, accountants or experts; (c) makes no warranty or representation to any Lender and shall not be responsible to any Lender for any statements, warranties or representations (whether written or oral) made in or in connection with the Loan Documents; (d) shall not have any duty to ascertain or to inquire as to the performance, observance or satisfaction of any of the terms, covenants or conditions of any Loan Document on the part of any Loan Party or the existence at any time of any Default under the Loan Documents or to inspect the property (including the books and records) of any Loan Party; (e) shall not be responsible to any Lender for the due execution, legality, validity, enforceability, genuineness, sufficiency or value of, or the perfection or priority of any lien or security interest created or purported to be created under or in connection with, any Loan Document or any other instrument or document furnished pursuant thereto (including, for the avoidance of doubt, in connection with the Administrative Agent’s reliance on any electronic signature delivered pursuant to Section 9.08); (f) shall incur no liability under or in respect of any Loan Document by acting upon any notice, consent, certificate or other instrument or writing (which may be by telecopy or other electronic communication) believed by it to be genuine and signed or sent by the proper party or parties; and (g) shall not be required to take any action that, in its opinion or the opinion of its counsel, may expose the Administrative Agent to liability or that</w:t>
      </w:r>
    </w:p>
    <w:p>
      <w:pPr>
        <w:spacing w:after="0" w:line="33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81" w:name="page282"/>
    <w:bookmarkEnd w:id="281"/>
    <w:p>
      <w:pPr>
        <w:jc w:val="both"/>
        <w:spacing w:after="0" w:line="251" w:lineRule="auto"/>
        <w:rPr>
          <w:sz w:val="20"/>
          <w:szCs w:val="20"/>
          <w:color w:val="auto"/>
        </w:rPr>
      </w:pPr>
      <w:r>
        <w:rPr>
          <w:rFonts w:ascii="Times New Roman" w:cs="Times New Roman" w:eastAsia="Times New Roman" w:hAnsi="Times New Roman"/>
          <w:sz w:val="19"/>
          <w:szCs w:val="19"/>
          <w:color w:val="auto"/>
        </w:rPr>
        <w:t>is contrary to any Loan Document or applicable law, including for the avoidance of doubt, any action that may be in violation of the automatic stay under any Bankruptcy Law or that may effect a forfeiture, modification or termination of property of a Defaulting Lender in violation of any Bankruptcy Law.</w:t>
      </w:r>
    </w:p>
    <w:p>
      <w:pPr>
        <w:spacing w:after="0" w:line="179"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010000"/>
        </w:rPr>
        <w:t>Section 8.03</w:t>
      </w:r>
      <w:r>
        <w:rPr>
          <w:rFonts w:ascii="Times New Roman" w:cs="Times New Roman" w:eastAsia="Times New Roman" w:hAnsi="Times New Roman"/>
          <w:sz w:val="19"/>
          <w:szCs w:val="19"/>
          <w:u w:val="single" w:color="auto"/>
          <w:color w:val="000000"/>
        </w:rPr>
        <w:t>PNC and Affiliates</w:t>
      </w:r>
      <w:r>
        <w:rPr>
          <w:rFonts w:ascii="Times New Roman" w:cs="Times New Roman" w:eastAsia="Times New Roman" w:hAnsi="Times New Roman"/>
          <w:sz w:val="19"/>
          <w:szCs w:val="19"/>
          <w:color w:val="000000"/>
        </w:rPr>
        <w:t>. With respect to its Commitments, the Advances made by it and the Notes issued to it, PNC</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shall have the same rights and powers under the Loan Documents as any other Lender and may exercise the same as though it were not the Administrative Agent; and the term “Lender” or “Lenders” shall, unless otherwise expressly indicated, include PNC in its individual capacity. PNC and its Affiliates may accept deposits from, lend money to, act as trustee under indentures of, accept investment banking engagements from and generally engage in any kind of business with, any Loan Party, any Subsidiary of any Loan Party and any Person that may do business with or own securities of any Loan Party or any such Subsidiary, all as if PNC were not the Administrative Agent and without any duty to account therefor to the Lenders.</w:t>
      </w:r>
    </w:p>
    <w:p>
      <w:pPr>
        <w:spacing w:after="0" w:line="186"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9"/>
          <w:szCs w:val="19"/>
          <w:color w:val="010000"/>
        </w:rPr>
        <w:t>Section 8.04</w:t>
      </w:r>
      <w:r>
        <w:rPr>
          <w:rFonts w:ascii="Times New Roman" w:cs="Times New Roman" w:eastAsia="Times New Roman" w:hAnsi="Times New Roman"/>
          <w:sz w:val="19"/>
          <w:szCs w:val="19"/>
          <w:u w:val="single" w:color="auto"/>
          <w:color w:val="000000"/>
        </w:rPr>
        <w:t>Lender Credit Decision</w:t>
      </w:r>
      <w:r>
        <w:rPr>
          <w:rFonts w:ascii="Times New Roman" w:cs="Times New Roman" w:eastAsia="Times New Roman" w:hAnsi="Times New Roman"/>
          <w:sz w:val="19"/>
          <w:szCs w:val="19"/>
          <w:color w:val="000000"/>
        </w:rPr>
        <w:t>. Each Lender acknowledges that it has, independently and without reliance upon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Administrative Agent or any other Lender and based on the financial statements referred to in Section 4.01 and such other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deem appropriate at the time, continue to make its own credit decisions in taking or not taking action under this Agreement. Nothing in this Agreement or any other Loan Document shall require the Administrative Agent or any of its respective directors, officers, agents or employees to carry out any “know your customer” or other checks in relation to any Person on behalf of any Lender and each Lender confirms to the Administrative Agent that it is solely responsible for any such checks it is required to carry out and that it may not rely on any statement in relation to such checks made by the Administrative Agent or any of its respective directors, officers, agents or employees.</w:t>
      </w:r>
    </w:p>
    <w:p>
      <w:pPr>
        <w:spacing w:after="0" w:line="19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010000"/>
        </w:rPr>
        <w:t>Section 8.05</w:t>
      </w:r>
      <w:r>
        <w:rPr>
          <w:rFonts w:ascii="Times New Roman" w:cs="Times New Roman" w:eastAsia="Times New Roman" w:hAnsi="Times New Roman"/>
          <w:sz w:val="19"/>
          <w:szCs w:val="19"/>
          <w:u w:val="single" w:color="auto"/>
          <w:color w:val="000000"/>
        </w:rPr>
        <w:t>Indemnification by Lenders</w:t>
      </w:r>
      <w:r>
        <w:rPr>
          <w:rFonts w:ascii="Times New Roman" w:cs="Times New Roman" w:eastAsia="Times New Roman" w:hAnsi="Times New Roman"/>
          <w:sz w:val="19"/>
          <w:szCs w:val="19"/>
          <w:color w:val="000000"/>
        </w:rPr>
        <w:t>.</w:t>
      </w:r>
    </w:p>
    <w:p>
      <w:pPr>
        <w:spacing w:after="0" w:line="214" w:lineRule="exact"/>
        <w:rPr>
          <w:sz w:val="20"/>
          <w:szCs w:val="20"/>
          <w:color w:val="auto"/>
        </w:rPr>
      </w:pPr>
    </w:p>
    <w:p>
      <w:pPr>
        <w:jc w:val="both"/>
        <w:ind w:firstLine="1505"/>
        <w:spacing w:after="0" w:line="219" w:lineRule="exact"/>
        <w:tabs>
          <w:tab w:leader="none" w:pos="2036"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severally agrees to indemnify the Administrative Agent (to the extent not promptly reimbursed by the Borrower) from and against such Lender’s ratable share (determined as provided below) of any and all liabilities, obligations, losses, damages, penalties, actions, judgments, litigation, costs, expenses or disbursements of any kind or nature whatsoever that may be imposed on, incurred by, or asserted against the Administrative Agent in any way relating to or arising out of the Loan Documents or any action taken or omitted by the Administrative Agent under the Loan Documents (collectively, the “</w:t>
      </w:r>
      <w:r>
        <w:rPr>
          <w:rFonts w:ascii="Times New Roman" w:cs="Times New Roman" w:eastAsia="Times New Roman" w:hAnsi="Times New Roman"/>
          <w:sz w:val="19"/>
          <w:szCs w:val="19"/>
          <w:b w:val="1"/>
          <w:bCs w:val="1"/>
          <w:i w:val="1"/>
          <w:iCs w:val="1"/>
          <w:color w:val="auto"/>
        </w:rPr>
        <w:t>Indemnified Costs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no Lender shall be liable for any portion of such liabilities, obligations, losses, damages, penalties, actions, judgments, litigation, costs, expenses or disbursements resulting from the Administrative Agent’s gross negligence or willful misconduct as found in a final,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appealable judgment by a court of competent jurisdiction. Without limitation of the foregoing, each Lender severally agrees to reimburse the Administrative Agent promptly upon demand for its ratable share of any costs and expenses (including, without limitation, fees and expenses of counsel) payable by the Borrower under Section 9.04, to the extent that the Administrative Agent is not promptly reimbursed for such costs and expenses by the Borrower. In the case of any investigation, litigation or proceeding giving rise to any Indemnified Costs, this Section 8.05 applies whether any such investigation, litigation or proceeding is brought by any Lender or any other Person. If the Borrower shall reimburse the Administrative Agent for any Indemnified Costs following payment by any Lender to the Administrative Agent in respect of such Indemnified Costs pursuant to this Section, the Administrative Agent shall share such reimbursement on a ratable basis with each Lender making any such payment.</w:t>
      </w:r>
    </w:p>
    <w:p>
      <w:pPr>
        <w:spacing w:after="0" w:line="194" w:lineRule="exact"/>
        <w:rPr>
          <w:rFonts w:ascii="Times New Roman" w:cs="Times New Roman" w:eastAsia="Times New Roman" w:hAnsi="Times New Roman"/>
          <w:sz w:val="19"/>
          <w:szCs w:val="19"/>
          <w:color w:val="auto"/>
        </w:rPr>
      </w:pPr>
    </w:p>
    <w:p>
      <w:pPr>
        <w:jc w:val="both"/>
        <w:ind w:firstLine="1505"/>
        <w:spacing w:after="0" w:line="244" w:lineRule="auto"/>
        <w:tabs>
          <w:tab w:leader="none" w:pos="2036"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Section 8.05, the Lenders’ respective ratable shares of any amount shall be determined, at any time, according to their respective Commitments at such time. The failure of any Lender to reimburse the Administrative Agent promptly upon demand for its ratable share of any amount required to be paid by the Lenders to the Administrative Agent as provided herein shall not relieve any other Lender of its obligation hereunder to reimburse the Administrative Agent for its ratable share of such amount, but no Lender shall be responsible for the failure of any other Lender to reimburse the Administrative Agent for</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82" w:name="page283"/>
    <w:bookmarkEnd w:id="282"/>
    <w:p>
      <w:pPr>
        <w:jc w:val="both"/>
        <w:spacing w:after="0" w:line="246" w:lineRule="auto"/>
        <w:rPr>
          <w:sz w:val="20"/>
          <w:szCs w:val="20"/>
          <w:color w:val="auto"/>
        </w:rPr>
      </w:pPr>
      <w:r>
        <w:rPr>
          <w:rFonts w:ascii="Times New Roman" w:cs="Times New Roman" w:eastAsia="Times New Roman" w:hAnsi="Times New Roman"/>
          <w:sz w:val="19"/>
          <w:szCs w:val="19"/>
          <w:color w:val="auto"/>
        </w:rPr>
        <w:t>such other Lender’s ratable share of such amount. The term “Administrative Agent” shall be deemed to include the employees, directors, officers and Affiliates of the Administrative Agent for purposes of this Section 8.05. Without prejudice to the survival of any other agreement of any Lender hereunder, the agreement and obligations of each Lender contained in this Section 8.05 shall survive the payment in full of principal, interest and all other amounts payable hereunder and under the other Loan Documents.</w:t>
      </w:r>
    </w:p>
    <w:p>
      <w:pPr>
        <w:spacing w:after="0" w:line="184"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19"/>
          <w:szCs w:val="19"/>
          <w:color w:val="010000"/>
        </w:rPr>
        <w:t>Section 8.06</w:t>
      </w:r>
      <w:r>
        <w:rPr>
          <w:rFonts w:ascii="Times New Roman" w:cs="Times New Roman" w:eastAsia="Times New Roman" w:hAnsi="Times New Roman"/>
          <w:sz w:val="19"/>
          <w:szCs w:val="19"/>
          <w:u w:val="single" w:color="auto"/>
          <w:color w:val="000000"/>
        </w:rPr>
        <w:t>Successor Agent</w:t>
      </w:r>
      <w:r>
        <w:rPr>
          <w:rFonts w:ascii="Times New Roman" w:cs="Times New Roman" w:eastAsia="Times New Roman" w:hAnsi="Times New Roman"/>
          <w:sz w:val="19"/>
          <w:szCs w:val="19"/>
          <w:color w:val="000000"/>
        </w:rPr>
        <w:t>. The Administrative Agent may resign at any time by giving 30 days’ prior written notice thereof</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 xml:space="preserve">to the Lenders and the Borrower and may be removed at any time with or without cause by the Required Lenders. Upon any such resignation or removal, the Required Lenders shall have the right to appoint a successor Administrative Agent, which appointment shall,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that no Default or Event of Default shall have occurred and be continuing, be subject to the consent of the Borrower, such consent not to be unreasonably withheld, conditioned or delayed. If no successor Administrative Agent shall have been so appointed by the Required Lenders, and shall have accepted such appointment, within 30 days after the retiring Administrative Agent’s giving of notice of resignation or the Required Lenders’ removal of the retiring Administrative Agent, then the retiring Administrative Agent may, on behalf of the Lenders, appoint a successor Administrative Agent, which shall be a commercial bank organized under the laws of the United States or of any State thereof and having a combined capital and surplus of at least $500,000,000. Upon the acceptance of any appointment as the Administrative Agent hereunder by a successor Administrative Agent, and upon the execution and filing or recording of such financing statements, or amendments thereto and such other instruments or notices, as may be necessary or desirable, or as the Required Lenders may request, in order to continue the perfection of the Liens granted or purported to be granted by this Agreement, such successor Administrative Agent shall succeed to and become vested with all the rights, powers, discretion, privileges and duties of the retiring Administrative Agent, and the retiring Administrative Agent shall be discharged from its duties and obligations under the Loan Documents. If within 45 days after written notice is given of the retiring Administrative Agent’s resignation or removal under this Section 8.06 no successor Administrative Agent shall have been appointed and shall have accepted such appointment, then on such 45th day (i) the retiring Administrative Agent’s resignation or removal shall become effective, (ii) the retiring Administrative Agent shall thereupon be discharged from its duties and obligations under the Loan Documents and (iii) the Required Lenders shall thereafter perform all duties of the retiring Administrative Agent under the Loan Documents until such time, if any, as the Required Lenders appoint a successor Administrative Agent as provided above. After any retiring Administrative Agent’s resignation or removal hereunder as the Administrative Agent shall have become effective, the provisions of this Article IX shall inure to its benefit as to any actions taken or omitted to be taken by it while it was the Administrative Agent under this Agreement.</w:t>
      </w:r>
    </w:p>
    <w:p>
      <w:pPr>
        <w:spacing w:after="0" w:line="202"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9"/>
          <w:szCs w:val="19"/>
          <w:color w:val="010000"/>
        </w:rPr>
        <w:t>Section 8.07</w:t>
      </w:r>
      <w:r>
        <w:rPr>
          <w:rFonts w:ascii="Times New Roman" w:cs="Times New Roman" w:eastAsia="Times New Roman" w:hAnsi="Times New Roman"/>
          <w:sz w:val="19"/>
          <w:szCs w:val="19"/>
          <w:u w:val="single" w:color="auto"/>
          <w:color w:val="000000"/>
        </w:rPr>
        <w:t>Relationship of Administrative Agent and Lenders</w:t>
      </w:r>
      <w:r>
        <w:rPr>
          <w:rFonts w:ascii="Times New Roman" w:cs="Times New Roman" w:eastAsia="Times New Roman" w:hAnsi="Times New Roman"/>
          <w:sz w:val="19"/>
          <w:szCs w:val="19"/>
          <w:color w:val="000000"/>
        </w:rPr>
        <w:t>. The relationship between the Administrative Agent and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Lenders, and the relationship among the Lenders, is not intended by the parties to create, and shall not create, any trust, joint venture or partnership relation between them.</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010000"/>
        </w:rPr>
        <w:t>Section 8.08</w:t>
      </w:r>
      <w:r>
        <w:rPr>
          <w:rFonts w:ascii="Times New Roman" w:cs="Times New Roman" w:eastAsia="Times New Roman" w:hAnsi="Times New Roman"/>
          <w:sz w:val="19"/>
          <w:szCs w:val="19"/>
          <w:u w:val="single" w:color="auto"/>
          <w:color w:val="000000"/>
        </w:rPr>
        <w:t>Certain ERISA Matters</w:t>
      </w:r>
      <w:r>
        <w:rPr>
          <w:rFonts w:ascii="Times New Roman" w:cs="Times New Roman" w:eastAsia="Times New Roman" w:hAnsi="Times New Roman"/>
          <w:sz w:val="19"/>
          <w:szCs w:val="19"/>
          <w:color w:val="000000"/>
        </w:rPr>
        <w:t>.</w:t>
      </w:r>
    </w:p>
    <w:p>
      <w:pPr>
        <w:spacing w:after="0" w:line="214" w:lineRule="exact"/>
        <w:rPr>
          <w:sz w:val="20"/>
          <w:szCs w:val="20"/>
          <w:color w:val="auto"/>
        </w:rPr>
      </w:pPr>
    </w:p>
    <w:p>
      <w:pPr>
        <w:jc w:val="both"/>
        <w:ind w:firstLine="1505"/>
        <w:spacing w:after="0" w:line="246" w:lineRule="auto"/>
        <w:tabs>
          <w:tab w:leader="none" w:pos="2036" w:val="left"/>
        </w:tabs>
        <w:numPr>
          <w:ilvl w:val="0"/>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(x) represents and warrants, as of the date such Person became a Lender party hereto,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at least one of the following is and will be true:</w:t>
      </w:r>
    </w:p>
    <w:p>
      <w:pPr>
        <w:spacing w:after="0" w:line="184" w:lineRule="exact"/>
        <w:rPr>
          <w:rFonts w:ascii="Times New Roman" w:cs="Times New Roman" w:eastAsia="Times New Roman" w:hAnsi="Times New Roman"/>
          <w:sz w:val="19"/>
          <w:szCs w:val="19"/>
          <w:color w:val="auto"/>
        </w:rPr>
      </w:pPr>
    </w:p>
    <w:p>
      <w:pPr>
        <w:ind w:left="2560" w:hanging="306"/>
        <w:spacing w:after="0"/>
        <w:tabs>
          <w:tab w:leader="none" w:pos="2560" w:val="left"/>
        </w:tabs>
        <w:numPr>
          <w:ilvl w:val="1"/>
          <w:numId w:val="26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such Lender is not using “plan assets” of one or more Benefit Plans in connection with the Advances or the</w:t>
      </w:r>
    </w:p>
    <w:p>
      <w:pPr>
        <w:spacing w:after="0" w:line="17" w:lineRule="exact"/>
        <w:rPr>
          <w:rFonts w:ascii="Times New Roman" w:cs="Times New Roman" w:eastAsia="Times New Roman" w:hAnsi="Times New Roman"/>
          <w:sz w:val="19"/>
          <w:szCs w:val="19"/>
          <w:color w:val="010000"/>
        </w:rPr>
      </w:pPr>
    </w:p>
    <w:p>
      <w:pPr>
        <w:ind w:left="760"/>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Commitments,</w:t>
      </w:r>
    </w:p>
    <w:p>
      <w:pPr>
        <w:spacing w:after="0" w:line="193" w:lineRule="exact"/>
        <w:rPr>
          <w:rFonts w:ascii="Times New Roman" w:cs="Times New Roman" w:eastAsia="Times New Roman" w:hAnsi="Times New Roman"/>
          <w:sz w:val="19"/>
          <w:szCs w:val="19"/>
          <w:color w:val="010000"/>
        </w:rPr>
      </w:pPr>
    </w:p>
    <w:p>
      <w:pPr>
        <w:jc w:val="both"/>
        <w:ind w:left="760" w:firstLine="1494"/>
        <w:spacing w:after="0" w:line="246" w:lineRule="auto"/>
        <w:tabs>
          <w:tab w:leader="none" w:pos="2557" w:val="left"/>
        </w:tabs>
        <w:numPr>
          <w:ilvl w:val="1"/>
          <w:numId w:val="26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w:t>
      </w:r>
    </w:p>
    <w:p>
      <w:pPr>
        <w:spacing w:after="0" w:line="3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83" w:name="page284"/>
    <w:bookmarkEnd w:id="283"/>
    <w:p>
      <w:pPr>
        <w:jc w:val="both"/>
        <w:spacing w:after="0" w:line="246" w:lineRule="auto"/>
        <w:rPr>
          <w:sz w:val="20"/>
          <w:szCs w:val="20"/>
          <w:color w:val="auto"/>
        </w:rPr>
      </w:pPr>
      <w:r>
        <w:rPr>
          <w:rFonts w:ascii="Times New Roman" w:cs="Times New Roman" w:eastAsia="Times New Roman" w:hAnsi="Times New Roman"/>
          <w:sz w:val="19"/>
          <w:szCs w:val="19"/>
          <w:color w:val="auto"/>
        </w:rPr>
        <w:t>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Obligations of such Lender in respect of the Advances, the Commitments and this Agreement, or</w:t>
      </w:r>
    </w:p>
    <w:p>
      <w:pPr>
        <w:spacing w:after="0" w:line="184" w:lineRule="exact"/>
        <w:rPr>
          <w:sz w:val="20"/>
          <w:szCs w:val="20"/>
          <w:color w:val="auto"/>
        </w:rPr>
      </w:pPr>
    </w:p>
    <w:p>
      <w:pPr>
        <w:jc w:val="both"/>
        <w:ind w:firstLine="1494"/>
        <w:spacing w:after="0" w:line="241" w:lineRule="auto"/>
        <w:tabs>
          <w:tab w:leader="none" w:pos="1797" w:val="left"/>
        </w:tabs>
        <w:numPr>
          <w:ilvl w:val="1"/>
          <w:numId w:val="26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Obligations of such Lender in respect of the Advances, the Commitments and this Agreement, (C) the entrance into, participation in, administration of and performance of the Obligations of such Lender in respect of the Advances,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Obligations of such Lender in respect of the Advances, the Commitments and this Agreement.</w:t>
      </w:r>
    </w:p>
    <w:p>
      <w:pPr>
        <w:spacing w:after="0" w:line="188" w:lineRule="exact"/>
        <w:rPr>
          <w:rFonts w:ascii="Times New Roman" w:cs="Times New Roman" w:eastAsia="Times New Roman" w:hAnsi="Times New Roman"/>
          <w:sz w:val="19"/>
          <w:szCs w:val="19"/>
          <w:color w:val="010000"/>
        </w:rPr>
      </w:pPr>
    </w:p>
    <w:p>
      <w:pPr>
        <w:jc w:val="both"/>
        <w:ind w:firstLine="745"/>
        <w:spacing w:after="0" w:line="244" w:lineRule="auto"/>
        <w:tabs>
          <w:tab w:leader="none" w:pos="1288" w:val="left"/>
        </w:tabs>
        <w:numPr>
          <w:ilvl w:val="0"/>
          <w:numId w:val="27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addition, unless sub-clause (i) in the immediately preceding clause (a) is true with respect to a Lender, such Lender further (x) represents and warrants, as of the date such Person became a Lender party hereto,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w:t>
      </w:r>
    </w:p>
    <w:p>
      <w:pPr>
        <w:spacing w:after="0" w:line="185" w:lineRule="exact"/>
        <w:rPr>
          <w:rFonts w:ascii="Times New Roman" w:cs="Times New Roman" w:eastAsia="Times New Roman" w:hAnsi="Times New Roman"/>
          <w:sz w:val="19"/>
          <w:szCs w:val="19"/>
          <w:color w:val="010000"/>
        </w:rPr>
      </w:pPr>
    </w:p>
    <w:p>
      <w:pPr>
        <w:jc w:val="both"/>
        <w:ind w:firstLine="1494"/>
        <w:spacing w:after="0" w:line="251" w:lineRule="auto"/>
        <w:tabs>
          <w:tab w:leader="none" w:pos="1797" w:val="left"/>
        </w:tabs>
        <w:numPr>
          <w:ilvl w:val="1"/>
          <w:numId w:val="27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none of the Administrative Agent, the Arrangers or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79" w:lineRule="exact"/>
        <w:rPr>
          <w:sz w:val="20"/>
          <w:szCs w:val="20"/>
          <w:color w:val="auto"/>
        </w:rPr>
      </w:pPr>
    </w:p>
    <w:p>
      <w:pPr>
        <w:jc w:val="both"/>
        <w:ind w:firstLine="1494"/>
        <w:spacing w:after="0" w:line="244" w:lineRule="auto"/>
        <w:tabs>
          <w:tab w:leader="none" w:pos="1797" w:val="left"/>
        </w:tabs>
        <w:numPr>
          <w:ilvl w:val="0"/>
          <w:numId w:val="2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Person making the investment decision on behalf of such Lender with respect to the entrance into, participation in, administration of and performance of the Obligations of such Lender in respect of the Advances, the Commitments and this Agreement is independent (within the meaning of 29 CFR § 2510.3-21) and is a bank, an insurance carrier, an investment adviser, a broker-dealer or other person that has under management or control, total assets of at least $50 million, in each case as described in 29 CFR § 2510.3-21(c)(1)(A)-(E),</w:t>
      </w:r>
    </w:p>
    <w:p>
      <w:pPr>
        <w:spacing w:after="0" w:line="185" w:lineRule="exact"/>
        <w:rPr>
          <w:rFonts w:ascii="Times New Roman" w:cs="Times New Roman" w:eastAsia="Times New Roman" w:hAnsi="Times New Roman"/>
          <w:sz w:val="19"/>
          <w:szCs w:val="19"/>
          <w:color w:val="010000"/>
        </w:rPr>
      </w:pPr>
    </w:p>
    <w:p>
      <w:pPr>
        <w:jc w:val="both"/>
        <w:ind w:firstLine="1494"/>
        <w:spacing w:after="0" w:line="246" w:lineRule="auto"/>
        <w:tabs>
          <w:tab w:leader="none" w:pos="1797" w:val="left"/>
        </w:tabs>
        <w:numPr>
          <w:ilvl w:val="0"/>
          <w:numId w:val="2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Person making the investment decision on behalf of such Lender with respect to the entrance into, participation in, administration of and performance of the Obligations of such Lender in respect of the Advances, the Commitments and this Agreement is capable of evaluating investment risks independently, both in general and with regard to particular transactions and investment strategies,</w:t>
      </w:r>
    </w:p>
    <w:p>
      <w:pPr>
        <w:spacing w:after="0" w:line="184" w:lineRule="exact"/>
        <w:rPr>
          <w:rFonts w:ascii="Times New Roman" w:cs="Times New Roman" w:eastAsia="Times New Roman" w:hAnsi="Times New Roman"/>
          <w:sz w:val="19"/>
          <w:szCs w:val="19"/>
          <w:color w:val="010000"/>
        </w:rPr>
      </w:pPr>
    </w:p>
    <w:p>
      <w:pPr>
        <w:jc w:val="both"/>
        <w:ind w:firstLine="1494"/>
        <w:spacing w:after="0" w:line="246" w:lineRule="auto"/>
        <w:tabs>
          <w:tab w:leader="none" w:pos="1797" w:val="left"/>
        </w:tabs>
        <w:numPr>
          <w:ilvl w:val="0"/>
          <w:numId w:val="2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Person making the investment decision on behalf of such Lender with respect to the entrance into, participation in, administration of and performance of the Obligations of such Lender in respect of the Advances, the Commitments and this Agreement is a fiduciary under ERISA or the Internal Revenue Code, or both, with respect to the Advances, the Commitments and this Agreement and is responsible for exercising independent judgment in evaluating the transactions hereunder, and</w:t>
      </w:r>
    </w:p>
    <w:p>
      <w:pPr>
        <w:spacing w:after="0" w:line="184" w:lineRule="exact"/>
        <w:rPr>
          <w:rFonts w:ascii="Times New Roman" w:cs="Times New Roman" w:eastAsia="Times New Roman" w:hAnsi="Times New Roman"/>
          <w:sz w:val="19"/>
          <w:szCs w:val="19"/>
          <w:color w:val="010000"/>
        </w:rPr>
      </w:pPr>
    </w:p>
    <w:p>
      <w:pPr>
        <w:jc w:val="both"/>
        <w:ind w:firstLine="1494"/>
        <w:spacing w:after="0" w:line="251" w:lineRule="auto"/>
        <w:tabs>
          <w:tab w:leader="none" w:pos="1797" w:val="left"/>
        </w:tabs>
        <w:numPr>
          <w:ilvl w:val="0"/>
          <w:numId w:val="27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 fee or other compensation is being paid by such Lender or any of its Affiliates or agents directly to the Administrative Agent, any Arranger or any of their respective Affiliates for investment advice (as opposed to other services) in connection with the Advances, the Commitments or this Agreement.</w:t>
      </w:r>
    </w:p>
    <w:p>
      <w:pPr>
        <w:spacing w:after="0" w:line="31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671195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284" w:name="page285"/>
    <w:bookmarkEnd w:id="284"/>
    <w:p>
      <w:pPr>
        <w:jc w:val="both"/>
        <w:ind w:firstLine="1497"/>
        <w:spacing w:after="0"/>
        <w:rPr>
          <w:sz w:val="20"/>
          <w:szCs w:val="20"/>
          <w:color w:val="auto"/>
        </w:rPr>
      </w:pPr>
      <w:r>
        <w:rPr>
          <w:rFonts w:ascii="Times New Roman" w:cs="Times New Roman" w:eastAsia="Times New Roman" w:hAnsi="Times New Roman"/>
          <w:sz w:val="19"/>
          <w:szCs w:val="19"/>
          <w:color w:val="auto"/>
        </w:rPr>
        <w:t>Each of the Administrative Agent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Advances, the Commitments and this Agreement, (ii) may recognize a gain if it extended the Advances or the Commitments for an amount less than the amount being paid for an interest in the Advances or the Commitments by such Lender or (iii) may receive fees or other payments in connection with the transactions contemplated hereby, the Loan Documents or otherwise, including, without limitation,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9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010000"/>
        </w:rPr>
        <w:t>Section 8.09</w:t>
      </w:r>
      <w:r>
        <w:rPr>
          <w:rFonts w:ascii="Times New Roman" w:cs="Times New Roman" w:eastAsia="Times New Roman" w:hAnsi="Times New Roman"/>
          <w:sz w:val="19"/>
          <w:szCs w:val="19"/>
          <w:u w:val="single" w:color="auto"/>
          <w:color w:val="000000"/>
        </w:rPr>
        <w:t>Payments in Error</w:t>
      </w:r>
      <w:r>
        <w:rPr>
          <w:rFonts w:ascii="Times New Roman" w:cs="Times New Roman" w:eastAsia="Times New Roman" w:hAnsi="Times New Roman"/>
          <w:sz w:val="19"/>
          <w:szCs w:val="19"/>
          <w:color w:val="000000"/>
        </w:rPr>
        <w:t>.</w:t>
      </w:r>
    </w:p>
    <w:p>
      <w:pPr>
        <w:spacing w:after="0" w:line="214" w:lineRule="exact"/>
        <w:rPr>
          <w:sz w:val="20"/>
          <w:szCs w:val="20"/>
          <w:color w:val="auto"/>
        </w:rPr>
      </w:pPr>
    </w:p>
    <w:p>
      <w:pPr>
        <w:jc w:val="both"/>
        <w:ind w:firstLine="1505"/>
        <w:spacing w:after="0" w:line="239" w:lineRule="auto"/>
        <w:tabs>
          <w:tab w:leader="none" w:pos="2036" w:val="left"/>
        </w:tabs>
        <w:numPr>
          <w:ilvl w:val="0"/>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Administrative Agent notifies a Lender or any other Person who has received funds on behalf of a Lender (any such Lender or other recipient, a “</w:t>
      </w:r>
      <w:r>
        <w:rPr>
          <w:rFonts w:ascii="Times New Roman" w:cs="Times New Roman" w:eastAsia="Times New Roman" w:hAnsi="Times New Roman"/>
          <w:sz w:val="19"/>
          <w:szCs w:val="19"/>
          <w:b w:val="1"/>
          <w:bCs w:val="1"/>
          <w:i w:val="1"/>
          <w:iCs w:val="1"/>
          <w:color w:val="auto"/>
        </w:rPr>
        <w:t>Payment Recipient</w:t>
      </w:r>
      <w:r>
        <w:rPr>
          <w:rFonts w:ascii="Times New Roman" w:cs="Times New Roman" w:eastAsia="Times New Roman" w:hAnsi="Times New Roman"/>
          <w:sz w:val="19"/>
          <w:szCs w:val="19"/>
          <w:color w:val="auto"/>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any Payment Recipient) (any such funds, whether received as a payment, prepayment or repayment of principal, interest, fees, distribution or otherwise, individually and collectively, an “</w:t>
      </w:r>
      <w:r>
        <w:rPr>
          <w:rFonts w:ascii="Times New Roman" w:cs="Times New Roman" w:eastAsia="Times New Roman" w:hAnsi="Times New Roman"/>
          <w:sz w:val="19"/>
          <w:szCs w:val="19"/>
          <w:b w:val="1"/>
          <w:bCs w:val="1"/>
          <w:i w:val="1"/>
          <w:iCs w:val="1"/>
          <w:color w:val="auto"/>
        </w:rPr>
        <w:t>Erroneous Payment</w:t>
      </w:r>
      <w:r>
        <w:rPr>
          <w:rFonts w:ascii="Times New Roman" w:cs="Times New Roman" w:eastAsia="Times New Roman" w:hAnsi="Times New Roman"/>
          <w:sz w:val="19"/>
          <w:szCs w:val="19"/>
          <w:color w:val="auto"/>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Payment Recipient shall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94" w:lineRule="exact"/>
        <w:rPr>
          <w:rFonts w:ascii="Times New Roman" w:cs="Times New Roman" w:eastAsia="Times New Roman" w:hAnsi="Times New Roman"/>
          <w:sz w:val="19"/>
          <w:szCs w:val="19"/>
          <w:color w:val="auto"/>
        </w:rPr>
      </w:pPr>
    </w:p>
    <w:p>
      <w:pPr>
        <w:jc w:val="both"/>
        <w:ind w:firstLine="1505"/>
        <w:spacing w:after="0" w:line="242" w:lineRule="auto"/>
        <w:tabs>
          <w:tab w:leader="none" w:pos="2036" w:val="left"/>
        </w:tabs>
        <w:numPr>
          <w:ilvl w:val="0"/>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immediately preceding clause (a), if any Payment Recipient receives a payment, prepayment or repayment (whether received as a payment, prepayment or repayment of principal, interest, fees, distribution or otherwise) from the Administrative Agent (or any of its Affiliates) that (x) is in a different amount than, or on a different date from, that specified in a notice of payment, prepayment or repayment sent by the Administrative Agent (or any of its Affiliates) with respect to such payment, prepayment or repayment, (y) was not preceded or accompanied by a notice of payment, prepayment or repayment sent by the Administrative Agent (or any of its Affiliates), or (z) such Payment Recipient otherwise becomes aware was transmitted, or received, in error or by mistake (in whole or in part) in each case:</w:t>
      </w:r>
    </w:p>
    <w:p>
      <w:pPr>
        <w:spacing w:after="0" w:line="190" w:lineRule="exact"/>
        <w:rPr>
          <w:rFonts w:ascii="Times New Roman" w:cs="Times New Roman" w:eastAsia="Times New Roman" w:hAnsi="Times New Roman"/>
          <w:sz w:val="19"/>
          <w:szCs w:val="19"/>
          <w:color w:val="auto"/>
        </w:rPr>
      </w:pPr>
    </w:p>
    <w:p>
      <w:pPr>
        <w:jc w:val="both"/>
        <w:ind w:left="760" w:firstLine="1494"/>
        <w:spacing w:after="0" w:line="251" w:lineRule="auto"/>
        <w:tabs>
          <w:tab w:leader="none" w:pos="2557" w:val="left"/>
        </w:tabs>
        <w:numPr>
          <w:ilvl w:val="1"/>
          <w:numId w:val="27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in the case of immediately preceding clauses (x) or (y), an error shall be presumed to have been made (absent written confirmation from the Administrative Agent to the contrary) or (B) an error has been made (in the case of immediately preceding clause (z)), in each case, with respect to such payment, prepayment or repayment; and</w:t>
      </w:r>
    </w:p>
    <w:p>
      <w:pPr>
        <w:spacing w:after="0" w:line="178" w:lineRule="exact"/>
        <w:rPr>
          <w:rFonts w:ascii="Times New Roman" w:cs="Times New Roman" w:eastAsia="Times New Roman" w:hAnsi="Times New Roman"/>
          <w:sz w:val="19"/>
          <w:szCs w:val="19"/>
          <w:color w:val="010000"/>
        </w:rPr>
      </w:pPr>
    </w:p>
    <w:p>
      <w:pPr>
        <w:jc w:val="both"/>
        <w:ind w:left="760" w:firstLine="1494"/>
        <w:spacing w:after="0" w:line="251" w:lineRule="auto"/>
        <w:tabs>
          <w:tab w:leader="none" w:pos="2557" w:val="left"/>
        </w:tabs>
        <w:numPr>
          <w:ilvl w:val="1"/>
          <w:numId w:val="27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such Payment Recipient shall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Section 8.09(b).</w:t>
      </w: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85" w:name="page286"/>
    <w:bookmarkEnd w:id="285"/>
    <w:p>
      <w:pPr>
        <w:jc w:val="both"/>
        <w:ind w:firstLine="1505"/>
        <w:spacing w:after="0" w:line="246" w:lineRule="auto"/>
        <w:tabs>
          <w:tab w:leader="none" w:pos="2036" w:val="left"/>
        </w:tabs>
        <w:numPr>
          <w:ilvl w:val="1"/>
          <w:numId w:val="27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Each Lender hereby authorizes the Administrative Agent to set off, net and apply any and all amounts at any time owing to such Lender under any Loan Document, or otherwise payable or distributable by the Administrative Agent to such Lender from any source, against any amount due to the Administrative Agent under immediately preceding clause (a) or under the indemnification provisions of this Agreement.</w:t>
      </w:r>
    </w:p>
    <w:p>
      <w:pPr>
        <w:spacing w:after="0" w:line="184" w:lineRule="exact"/>
        <w:rPr>
          <w:rFonts w:ascii="Times New Roman" w:cs="Times New Roman" w:eastAsia="Times New Roman" w:hAnsi="Times New Roman"/>
          <w:sz w:val="19"/>
          <w:szCs w:val="19"/>
          <w:color w:val="010000"/>
        </w:rPr>
      </w:pPr>
    </w:p>
    <w:p>
      <w:pPr>
        <w:jc w:val="both"/>
        <w:ind w:firstLine="1505"/>
        <w:spacing w:after="0" w:line="252" w:lineRule="auto"/>
        <w:tabs>
          <w:tab w:leader="none" w:pos="2036" w:val="left"/>
        </w:tabs>
        <w:numPr>
          <w:ilvl w:val="1"/>
          <w:numId w:val="27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the event that an Erroneous Payment (or portion thereof) is not recovered by the Administrative Agent for any reason, after demand therefor by the Administrative Agent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b w:val="1"/>
          <w:bCs w:val="1"/>
          <w:i w:val="1"/>
          <w:iCs w:val="1"/>
          <w:color w:val="auto"/>
        </w:rPr>
        <w:t>Erroneous Payment Return Deficiency</w:t>
      </w:r>
      <w:r>
        <w:rPr>
          <w:rFonts w:ascii="Times New Roman" w:cs="Times New Roman" w:eastAsia="Times New Roman" w:hAnsi="Times New Roman"/>
          <w:sz w:val="18"/>
          <w:szCs w:val="18"/>
          <w:color w:val="auto"/>
        </w:rPr>
        <w:t>”), upon the Administrative Agent’s notice to such Lender at any time, (i) such Lender shall be deemed to have assigned its Advances (but not its Commitments) with respect to which such Erroneous Payment was made in an amount equal to the Erroneous Payment Return Deficiency (or such lesser amount as the Administrative Agent may specify) (such assignment of the Advances (but not Commitments), the “</w:t>
      </w:r>
      <w:r>
        <w:rPr>
          <w:rFonts w:ascii="Times New Roman" w:cs="Times New Roman" w:eastAsia="Times New Roman" w:hAnsi="Times New Roman"/>
          <w:sz w:val="18"/>
          <w:szCs w:val="18"/>
          <w:b w:val="1"/>
          <w:bCs w:val="1"/>
          <w:i w:val="1"/>
          <w:iCs w:val="1"/>
          <w:color w:val="auto"/>
        </w:rPr>
        <w:t>Erroneous Payment Deficiency Assignment</w:t>
      </w:r>
      <w:r>
        <w:rPr>
          <w:rFonts w:ascii="Times New Roman" w:cs="Times New Roman" w:eastAsia="Times New Roman" w:hAnsi="Times New Roman"/>
          <w:sz w:val="18"/>
          <w:szCs w:val="18"/>
          <w:color w:val="auto"/>
        </w:rPr>
        <w:t>”) at par plus any accrued and unpaid interest (with the assignment fee to be waived by the Administrative Agent in such instance), and is hereby (together with the Borrower) deemed to have executed and delivered an Assignment and Acceptance (or, to the extent applicable, an agreement incorporating an Assignment and Acceptance by reference pursuant to an Approved Electronic Platform as to which the Administrative Agent and such parties are participants) with respect to such Erroneous Payment Deficiency Assignment, and such Lender shall deliver any Notes evidencing such Advances to the Borrower or the Administrative Agent, (ii) the Administrative Agent as the assignee shall be deemed to acquire the Erroneous Payment Deficiency Assignment,</w:t>
      </w:r>
    </w:p>
    <w:p>
      <w:pPr>
        <w:spacing w:after="0" w:line="4" w:lineRule="exact"/>
        <w:rPr>
          <w:rFonts w:ascii="Times New Roman" w:cs="Times New Roman" w:eastAsia="Times New Roman" w:hAnsi="Times New Roman"/>
          <w:sz w:val="18"/>
          <w:szCs w:val="18"/>
          <w:color w:val="010000"/>
        </w:rPr>
      </w:pPr>
    </w:p>
    <w:p>
      <w:pPr>
        <w:jc w:val="both"/>
        <w:ind w:firstLine="8"/>
        <w:spacing w:after="0" w:line="237" w:lineRule="auto"/>
        <w:tabs>
          <w:tab w:leader="none" w:pos="355" w:val="left"/>
        </w:tabs>
        <w:numPr>
          <w:ilvl w:val="0"/>
          <w:numId w:val="2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such deemed acquisition, the Administrative Agent as the assignee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and (iv) the Administrative Agent may reflect in the Register its ownership interest in the Advances subject to the Erroneous Payment Deficiency Assignment. The Administrative Agent may, in its discretion, sell any Advances acquired pursuant to an Erroneous Payment Deficiency Assignment and upon receipt of the proceeds of such sale, the Erroneous Payment Return Deficiency owing by the applicable Lender shall be reduced by the net proceeds of the sale of such Advance (or portion thereof), and the Administrative Agent shall retain all other rights, remedies and claims against such Lender (and/or against any Payment Recipient that receives funds on its respective behalf). For the avoidance of doubt, no Erroneous Payment Deficiency Assignment will reduce the Commitments of any Lender and such Commitments shall remain available in accordance with the terms of this Agreement. In addition, each party hereto agrees that, except to the extent that the Administrative Agent has sold an Advance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under the Loan Documents with respect to each Erroneous Payment Return Deficiency (the “</w:t>
      </w:r>
      <w:r>
        <w:rPr>
          <w:rFonts w:ascii="Times New Roman" w:cs="Times New Roman" w:eastAsia="Times New Roman" w:hAnsi="Times New Roman"/>
          <w:sz w:val="19"/>
          <w:szCs w:val="19"/>
          <w:b w:val="1"/>
          <w:bCs w:val="1"/>
          <w:i w:val="1"/>
          <w:iCs w:val="1"/>
          <w:color w:val="auto"/>
        </w:rPr>
        <w:t>Erroneous Payment Subrogation Rights</w:t>
      </w:r>
      <w:r>
        <w:rPr>
          <w:rFonts w:ascii="Times New Roman" w:cs="Times New Roman" w:eastAsia="Times New Roman" w:hAnsi="Times New Roman"/>
          <w:sz w:val="19"/>
          <w:szCs w:val="19"/>
          <w:color w:val="auto"/>
        </w:rPr>
        <w:t>”).</w:t>
      </w:r>
    </w:p>
    <w:p>
      <w:pPr>
        <w:spacing w:after="0" w:line="199" w:lineRule="exact"/>
        <w:rPr>
          <w:rFonts w:ascii="Times New Roman" w:cs="Times New Roman" w:eastAsia="Times New Roman" w:hAnsi="Times New Roman"/>
          <w:sz w:val="19"/>
          <w:szCs w:val="19"/>
          <w:color w:val="auto"/>
        </w:rPr>
      </w:pPr>
    </w:p>
    <w:p>
      <w:pPr>
        <w:jc w:val="both"/>
        <w:ind w:firstLine="1505"/>
        <w:spacing w:after="0" w:line="246" w:lineRule="auto"/>
        <w:tabs>
          <w:tab w:leader="none" w:pos="2036" w:val="left"/>
        </w:tabs>
        <w:numPr>
          <w:ilvl w:val="1"/>
          <w:numId w:val="27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parties hereto agree that an Erroneous Payment shall not pay, prepay, repay, discharge or otherwise satisfy any Obligation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010000"/>
        </w:rPr>
        <w:t>ARTICLE IX</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MISCELLANEOUS</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010000"/>
        </w:rPr>
        <w:t>Section 9.01</w:t>
      </w:r>
      <w:r>
        <w:rPr>
          <w:rFonts w:ascii="Times New Roman" w:cs="Times New Roman" w:eastAsia="Times New Roman" w:hAnsi="Times New Roman"/>
          <w:sz w:val="19"/>
          <w:szCs w:val="19"/>
          <w:u w:val="single" w:color="auto"/>
          <w:color w:val="000000"/>
        </w:rPr>
        <w:t>Amendments, Etc.</w:t>
      </w:r>
    </w:p>
    <w:p>
      <w:pPr>
        <w:spacing w:after="0" w:line="34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86" w:name="page287"/>
    <w:bookmarkEnd w:id="286"/>
    <w:p>
      <w:pPr>
        <w:jc w:val="both"/>
        <w:ind w:left="-300" w:firstLine="1505"/>
        <w:spacing w:after="0" w:line="238" w:lineRule="auto"/>
        <w:tabs>
          <w:tab w:leader="none" w:pos="1736" w:val="left"/>
        </w:tabs>
        <w:numPr>
          <w:ilvl w:val="0"/>
          <w:numId w:val="2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amendment or waiver of any provision of this Agreement, the Notes or any other Loan Document, nor consent to any departure by any Loan Party therefrom, shall in any event be effective unless the same shall be in writing and signed by the Required Lenders, and then such waiver or consent shall be effective only in the specific instance and for the specific purpose for which given;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no amendment, waiver or consent shall, unless in writing and signed by the Lenders indicated below, do any of the following at any time: (i) modify the definition of Required Lenders or otherwise change the percentage vote of the Lenders required to take any action under this Agreement or any other Loan Document, in each case without the consent of each affected Lender, (ii) release the Borrower with respect to the Obligations or, except to the extent expressly permitted under this Agreement, reduce or limit the obligations of any Guarantor under Article VII or release such Guarantor or otherwise limit such Guarantor’s liability with respect to the Guaranteed Obligations without the consent of each Lender, (iii) permit the Borrower Parties to encumber the Unencumbered Assets, except as expressly permitted in the Loan Documents, without the consent of each Lender, (iv) amend this Section 9.01 without the consent of each Lender, (v) increase the Commitment of any Lender or subject any Lender to any additional obligations (other than as provided by Section 2.17), without the consent of such Lender, (vi) forgive or reduce the principal of, or interest on (other than (x) a waiver or amendment of the interest rate increase provided for in Section 2.07(b) or (y) an amendment to any financial covenant (or any defined term directly or indirectly used therein), even if the effect of such amendment would be to reduce the rate of interest on any Advance or other Obligation or to reduce any fee payable hereunder), the Obligations of the Loan Parties under the Loan Documents or any fees or other amounts payable thereunder to any Lender, without the consent of such Lender, (vii) postpone or extend any date fixed for any payment of principal of, or interest on, the Notes or any fees or other amounts payable hereunder to any Lender (other than as provided by Section 2.07(d)), in each case without the consent of such Lender, (viii) extend the Maturity Date, other than as provided by Section 2.16, without the consent of each affected Lender, (ix) modify the definition of Pro Rata Share without the consent of each Lender, (x) subordinate, or have the effect of subordinating, the Obligations hereunder to any other Debt without the consent of each Lender or (xi) modify Section 2.11(f) or any provisions requiring payment to be made for the ratable account of the Lenders without the consent of each Lender;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(A) no amendment, waiver or consent shall, unless in writing and signed by the Administrative Agent in addition to the Lenders required above to take such action, affect the rights or duties of the Administrative Agent under this Agreement or the other Loan Documents and (B) no amendment, waiver or consent shall, unless in writing and signed by the Administrative Agent in addition to the Lenders required above to take such action, amend, waive or consent to any departure from the provisions of Section 2.07(e) or the defined terms herein pertaining to the establishment, replacement or computation of any interest rate or interest rate margin applicable to any Obligations hereunder (except, in each case, in accordance with Sections 2.07(d), 2.07(e) and 9.01(e)).</w:t>
      </w:r>
    </w:p>
    <w:p>
      <w:pPr>
        <w:spacing w:after="0" w:line="169" w:lineRule="exact"/>
        <w:rPr>
          <w:rFonts w:ascii="Times New Roman" w:cs="Times New Roman" w:eastAsia="Times New Roman" w:hAnsi="Times New Roman"/>
          <w:sz w:val="19"/>
          <w:szCs w:val="19"/>
          <w:color w:val="auto"/>
        </w:rPr>
      </w:pPr>
    </w:p>
    <w:p>
      <w:pPr>
        <w:jc w:val="both"/>
        <w:ind w:left="-300" w:firstLine="1505"/>
        <w:spacing w:after="0" w:line="227" w:lineRule="exact"/>
        <w:tabs>
          <w:tab w:leader="none" w:pos="1736" w:val="left"/>
        </w:tabs>
        <w:numPr>
          <w:ilvl w:val="0"/>
          <w:numId w:val="2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any Lender (a “</w:t>
      </w:r>
      <w:r>
        <w:rPr>
          <w:rFonts w:ascii="Times New Roman" w:cs="Times New Roman" w:eastAsia="Times New Roman" w:hAnsi="Times New Roman"/>
          <w:sz w:val="19"/>
          <w:szCs w:val="19"/>
          <w:b w:val="1"/>
          <w:bCs w:val="1"/>
          <w:i w:val="1"/>
          <w:iCs w:val="1"/>
          <w:color w:val="auto"/>
        </w:rPr>
        <w:t>Non</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b w:val="1"/>
          <w:bCs w:val="1"/>
          <w:i w:val="1"/>
          <w:iCs w:val="1"/>
          <w:color w:val="auto"/>
        </w:rPr>
        <w:t>Consenting Lender</w:t>
      </w:r>
      <w:r>
        <w:rPr>
          <w:rFonts w:ascii="Times New Roman" w:cs="Times New Roman" w:eastAsia="Times New Roman" w:hAnsi="Times New Roman"/>
          <w:sz w:val="19"/>
          <w:szCs w:val="19"/>
          <w:color w:val="auto"/>
        </w:rPr>
        <w:t>”) shall fail to consent to a waiver or amendment to, or a departure from, the provisions of this Agreement which requires the consent of all Lenders and that has been consented to by the Administrative Agent and the Required Lenders, then the Borrower shall have the right, upon written demand to such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Consenting Lender and the Administrative Agent given within 30 days after the first date on which such consent was solicited in writing from the Lenders by the Administrative Agent (a “</w:t>
      </w:r>
      <w:r>
        <w:rPr>
          <w:rFonts w:ascii="Times New Roman" w:cs="Times New Roman" w:eastAsia="Times New Roman" w:hAnsi="Times New Roman"/>
          <w:sz w:val="19"/>
          <w:szCs w:val="19"/>
          <w:b w:val="1"/>
          <w:bCs w:val="1"/>
          <w:i w:val="1"/>
          <w:iCs w:val="1"/>
          <w:color w:val="auto"/>
        </w:rPr>
        <w:t>Consent Request Date</w:t>
      </w:r>
      <w:r>
        <w:rPr>
          <w:rFonts w:ascii="Times New Roman" w:cs="Times New Roman" w:eastAsia="Times New Roman" w:hAnsi="Times New Roman"/>
          <w:sz w:val="19"/>
          <w:szCs w:val="19"/>
          <w:color w:val="auto"/>
        </w:rPr>
        <w:t>”), to cause such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Consenting Lender to assign its rights and obligations under this Agreement (including, without limitation, its Commitment or Commitments, the Advances owing to it and the Note or Notes, if any, held by it) to a Replacement Lender,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as of such Consent Request Date, no Default or Event of Default shall have occurred and be continuing, (ii) as of the date of the Borrower’s written demand to replace such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Consenting Lender, no Default or Event of Default shall have occurred and be continuing other than a Default or Event of Default that resulted solely from the subject matter of the waiver or amendment for which such consent was being solicited from the Lenders by the Administrative Agent and (iii) the replacement of any Non-Consenting Lender shall be consummated in accordance with and subject to the provisions of Section 2.19. The Replacement Lender shall purchase such interests of the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Consenting Lender and shall assume the rights and obligations of the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Consenting Lender under this Agreement upon execution by the Replacement Lender of an Assignment and Acceptance delivered pursuant to Section 9.07.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-1778635</wp:posOffset>
            </wp:positionV>
            <wp:extent cx="66040" cy="400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6040" cy="40005"/>
                    </a:xfrm>
                    <a:prstGeom prst="rect">
                      <a:avLst/>
                    </a:prstGeom>
                    <a:noFill/>
                  </pic:spPr>
                </pic:pic>
              </a:graphicData>
            </a:graphic>
          </wp:anchor>
        </w:drawing>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671195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409" w:right="339" w:bottom="1440" w:gutter="0" w:footer="0" w:header="0"/>
        </w:sectPr>
      </w:pPr>
    </w:p>
    <w:bookmarkStart w:id="287" w:name="page288"/>
    <w:bookmarkEnd w:id="287"/>
    <w:p>
      <w:pPr>
        <w:jc w:val="both"/>
        <w:ind w:left="-300" w:firstLine="1505"/>
        <w:spacing w:after="0"/>
        <w:tabs>
          <w:tab w:leader="none" w:pos="1736"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Anything herein to the contrary notwithstanding, during such period as a Lender is a Defaulting Lender, to the fullest extent permitted by applicable law, such Lender will not be entitled to vote in respect of amendments and waivers hereunder and the Commitment and the outstanding Advances or other extensions of credit of such Lender hereunder will not be taken into account in determining whether the Required Lenders or all of the Lenders, as required, have approved any such amendment or waiver (and the definition of “Required Lenders” will automatically be deemed modified accordingly for the duration of such period);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such amendment or waiver that would increase or extend the term of the Commitment of such Defaulting Lender, extend the date fixed for the payment of principal or interest owing to such Defaulting Lender hereunder, reduce the principal amount of any obligation owing to such Defaulting Lender, reduce the amount of or the rate or amount of interest on any amount owing to such Defaulting Lender or of any fee payable to such Defaulting Lender hereunder, or alter the terms of this proviso, will require the consent of such Defaulting Lender.</w:t>
      </w:r>
    </w:p>
    <w:p>
      <w:pPr>
        <w:spacing w:after="0" w:line="193" w:lineRule="exact"/>
        <w:rPr>
          <w:rFonts w:ascii="Times New Roman" w:cs="Times New Roman" w:eastAsia="Times New Roman" w:hAnsi="Times New Roman"/>
          <w:sz w:val="19"/>
          <w:szCs w:val="19"/>
          <w:color w:val="auto"/>
        </w:rPr>
      </w:pPr>
    </w:p>
    <w:p>
      <w:pPr>
        <w:jc w:val="both"/>
        <w:ind w:left="-300" w:firstLine="1505"/>
        <w:spacing w:after="0" w:line="242" w:lineRule="auto"/>
        <w:tabs>
          <w:tab w:leader="none" w:pos="1736"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Anything herein to the contrary notwithstanding, but subject to Section 2.07(d), if the Administrative Agent and the Borrower have jointly identified an ambiguity, omission, mistake or defect in any provision of this Agreement or the other Loan Documents or an inconsistency between a provision of this Agreement and/or a provision of the other Loan Documents, the Administrative Agent and the Borrower shall be permitted to amend such provision to cure such ambiguity, omission, mistake, defect or inconsistency, and, in each case, such amendment shall become effective without any further action or consent of any other party to any Loan Document if the Required Lenders do not provide the Administrative Agent with written notice of objection to such amendment within ten Business Days following receipt of notice thereof and a copy of such amendment.</w:t>
      </w:r>
    </w:p>
    <w:p>
      <w:pPr>
        <w:spacing w:after="0" w:line="179" w:lineRule="exact"/>
        <w:rPr>
          <w:rFonts w:ascii="Times New Roman" w:cs="Times New Roman" w:eastAsia="Times New Roman" w:hAnsi="Times New Roman"/>
          <w:sz w:val="19"/>
          <w:szCs w:val="19"/>
          <w:color w:val="auto"/>
        </w:rPr>
      </w:pPr>
    </w:p>
    <w:p>
      <w:pPr>
        <w:jc w:val="both"/>
        <w:ind w:left="-300" w:firstLine="1505"/>
        <w:spacing w:after="0" w:line="239" w:lineRule="auto"/>
        <w:tabs>
          <w:tab w:leader="none" w:pos="1736"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a consent or approval (a “</w:t>
      </w:r>
      <w:r>
        <w:rPr>
          <w:rFonts w:ascii="Times New Roman" w:cs="Times New Roman" w:eastAsia="Times New Roman" w:hAnsi="Times New Roman"/>
          <w:sz w:val="19"/>
          <w:szCs w:val="19"/>
          <w:b w:val="1"/>
          <w:bCs w:val="1"/>
          <w:i w:val="1"/>
          <w:iCs w:val="1"/>
          <w:color w:val="auto"/>
        </w:rPr>
        <w:t>Proposed Modification</w:t>
      </w:r>
      <w:r>
        <w:rPr>
          <w:rFonts w:ascii="Times New Roman" w:cs="Times New Roman" w:eastAsia="Times New Roman" w:hAnsi="Times New Roman"/>
          <w:sz w:val="19"/>
          <w:szCs w:val="19"/>
          <w:color w:val="auto"/>
        </w:rPr>
        <w:t>”) is issued by the Required Lenders (as defined in the Existing Credit Agreement) of any waiver, amendment and/or modification to any economic or financial covenant (including any associated definitions) of the Existing Credit Agreement (the “</w:t>
      </w:r>
      <w:r>
        <w:rPr>
          <w:rFonts w:ascii="Times New Roman" w:cs="Times New Roman" w:eastAsia="Times New Roman" w:hAnsi="Times New Roman"/>
          <w:sz w:val="19"/>
          <w:szCs w:val="19"/>
          <w:b w:val="1"/>
          <w:bCs w:val="1"/>
          <w:i w:val="1"/>
          <w:iCs w:val="1"/>
          <w:color w:val="auto"/>
        </w:rPr>
        <w:t>Existing Credit Agreement Provisions</w:t>
      </w:r>
      <w:r>
        <w:rPr>
          <w:rFonts w:ascii="Times New Roman" w:cs="Times New Roman" w:eastAsia="Times New Roman" w:hAnsi="Times New Roman"/>
          <w:sz w:val="19"/>
          <w:szCs w:val="19"/>
          <w:color w:val="auto"/>
        </w:rPr>
        <w:t>”) in writing, then (A) for purposes of determining if the requisite approvals hereunder have been obtained, any Lender under this Agreement shall be deemed to have approved a waiver, amendment and/or modification, as applicable, to the corresponding economic or financial covenant hereunder (including any associated definitions) identical to such Proposed Modification if such Lender or an Affiliate of such Lender shall have approved the Proposed Modification under the Existing Credit Agreement in its capacity as a Lender thereunder and (B) if the Lenders under this Agreement described in the immediately preceding clause (A) constitute the Required Lenders (or, to the extent required by Section 9.01(a), all Lenders) hereunder, then substantially simultaneously with the agreement to or granting of such Proposed Modification under the Existing Credit Agreement, this Agreement shall be deemed modified or amended, or that applicable provision shall be deemed waived (a “</w:t>
      </w:r>
      <w:r>
        <w:rPr>
          <w:rFonts w:ascii="Times New Roman" w:cs="Times New Roman" w:eastAsia="Times New Roman" w:hAnsi="Times New Roman"/>
          <w:sz w:val="19"/>
          <w:szCs w:val="19"/>
          <w:b w:val="1"/>
          <w:bCs w:val="1"/>
          <w:i w:val="1"/>
          <w:iCs w:val="1"/>
          <w:color w:val="auto"/>
        </w:rPr>
        <w:t>Conforming Amendment</w:t>
      </w:r>
      <w:r>
        <w:rPr>
          <w:rFonts w:ascii="Times New Roman" w:cs="Times New Roman" w:eastAsia="Times New Roman" w:hAnsi="Times New Roman"/>
          <w:sz w:val="19"/>
          <w:szCs w:val="19"/>
          <w:color w:val="auto"/>
        </w:rPr>
        <w:t xml:space="preserve">”) in a manner consistent with the Proposed Modifications under the Existing Credit Agreement. The Borrower, the Administrative Agent and each such approving Lender (including any Lender deemed to have approved pursuant to this Section 9.01(e)) shall, upon the written request of any party hereunder, execute and deliver a written amendment to the applicable Loan Document(s) to memorialize any Conforming Amendment approved (or deemed approved) pursuant to this Section 9.01(e). For clarification, in the event that the Existing Credit Agreement </w:t>
      </w:r>
      <w:r>
        <w:rPr>
          <w:rFonts w:ascii="Times New Roman" w:cs="Times New Roman" w:eastAsia="Times New Roman" w:hAnsi="Times New Roman"/>
          <w:sz w:val="19"/>
          <w:szCs w:val="19"/>
          <w:color w:val="FF0000"/>
          <w:strike w:val="1"/>
        </w:rPr>
        <w:t>dated as of June 18, 2018</w:t>
      </w:r>
      <w:r>
        <w:rPr>
          <w:rFonts w:ascii="Times New Roman" w:cs="Times New Roman" w:eastAsia="Times New Roman" w:hAnsi="Times New Roman"/>
          <w:sz w:val="19"/>
          <w:szCs w:val="19"/>
          <w:color w:val="auto"/>
        </w:rPr>
        <w:t xml:space="preserve"> is replaced and/or amended and restated, and the terms of such replacements or amendment and restatement do not include an economic or financial covenant that is included in this Agreement, such exclusion shall be deemed a Proposed Modification of an Existing Credit Agreement Provision for purposes of this Section 9.01(e). In the event any fees are paid in connection with any such waiver, amendment and/or modification of the Existing Credit Agreement described in this Section 9.01(e), as a condition to any Conforming Amendment, a corresponding amount of such fees shall be paid to the Lenders, subject to any applicable conditions to payment of such fees contained in the Existing Credit Agreement.</w:t>
      </w:r>
    </w:p>
    <w:p>
      <w:pPr>
        <w:spacing w:after="0" w:line="192" w:lineRule="exact"/>
        <w:rPr>
          <w:rFonts w:ascii="Times New Roman" w:cs="Times New Roman" w:eastAsia="Times New Roman" w:hAnsi="Times New Roman"/>
          <w:sz w:val="19"/>
          <w:szCs w:val="19"/>
          <w:color w:val="auto"/>
        </w:rPr>
      </w:pPr>
    </w:p>
    <w:p>
      <w:pPr>
        <w:jc w:val="both"/>
        <w:ind w:left="-300" w:firstLine="1505"/>
        <w:spacing w:after="0" w:line="251" w:lineRule="auto"/>
        <w:tabs>
          <w:tab w:leader="none" w:pos="1736"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Administrative Agent shall request the consent of the Lenders pursuant to Section 9.01(a) and any Lender shall fail to respond to such consent request (which response must include any non-confidential information as may have been reasonably requested by the Administrative Agent from such Lender in connection with such consent request) within the earlier of (x) the applicable time period specified for</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671195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409" w:right="339" w:bottom="1440" w:gutter="0" w:footer="0" w:header="0"/>
        </w:sectPr>
      </w:pPr>
    </w:p>
    <w:bookmarkStart w:id="288" w:name="page289"/>
    <w:bookmarkEnd w:id="288"/>
    <w:p>
      <w:pPr>
        <w:jc w:val="both"/>
        <w:spacing w:after="0" w:line="241" w:lineRule="auto"/>
        <w:rPr>
          <w:sz w:val="20"/>
          <w:szCs w:val="20"/>
          <w:color w:val="auto"/>
        </w:rPr>
      </w:pPr>
      <w:r>
        <w:rPr>
          <w:rFonts w:ascii="Times New Roman" w:cs="Times New Roman" w:eastAsia="Times New Roman" w:hAnsi="Times New Roman"/>
          <w:sz w:val="19"/>
          <w:szCs w:val="19"/>
          <w:color w:val="auto"/>
        </w:rPr>
        <w:t>the granting or withholding of such consent pursuant to the Loan Documents, if any, and (y) ten (10) Business Days after delivery of such request, then the Administrative Agent shall deliver a second request, in writing, to such non-responding Lender, which second request shall include a legend in capital letters stating “YOUR RESPONSE IS REQUIRED WITHIN TEN (10) BUSINESS DAYS OF RECEIPT OF THIS NOTICE PURSUANT TO THE TERMS OF THE TERM LOAN AGREEMENT DATED AS OF SEPTEMBER 29, 2016, AS AMENDED, AMONG EASTERLY GOVERNMENT PROPERTIES LP, EASTERLY GOVERNMENT PROPERTIES, INC., PNC BANK, NATIONAL ASSOCIATION AND THE LENDERS PARTY THERETO. FAILURE TO RESPOND IN WRITING TO THIS REQUEST WITHIN SUCH TEN (10) BUSINESS DAY PERIOD SHALL RESULT IN YOUR DEEMED CONSENT TO THIS REQUEST.” and if such Lender fails to respond to such second request within such second period, such Lender shall be deemed to have consented to such request.</w:t>
      </w:r>
    </w:p>
    <w:p>
      <w:pPr>
        <w:spacing w:after="0" w:line="1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010000"/>
        </w:rPr>
        <w:t>Section 9.02</w:t>
      </w:r>
      <w:r>
        <w:rPr>
          <w:rFonts w:ascii="Times New Roman" w:cs="Times New Roman" w:eastAsia="Times New Roman" w:hAnsi="Times New Roman"/>
          <w:sz w:val="19"/>
          <w:szCs w:val="19"/>
          <w:u w:val="single" w:color="auto"/>
          <w:color w:val="000000"/>
        </w:rPr>
        <w:t>Notices, Etc.</w:t>
      </w:r>
      <w:r>
        <w:rPr>
          <w:rFonts w:ascii="Times New Roman" w:cs="Times New Roman" w:eastAsia="Times New Roman" w:hAnsi="Times New Roman"/>
          <w:sz w:val="19"/>
          <w:szCs w:val="19"/>
          <w:color w:val="000000"/>
        </w:rPr>
        <w:t>.</w:t>
      </w:r>
    </w:p>
    <w:p>
      <w:pPr>
        <w:spacing w:after="0" w:line="214" w:lineRule="exact"/>
        <w:rPr>
          <w:sz w:val="20"/>
          <w:szCs w:val="20"/>
          <w:color w:val="auto"/>
        </w:rPr>
      </w:pPr>
    </w:p>
    <w:p>
      <w:pPr>
        <w:jc w:val="both"/>
        <w:ind w:firstLine="1505"/>
        <w:spacing w:after="0" w:line="221" w:lineRule="exact"/>
        <w:tabs>
          <w:tab w:leader="none" w:pos="2036" w:val="left"/>
        </w:tabs>
        <w:numPr>
          <w:ilvl w:val="0"/>
          <w:numId w:val="2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notices and other Communications provided for hereunder shall be either (x) in writing (including telecopier communication) and mailed, telecopied or delivered by hand or by overnight courier service, (y) as and to the extent set forth in Section 9.02(b) and in the proviso to this Section 9.02(a), in an electronic medium and delivered as set forth in Section 9.02(b) or (z) as and to the extent expressly permitted in this Agreement, transmitted by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mail,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mail shall in all cases include an attachment (in PDF format or similar format) containing a legible signature of the person providing such notice, if to the Borrower, at its address at c/o Easterly Government Properties, Inc., 2001 K Street NW, Suite 775 North, Washington, D.C. 20006, Attention: Allison Marino, Chief Financial Officer </w:t>
      </w:r>
      <w:r>
        <w:rPr>
          <w:rFonts w:ascii="Times New Roman" w:cs="Times New Roman" w:eastAsia="Times New Roman" w:hAnsi="Times New Roman"/>
          <w:sz w:val="19"/>
          <w:szCs w:val="19"/>
          <w:color w:val="FF0000"/>
          <w:strike w:val="1"/>
        </w:rPr>
        <w:t>and Chief Accounting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Officer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or, if applicable, at amarino@easterlyreit.com (and in the case of transmission by e</w:t>
      </w:r>
      <w:r>
        <w:rPr>
          <w:rFonts w:ascii="MS PGothic" w:cs="MS PGothic" w:eastAsia="MS PGothic" w:hAnsi="MS PGothic"/>
          <w:sz w:val="19"/>
          <w:szCs w:val="19"/>
          <w:color w:val="000000"/>
        </w:rPr>
        <w:t>‑</w:t>
      </w:r>
      <w:r>
        <w:rPr>
          <w:rFonts w:ascii="Times New Roman" w:cs="Times New Roman" w:eastAsia="Times New Roman" w:hAnsi="Times New Roman"/>
          <w:sz w:val="19"/>
          <w:szCs w:val="19"/>
          <w:color w:val="000000"/>
        </w:rPr>
        <w:t>mail, with a copy by U.S. mail to the attention of</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Allison Marino, Chief Financial </w:t>
      </w:r>
      <w:r>
        <w:rPr>
          <w:rFonts w:ascii="Times New Roman" w:cs="Times New Roman" w:eastAsia="Times New Roman" w:hAnsi="Times New Roman"/>
          <w:sz w:val="19"/>
          <w:szCs w:val="19"/>
          <w:color w:val="FF0000"/>
          <w:strike w:val="1"/>
        </w:rPr>
        <w:t>Officer and Chief Accounting</w:t>
      </w:r>
      <w:r>
        <w:rPr>
          <w:rFonts w:ascii="Times New Roman" w:cs="Times New Roman" w:eastAsia="Times New Roman" w:hAnsi="Times New Roman"/>
          <w:sz w:val="19"/>
          <w:szCs w:val="19"/>
          <w:color w:val="000000"/>
        </w:rPr>
        <w:t xml:space="preserve"> Officer at c/o Easterly Government Properties, Inc., 2001 K Street NW, Suite 775 North, Washington, D.C. 20006); if to any Initial Lender, at its Domestic Lending Office or, if applicable, at the telecopy number or e</w:t>
      </w:r>
      <w:r>
        <w:rPr>
          <w:rFonts w:ascii="MS PGothic" w:cs="MS PGothic" w:eastAsia="MS PGothic" w:hAnsi="MS PGothic"/>
          <w:sz w:val="19"/>
          <w:szCs w:val="19"/>
          <w:color w:val="000000"/>
        </w:rPr>
        <w:t>‑</w:t>
      </w:r>
      <w:r>
        <w:rPr>
          <w:rFonts w:ascii="Times New Roman" w:cs="Times New Roman" w:eastAsia="Times New Roman" w:hAnsi="Times New Roman"/>
          <w:sz w:val="19"/>
          <w:szCs w:val="19"/>
          <w:color w:val="000000"/>
        </w:rPr>
        <w:t>mail address specified opposite its name on Schedule I hereto (and in the case of a transmission by e</w:t>
      </w:r>
      <w:r>
        <w:rPr>
          <w:rFonts w:ascii="MS PGothic" w:cs="MS PGothic" w:eastAsia="MS PGothic" w:hAnsi="MS PGothic"/>
          <w:sz w:val="19"/>
          <w:szCs w:val="19"/>
          <w:color w:val="000000"/>
        </w:rPr>
        <w:t>‑</w:t>
      </w:r>
      <w:r>
        <w:rPr>
          <w:rFonts w:ascii="Times New Roman" w:cs="Times New Roman" w:eastAsia="Times New Roman" w:hAnsi="Times New Roman"/>
          <w:sz w:val="19"/>
          <w:szCs w:val="19"/>
          <w:color w:val="000000"/>
        </w:rPr>
        <w:t>mail, with a copy by U.S. mail to its Domestic Lending Office); if to any other Lender, at its Domestic Lending Office or, if applicable, at the telecopy number or e</w:t>
      </w:r>
      <w:r>
        <w:rPr>
          <w:rFonts w:ascii="MS PGothic" w:cs="MS PGothic" w:eastAsia="MS PGothic" w:hAnsi="MS PGothic"/>
          <w:sz w:val="19"/>
          <w:szCs w:val="19"/>
          <w:color w:val="000000"/>
        </w:rPr>
        <w:t>‑</w:t>
      </w:r>
      <w:r>
        <w:rPr>
          <w:rFonts w:ascii="Times New Roman" w:cs="Times New Roman" w:eastAsia="Times New Roman" w:hAnsi="Times New Roman"/>
          <w:sz w:val="19"/>
          <w:szCs w:val="19"/>
          <w:color w:val="000000"/>
        </w:rPr>
        <w:t>mail address specified in the Assignment and Acceptance pursuant to which it became a Lender (and in the case of a transmission by e</w:t>
      </w:r>
      <w:r>
        <w:rPr>
          <w:rFonts w:ascii="MS PGothic" w:cs="MS PGothic" w:eastAsia="MS PGothic" w:hAnsi="MS PGothic"/>
          <w:sz w:val="19"/>
          <w:szCs w:val="19"/>
          <w:color w:val="000000"/>
        </w:rPr>
        <w:t>‑</w:t>
      </w:r>
      <w:r>
        <w:rPr>
          <w:rFonts w:ascii="Times New Roman" w:cs="Times New Roman" w:eastAsia="Times New Roman" w:hAnsi="Times New Roman"/>
          <w:sz w:val="19"/>
          <w:szCs w:val="19"/>
          <w:color w:val="000000"/>
        </w:rPr>
        <w:t>mail, with a copy by U.S. mail to its Domestic Lending Office); and if to the Administrative Agent, at its address at PNC Real Estate, 800 17</w:t>
      </w:r>
      <w:r>
        <w:rPr>
          <w:rFonts w:ascii="Times New Roman" w:cs="Times New Roman" w:eastAsia="Times New Roman" w:hAnsi="Times New Roman"/>
          <w:sz w:val="12"/>
          <w:szCs w:val="12"/>
          <w:color w:val="000000"/>
        </w:rPr>
        <w:t>th</w:t>
      </w:r>
      <w:r>
        <w:rPr>
          <w:rFonts w:ascii="Times New Roman" w:cs="Times New Roman" w:eastAsia="Times New Roman" w:hAnsi="Times New Roman"/>
          <w:sz w:val="19"/>
          <w:szCs w:val="19"/>
          <w:color w:val="000000"/>
        </w:rPr>
        <w:t xml:space="preserve"> Street NW, Washington, DC 20006, Attention: Shari Reams-Henofer, Senior Vice President, or, if applicable, at shari.reams@pnc.com (and in the case of a transmission by e</w:t>
      </w:r>
      <w:r>
        <w:rPr>
          <w:rFonts w:ascii="MS PGothic" w:cs="MS PGothic" w:eastAsia="MS PGothic" w:hAnsi="MS PGothic"/>
          <w:sz w:val="19"/>
          <w:szCs w:val="19"/>
          <w:color w:val="000000"/>
        </w:rPr>
        <w:t>‑</w:t>
      </w:r>
      <w:r>
        <w:rPr>
          <w:rFonts w:ascii="Times New Roman" w:cs="Times New Roman" w:eastAsia="Times New Roman" w:hAnsi="Times New Roman"/>
          <w:sz w:val="19"/>
          <w:szCs w:val="19"/>
          <w:color w:val="000000"/>
        </w:rPr>
        <w:t>mail, with a copy by U.S. mail to PNC Real Estate, 800 17</w:t>
      </w:r>
      <w:r>
        <w:rPr>
          <w:rFonts w:ascii="Times New Roman" w:cs="Times New Roman" w:eastAsia="Times New Roman" w:hAnsi="Times New Roman"/>
          <w:sz w:val="12"/>
          <w:szCs w:val="12"/>
          <w:color w:val="000000"/>
        </w:rPr>
        <w:t>th</w:t>
      </w:r>
      <w:r>
        <w:rPr>
          <w:rFonts w:ascii="Times New Roman" w:cs="Times New Roman" w:eastAsia="Times New Roman" w:hAnsi="Times New Roman"/>
          <w:sz w:val="19"/>
          <w:szCs w:val="19"/>
          <w:color w:val="000000"/>
        </w:rPr>
        <w:t xml:space="preserve"> Street NW, Washington, DC 20006, Attention: Shari Reams-Henofer, Senior Vice President) or, as to the Borrower or the Administrative Agent, at such other address as shall be designated by such party in a written notice to the other parties and, as to each other party, at such other address as shall be designated by such party in a written notice to the Borrower and the Administrative Agent. All notices, demands, requests, consents and other Communications described in this clause (a) shall be effective (i) if delivered by hand, including any overnight courier service, upon personal delivery, (ii) if delivered by mail, when deposited in the mails, (iii) if delivered by posting to an Approved Electronic Platform, an Internet website or a similar telecommunication device requiring that a user have prior access to such Approved Electronic Platform, website or other device (to the extent permitted by Section 9.02(b) to be delivered thereunder), when such notice, demand, request, consent and other Communication shall have been made generally available on such Approved Electronic Platform, Internet website or similar device to the class of Person being notified (regardless of whether any such Person must accomplish, and whether or not any such Person shall have accomplished, any action prior to obtaining access to such items, including registration, disclosure of contact information, compliance with a standard user agreement or undertaking a duty of confidentiality) and such Person has been notified in respect of such posting that a Communication has been posted to the Approved Electronic Platform,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that if requested by any Lender, the Administrative Agent shall deliver a copy of the Communications to such Lender by e</w:t>
      </w:r>
      <w:r>
        <w:rPr>
          <w:rFonts w:ascii="MS PGothic" w:cs="MS PGothic" w:eastAsia="MS PGothic" w:hAnsi="MS PGothic"/>
          <w:sz w:val="19"/>
          <w:szCs w:val="19"/>
          <w:color w:val="000000"/>
        </w:rPr>
        <w:t>‑</w:t>
      </w:r>
      <w:r>
        <w:rPr>
          <w:rFonts w:ascii="Times New Roman" w:cs="Times New Roman" w:eastAsia="Times New Roman" w:hAnsi="Times New Roman"/>
          <w:sz w:val="19"/>
          <w:szCs w:val="19"/>
          <w:color w:val="000000"/>
        </w:rPr>
        <w:t>mail or telecopier and (iv) if delivered by electronic mail or any other telecommunications device, upon receipt by the sender of a response from any one recipient, or from an employee or representative of the Person receiving notice on behalf of such Person, acknowledging receipt (which response may not be an automatic computer</w:t>
      </w:r>
      <w:r>
        <w:rPr>
          <w:rFonts w:ascii="MS PGothic" w:cs="MS PGothic" w:eastAsia="MS PGothic" w:hAnsi="MS PGothic"/>
          <w:sz w:val="19"/>
          <w:szCs w:val="19"/>
          <w:color w:val="000000"/>
        </w:rPr>
        <w:t>‑</w:t>
      </w:r>
      <w:r>
        <w:rPr>
          <w:rFonts w:ascii="Times New Roman" w:cs="Times New Roman" w:eastAsia="Times New Roman" w:hAnsi="Times New Roman"/>
          <w:sz w:val="19"/>
          <w:szCs w:val="19"/>
          <w:color w:val="000000"/>
        </w:rPr>
        <w:t>generated response) and an identical notice is also sent simultaneously by mail, overnight courier or personal delivery as</w:t>
      </w:r>
    </w:p>
    <w:p>
      <w:pPr>
        <w:spacing w:after="0" w:line="34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89" w:name="page290"/>
    <w:bookmarkEnd w:id="289"/>
    <w:p>
      <w:pPr>
        <w:jc w:val="both"/>
        <w:spacing w:after="0" w:line="229" w:lineRule="exact"/>
        <w:rPr>
          <w:sz w:val="20"/>
          <w:szCs w:val="20"/>
          <w:color w:val="auto"/>
        </w:rPr>
      </w:pPr>
      <w:r>
        <w:rPr>
          <w:rFonts w:ascii="Times New Roman" w:cs="Times New Roman" w:eastAsia="Times New Roman" w:hAnsi="Times New Roman"/>
          <w:sz w:val="19"/>
          <w:szCs w:val="19"/>
          <w:color w:val="auto"/>
        </w:rPr>
        <w:t xml:space="preserve">otherwise provide in this Section 9.02;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notices and Communications to the Administrative Agent pursuant to Article II, III or IX shall not be effective until received by the Administrative Agent. Delivery by telecopier of an executed counterpart of a signature page to any amendment or waiver of any provision of this Agreement or the Notes or of any Exhibit hereto to be executed and delivered hereunder shall be effective as delivery of an original executed counterpart thereof. Each Lender agrees (i) to notify the Administrative Agent in writing of such Lender’s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mail address to which a notice may be sent by electronic transmission (including by electronic communication) on or before the date such Lender becomes a party to this Agreement (and from time to time thereafter to ensure that the Administrative Agent has on record an effective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mail address for such Lender) and (ii) that any notice may be sent to such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mail address.</w:t>
      </w:r>
    </w:p>
    <w:p>
      <w:pPr>
        <w:spacing w:after="0" w:line="160" w:lineRule="exact"/>
        <w:rPr>
          <w:sz w:val="20"/>
          <w:szCs w:val="20"/>
          <w:color w:val="auto"/>
        </w:rPr>
      </w:pPr>
    </w:p>
    <w:p>
      <w:pPr>
        <w:jc w:val="both"/>
        <w:ind w:firstLine="1505"/>
        <w:spacing w:after="0" w:line="242" w:lineRule="auto"/>
        <w:tabs>
          <w:tab w:leader="none" w:pos="2036" w:val="left"/>
        </w:tabs>
        <w:numPr>
          <w:ilvl w:val="0"/>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clause (a) (unless the Administrative Agent requests that the provisions of clause (a) be followed) and any other provision in this Agreement or any other Loan Document providing for the delivery of any Approved Electronic Communication by any other means, the Loan Parties shall deliver all Approved Electronic Communications to the Administrative Agent by properly transmitting such Approved Electronic Communications in an electronic/soft medium in a format acceptable to the Administrative Agent to Shari Reams-Henofer at shari.reams@pnc.com or such other electronic mail address (or similar means of electronic delivery) as the Administrative Agent may notify to the Borrower. Nothing in this clause (b) shall prejudice the right of the Administrative Agent or any Lender to deliver any Approved Electronic Communication to any Loan Party in any manner authorized in this Agreement or to request that the Borrower effect delivery in such manner.</w:t>
      </w:r>
    </w:p>
    <w:p>
      <w:pPr>
        <w:spacing w:after="0" w:line="185" w:lineRule="exact"/>
        <w:rPr>
          <w:rFonts w:ascii="Times New Roman" w:cs="Times New Roman" w:eastAsia="Times New Roman" w:hAnsi="Times New Roman"/>
          <w:sz w:val="19"/>
          <w:szCs w:val="19"/>
          <w:color w:val="auto"/>
        </w:rPr>
      </w:pPr>
    </w:p>
    <w:p>
      <w:pPr>
        <w:jc w:val="both"/>
        <w:ind w:firstLine="1505"/>
        <w:spacing w:after="0" w:line="222" w:lineRule="exact"/>
        <w:tabs>
          <w:tab w:leader="none" w:pos="2036" w:val="left"/>
        </w:tabs>
        <w:numPr>
          <w:ilvl w:val="0"/>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Lenders and each Loan Party agrees that the Administrative Agent may, but shall not be obligated to, make the Approved Electronic Communications available to the Lenders by posting such Approved Electronic Communications on IntraLinks™ or a substantially similar electronic platform chosen by the Administrative Agent to be its electronic transmission system (the “</w:t>
      </w:r>
      <w:r>
        <w:rPr>
          <w:rFonts w:ascii="Times New Roman" w:cs="Times New Roman" w:eastAsia="Times New Roman" w:hAnsi="Times New Roman"/>
          <w:sz w:val="19"/>
          <w:szCs w:val="19"/>
          <w:b w:val="1"/>
          <w:bCs w:val="1"/>
          <w:i w:val="1"/>
          <w:iCs w:val="1"/>
          <w:color w:val="auto"/>
        </w:rPr>
        <w:t>Approved Electronic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Platform</w:t>
      </w:r>
      <w:r>
        <w:rPr>
          <w:rFonts w:ascii="Times New Roman" w:cs="Times New Roman" w:eastAsia="Times New Roman" w:hAnsi="Times New Roman"/>
          <w:sz w:val="19"/>
          <w:szCs w:val="19"/>
          <w:color w:val="auto"/>
        </w:rPr>
        <w:t>”). Although the Approved Electronic Platform and its primary web portal are secured with generally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applicable security procedures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policies implemented or modified by the Administrative Agent from time to time (including, as of the Closing Date, a dual firewall and a User ID/Password Authorization System) and the Approved Electronic Platform is secured through a single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user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per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deal authorization method whereby each user may access the Approved Electronic Platform only on a deal</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by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deal basis, each of the Lenders and each Loan Party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Lenders and each Loan Party hereby approves distribution of the Approved Electronic Communications through the Approved Electronic Platform and understands and assumes the risks of such distribution.</w:t>
      </w:r>
    </w:p>
    <w:p>
      <w:pPr>
        <w:spacing w:after="0" w:line="194" w:lineRule="exact"/>
        <w:rPr>
          <w:rFonts w:ascii="Times New Roman" w:cs="Times New Roman" w:eastAsia="Times New Roman" w:hAnsi="Times New Roman"/>
          <w:sz w:val="19"/>
          <w:szCs w:val="19"/>
          <w:color w:val="auto"/>
        </w:rPr>
      </w:pPr>
    </w:p>
    <w:p>
      <w:pPr>
        <w:jc w:val="both"/>
        <w:ind w:firstLine="1505"/>
        <w:spacing w:after="0" w:line="220" w:lineRule="exact"/>
        <w:tabs>
          <w:tab w:leader="none" w:pos="2036" w:val="left"/>
        </w:tabs>
        <w:numPr>
          <w:ilvl w:val="0"/>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APPROVED ELECTRONIC PLATFORM AND THE APPROVED ELECTRONIC COMMUNICATIONS ARE PROVIDED “AS IS” AND “AS AVAILABLE”. NONE OF THE ADMINISTRATIVE AGENT NOR ANY OF ITS DIRECTORS, OFFICERS, AGENTS OR EMPLOYEES WARRANT THE ACCURACY, ADEQUACY OR COMPLETENESS OF THE APPROVED ELECTRONIC COMMUNICATIONS OR THE APPROVED ELECTRONIC PLATFORM AND EACH EXPRESSLY DISCLAIMS ANY LIABILITY FOR ERRORS OR OMISSIONS IN THE APPROVED ELECTRONIC COMMUNICATIONS OR THE APPROVED ELECTRONIC PLATFORM. NO WARRANTY OF ANY KIND, EXPRESS, IMPLIED OR STATUTORY, INCLUDING, WITHOUT LIMITATION, ANY WARRANTY OF MERCHANTABILITY, FITNESS FOR A PARTICULAR PURPOSE,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INFRINGEMENT OF THIRD PARTY RIGHTS OR FREEDOM FROM VIRUSES OR OTHER CODE DEFECTS, IS MADE BY THE ADMINISTRATIVE AGENT OR ANY OF ITS DIRECTORS, OFFICERS, AGENTS OR EMPLOYEES IN CONNECTION WITH THE APPROVED ELECTRONIC COMMUNICATIONS OR THE APPROVED ELECTRONIC PLATFORM.</w:t>
      </w:r>
    </w:p>
    <w:p>
      <w:pPr>
        <w:spacing w:after="0" w:line="195" w:lineRule="exact"/>
        <w:rPr>
          <w:rFonts w:ascii="Times New Roman" w:cs="Times New Roman" w:eastAsia="Times New Roman" w:hAnsi="Times New Roman"/>
          <w:sz w:val="19"/>
          <w:szCs w:val="19"/>
          <w:color w:val="auto"/>
        </w:rPr>
      </w:pPr>
    </w:p>
    <w:p>
      <w:pPr>
        <w:ind w:right="20" w:firstLine="1505"/>
        <w:spacing w:after="0" w:line="265" w:lineRule="auto"/>
        <w:tabs>
          <w:tab w:leader="none" w:pos="2036" w:val="left"/>
        </w:tabs>
        <w:numPr>
          <w:ilvl w:val="0"/>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Lenders and each Loan Party agrees that the Administrative Agent may, but (except as may be required by applicable law) shall not be obligated to, store the Approved Electronic</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290" w:name="page291"/>
    <w:bookmarkEnd w:id="290"/>
    <w:p>
      <w:pPr>
        <w:spacing w:after="0" w:line="252" w:lineRule="exact"/>
        <w:rPr>
          <w:sz w:val="20"/>
          <w:szCs w:val="20"/>
          <w:color w:val="auto"/>
        </w:rPr>
      </w:pPr>
      <w:r>
        <w:rPr>
          <w:rFonts w:ascii="Times New Roman" w:cs="Times New Roman" w:eastAsia="Times New Roman" w:hAnsi="Times New Roman"/>
          <w:sz w:val="19"/>
          <w:szCs w:val="19"/>
          <w:color w:val="auto"/>
        </w:rPr>
        <w:t>Communications on the Approved Electronic Platform in accordance with the Administrative Agent’s generally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applicable document retention procedures and policies.</w:t>
      </w:r>
    </w:p>
    <w:p>
      <w:pPr>
        <w:spacing w:after="0" w:line="188" w:lineRule="exact"/>
        <w:rPr>
          <w:sz w:val="20"/>
          <w:szCs w:val="20"/>
          <w:color w:val="auto"/>
        </w:rPr>
      </w:pPr>
    </w:p>
    <w:p>
      <w:pPr>
        <w:jc w:val="both"/>
        <w:ind w:firstLine="1505"/>
        <w:spacing w:after="0" w:line="242" w:lineRule="auto"/>
        <w:tabs>
          <w:tab w:leader="none" w:pos="2036" w:val="left"/>
        </w:tabs>
        <w:numPr>
          <w:ilvl w:val="0"/>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herein, if the Borrower and the Administrative Agent agree, the Borrower may request a Borrowing, continuation or Conversion of Advances through the Credit Management Module of PNC’s PINACLE® system in accordance with the applicable security procedures therefor. Each request submitted through the Credit Management Module of PNC’s PINACLE® system in accordance with the applicable security procedures therefor shall be deemed delivered to the Administrative Agent (i) in the form required by Sections 2.02(a), 2.07 or 2.09, as applicable, and (ii) on the date and time such request was submitted through the Credit Management Module of PNC’s PINACLE® system.</w:t>
      </w:r>
    </w:p>
    <w:p>
      <w:pPr>
        <w:spacing w:after="0" w:line="19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010000"/>
        </w:rPr>
        <w:t>Section 9.03</w:t>
      </w:r>
      <w:r>
        <w:rPr>
          <w:rFonts w:ascii="Times New Roman" w:cs="Times New Roman" w:eastAsia="Times New Roman" w:hAnsi="Times New Roman"/>
          <w:sz w:val="19"/>
          <w:szCs w:val="19"/>
          <w:u w:val="single" w:color="auto"/>
          <w:color w:val="000000"/>
        </w:rPr>
        <w:t>No Waiver; Remedies</w:t>
      </w:r>
      <w:r>
        <w:rPr>
          <w:rFonts w:ascii="Times New Roman" w:cs="Times New Roman" w:eastAsia="Times New Roman" w:hAnsi="Times New Roman"/>
          <w:sz w:val="19"/>
          <w:szCs w:val="19"/>
          <w:color w:val="000000"/>
        </w:rPr>
        <w:t>. No failure on the part of any Lender or the Administrative Agent to exercise, and no delay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in exercising, any right hereunder or under any other Loan Document shall operate as a waiver thereof; nor shall any single or partial exercise of any such right preclude any other or further exercise thereof or the exercise of any other right. The remedies herein and therein provided are cumulative and not exclusive of any remedies provided by law.</w:t>
      </w:r>
    </w:p>
    <w:p>
      <w:pPr>
        <w:spacing w:after="0" w:line="1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010000"/>
        </w:rPr>
        <w:t>Section 9.04</w:t>
      </w:r>
      <w:r>
        <w:rPr>
          <w:rFonts w:ascii="Times New Roman" w:cs="Times New Roman" w:eastAsia="Times New Roman" w:hAnsi="Times New Roman"/>
          <w:sz w:val="19"/>
          <w:szCs w:val="19"/>
          <w:u w:val="single" w:color="auto"/>
          <w:color w:val="000000"/>
        </w:rPr>
        <w:t>Costs and Expenses</w:t>
      </w:r>
      <w:r>
        <w:rPr>
          <w:rFonts w:ascii="Times New Roman" w:cs="Times New Roman" w:eastAsia="Times New Roman" w:hAnsi="Times New Roman"/>
          <w:sz w:val="19"/>
          <w:szCs w:val="19"/>
          <w:color w:val="000000"/>
        </w:rPr>
        <w:t>.</w:t>
      </w:r>
    </w:p>
    <w:p>
      <w:pPr>
        <w:spacing w:after="0" w:line="184" w:lineRule="exact"/>
        <w:rPr>
          <w:sz w:val="20"/>
          <w:szCs w:val="20"/>
          <w:color w:val="auto"/>
        </w:rPr>
      </w:pPr>
    </w:p>
    <w:p>
      <w:pPr>
        <w:jc w:val="both"/>
        <w:ind w:firstLine="1505"/>
        <w:spacing w:after="0" w:line="221" w:lineRule="exact"/>
        <w:tabs>
          <w:tab w:leader="none" w:pos="2036" w:val="left"/>
        </w:tabs>
        <w:numPr>
          <w:ilvl w:val="0"/>
          <w:numId w:val="2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Loan Party agrees jointly and severally to pay on demand (i) all reasonable and documented out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pocket costs and expenses of the Administrative Agent in connection with the preparation, execution, delivery, administration, modification and amendment of the Loan Documents (including, without limitation, reasonable and documented out-of-pocket (A) all due diligence, Asset review, syndication, transportation, computer, duplication, appraisal, audit, insurance, consultant, search, filing and recording fees and expenses, (B) fees and expenses of counsel for the Administrative Agent with respect thereto (including, without limitation, with respect to reviewing and advising on any matters required to be completed by the Loan Parties on a post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closing basis), with respect to advising the Administrative Agent as to its rights and responsibilities, or the perfection, protection or preservation of rights or interests, under the Loan Documents, with respect to negotiations with any Loan Party or with other creditors of any Loan Party or any of its Subsidiaries arising out of any Default or any events or circumstances that may give rise to a Default and with respect to presenting claims in or otherwise participating in or monitoring any bankruptcy, insolvency or other similar proceeding involving creditors’ rights generally and any proceeding ancillary thereto and (C) fees and expenses of counsel for the Administrative Agent with respect to the preparation, execution, delivery and review of any documents and instruments at any time delivered pursuant to Sections 3.01, 3.02 or 5.01(j)) and (ii) all out-of-pocket costs and expenses of the Administrative Agent and, following the occurrence of any Event of Default, each Lender, in connection with the enforcement (whether through negotiations, legal proceedings or otherwise) of the Loan Documents, whether in any action, litigation, or any bankruptcy, insolvency or other similar proceeding affecting creditors’ rights generally (including, without limitation, the reasonable fees and expenses of counsel for the Administrative Agent and each such Lender with respect thereto),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however</w:t>
      </w:r>
      <w:r>
        <w:rPr>
          <w:rFonts w:ascii="Times New Roman" w:cs="Times New Roman" w:eastAsia="Times New Roman" w:hAnsi="Times New Roman"/>
          <w:sz w:val="19"/>
          <w:szCs w:val="19"/>
          <w:color w:val="auto"/>
        </w:rPr>
        <w:t>, that the Loan Parties shall not be required to pay the costs and expenses of more than one counsel for the Administrative Agent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the Lenders, absent a conflict of interest (or in the case of a conflict of interest, one additional counsel for all similarly conflicted Lenders), and any necessary or desirable local counsel (limited to tax, litigation and corporate counsel in each applicable jurisdiction or, in the case of a conflict of interest, one additional tax, litigation and corporate counsel in such jurisdiction for all similarly conflicted Lenders).</w:t>
      </w:r>
    </w:p>
    <w:p>
      <w:pPr>
        <w:spacing w:after="0" w:line="190" w:lineRule="exact"/>
        <w:rPr>
          <w:rFonts w:ascii="Times New Roman" w:cs="Times New Roman" w:eastAsia="Times New Roman" w:hAnsi="Times New Roman"/>
          <w:sz w:val="19"/>
          <w:szCs w:val="19"/>
          <w:color w:val="auto"/>
        </w:rPr>
      </w:pPr>
    </w:p>
    <w:p>
      <w:pPr>
        <w:jc w:val="both"/>
        <w:ind w:firstLine="1505"/>
        <w:spacing w:after="0" w:line="242" w:lineRule="auto"/>
        <w:tabs>
          <w:tab w:leader="none" w:pos="2036" w:val="left"/>
        </w:tabs>
        <w:numPr>
          <w:ilvl w:val="0"/>
          <w:numId w:val="2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Loan Party agrees to indemnify, defend and save and hold harmless each Indemnified Party from and against, and shall pay on demand, any and all claims, damages, losses, liabilities and expenses (including, without limitation, reasonable fees and expenses of one counsel for the Indemnified Parties, absent a conflict of interest (or in the case of a conflict of interest, one additional counsel for all similarly conflicted Indemnified Parties), and any necessary or desirable local counsel (limited to tax, litigation and corporate counsel in each applicable jurisdiction or, in the case of a conflict of interest, one additional tax, litigation and corporate counsel in such jurisdiction for all similarly conflicted Indemnified Parties)) that may be</w:t>
      </w:r>
    </w:p>
    <w:p>
      <w:pPr>
        <w:spacing w:after="0" w:line="3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291" w:name="page292"/>
    <w:bookmarkEnd w:id="291"/>
    <w:p>
      <w:pPr>
        <w:jc w:val="both"/>
        <w:spacing w:after="0" w:line="218" w:lineRule="exact"/>
        <w:rPr>
          <w:sz w:val="20"/>
          <w:szCs w:val="20"/>
          <w:color w:val="auto"/>
        </w:rPr>
      </w:pPr>
      <w:r>
        <w:rPr>
          <w:rFonts w:ascii="Times New Roman" w:cs="Times New Roman" w:eastAsia="Times New Roman" w:hAnsi="Times New Roman"/>
          <w:sz w:val="19"/>
          <w:szCs w:val="19"/>
          <w:color w:val="auto"/>
        </w:rPr>
        <w:t>incurred by or asserted or awarded against any Indemnified Party, in each case arising out of or in connection with or by reason of (including, without limitation, in connection with any investigation, litigation or proceeding or preparation of a defense in connection therewith) (i) the Facility, the actual or proposed use of the proceeds of the Advances, the Loan Documents or any of the transactions contemplated thereby or (ii) the actual or alleged presence of Hazardous Materials on any property of any Loan Party or any of its Subsidiaries or any Environmental Action relating in any way to any Loan Party or any of its Subsidiaries, except to the extent such claim, damage, loss, liability or expense (x) is found in a final,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appealable judgment by a court of competent jurisdiction to have resulted primarily from such Indemnified Party’s gross negligence, willful misconduct or bad faith material breach of the Loan Documents or (y) arises out of or in connection with any dispute solely among the Indemnified Parties and not arising out of or in connection with any act or omission of any Loan Parties or any of their Subsidiaries (other than a dispute involving a claim against the Administrative Agent or any Arranger solely in such capacity). In the case of an investigation, litigation or other proceeding to which the indemnity in this Section 9.04(b) applies, such indemnity shall be effective whether or not such investigation, litigation or proceeding is brought by any Borrower Party, its directors, shareholders or creditors or an Indemnified Party, whether or not any Indemnified Party is otherwise a party thereto and whether or not the transactions contemplated by the Loan Documents are consummated. Each Loan Party also agrees not to assert any claim against the Administrative Agent, any Lender or any of their respective Related Parties, on any theory of liability, for special, indirect, incidental, consequential or punitive damages arising out of or otherwise relating to the Facility, the actual or proposed use of the proceeds of the Advances, the Loan Documents or any of the transactions contemplated by the Loan Documents. This Section 9.04(b) shall not apply with respect to Taxes, as to which Section 2.12 shall govern, other than any Taxes that represent losses, claims, damages and similar costs arising from any non-Tax claim.</w:t>
      </w:r>
    </w:p>
    <w:p>
      <w:pPr>
        <w:spacing w:after="0" w:line="203" w:lineRule="exact"/>
        <w:rPr>
          <w:sz w:val="20"/>
          <w:szCs w:val="20"/>
          <w:color w:val="auto"/>
        </w:rPr>
      </w:pPr>
    </w:p>
    <w:p>
      <w:pPr>
        <w:jc w:val="both"/>
        <w:ind w:firstLine="1505"/>
        <w:spacing w:after="0"/>
        <w:tabs>
          <w:tab w:leader="none" w:pos="2036" w:val="left"/>
        </w:tabs>
        <w:numPr>
          <w:ilvl w:val="0"/>
          <w:numId w:val="2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payment of principal of, or Conversion of, any </w:t>
      </w:r>
      <w:r>
        <w:rPr>
          <w:rFonts w:ascii="Times New Roman" w:cs="Times New Roman" w:eastAsia="Times New Roman" w:hAnsi="Times New Roman"/>
          <w:sz w:val="19"/>
          <w:szCs w:val="19"/>
          <w:color w:val="FF0000"/>
          <w:strike w:val="1"/>
        </w:rPr>
        <w:t>Adjusted</w:t>
      </w:r>
      <w:r>
        <w:rPr>
          <w:rFonts w:ascii="Times New Roman" w:cs="Times New Roman" w:eastAsia="Times New Roman" w:hAnsi="Times New Roman"/>
          <w:sz w:val="19"/>
          <w:szCs w:val="19"/>
          <w:color w:val="auto"/>
        </w:rPr>
        <w:t xml:space="preserve"> Term SOFR Advance is made by the Borrower to or for the account of a Lender other than on the last day of the Interest Period for such Advance, as a result of a payment or Conversion pursuant to Section 2.06, 2.09(b)(i) or 2.10(d), replacement of a Lender pursuant to Section 2.19 or 9.01(b), acceleration of the maturity of the Notes pursuant to Section 6.01 or for any other reason, if the Borrower fails to make any payment or prepayment of an Advance for which a notice of prepayment has been given or that is otherwise required to be made, whether pursuant to Section 2.04, 2.06 or 6.01 or otherwise, or a Benchmark Replacement occurs pursuant to Section 2.07(e), the Borrower shall, upon demand by such Lender (with a copy of such demand to the Administrative Agent), pay to the Administrative Agent for the account of such Lender any amounts required to compensate such Lender for any additional losses, costs or expenses that it may reasonably incur as a result of such payment or Conversion or such failure to pay or prepay, as the case may be, including, without limitation, any loss, cost or expense incurred by reason of the liquidation or reemployment of deposits or other funds acquired by any Lender to fund or maintain such Advance.</w:t>
      </w:r>
    </w:p>
    <w:p>
      <w:pPr>
        <w:spacing w:after="0" w:line="191" w:lineRule="exact"/>
        <w:rPr>
          <w:rFonts w:ascii="Times New Roman" w:cs="Times New Roman" w:eastAsia="Times New Roman" w:hAnsi="Times New Roman"/>
          <w:sz w:val="19"/>
          <w:szCs w:val="19"/>
          <w:color w:val="auto"/>
        </w:rPr>
      </w:pPr>
    </w:p>
    <w:p>
      <w:pPr>
        <w:jc w:val="both"/>
        <w:ind w:firstLine="1505"/>
        <w:spacing w:after="0" w:line="251" w:lineRule="auto"/>
        <w:tabs>
          <w:tab w:leader="none" w:pos="2036" w:val="left"/>
        </w:tabs>
        <w:numPr>
          <w:ilvl w:val="0"/>
          <w:numId w:val="2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Loan Party fails to pay when due any costs, expenses or other amounts payable by it under any Loan Document, including, without limitation, fees and expenses of counsel and indemnities, such amount may be paid on behalf of such Loan Party by the Administrative Agent or any Lender, in its sole discretion.</w:t>
      </w:r>
    </w:p>
    <w:p>
      <w:pPr>
        <w:spacing w:after="0" w:line="178" w:lineRule="exact"/>
        <w:rPr>
          <w:rFonts w:ascii="Times New Roman" w:cs="Times New Roman" w:eastAsia="Times New Roman" w:hAnsi="Times New Roman"/>
          <w:sz w:val="19"/>
          <w:szCs w:val="19"/>
          <w:color w:val="auto"/>
        </w:rPr>
      </w:pPr>
    </w:p>
    <w:p>
      <w:pPr>
        <w:jc w:val="both"/>
        <w:ind w:firstLine="1505"/>
        <w:spacing w:after="0" w:line="246" w:lineRule="auto"/>
        <w:tabs>
          <w:tab w:leader="none" w:pos="2036" w:val="left"/>
        </w:tabs>
        <w:numPr>
          <w:ilvl w:val="0"/>
          <w:numId w:val="2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prejudice to the survival of any other agreement of any Loan Party hereunder or under any other Loan Document, the agreements and obligations of the Borrower and the other Loan Parties contained in Sections 2.10 and 2.12, Section 7.06 and this Section 9.04 shall survive the payment in full of principal, interest and all other amounts payable hereunder and under any of the other Loan Documents.</w:t>
      </w:r>
    </w:p>
    <w:p>
      <w:pPr>
        <w:spacing w:after="0" w:line="184" w:lineRule="exact"/>
        <w:rPr>
          <w:rFonts w:ascii="Times New Roman" w:cs="Times New Roman" w:eastAsia="Times New Roman" w:hAnsi="Times New Roman"/>
          <w:sz w:val="19"/>
          <w:szCs w:val="19"/>
          <w:color w:val="auto"/>
        </w:rPr>
      </w:pPr>
    </w:p>
    <w:p>
      <w:pPr>
        <w:jc w:val="both"/>
        <w:ind w:firstLine="1505"/>
        <w:spacing w:after="0" w:line="251" w:lineRule="auto"/>
        <w:tabs>
          <w:tab w:leader="none" w:pos="2036" w:val="left"/>
        </w:tabs>
        <w:numPr>
          <w:ilvl w:val="0"/>
          <w:numId w:val="2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Indemnified Party referred to in Section 9.04(b)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92" w:name="page293"/>
    <w:bookmarkEnd w:id="292"/>
    <w:p>
      <w:pPr>
        <w:jc w:val="both"/>
        <w:ind w:firstLine="1497"/>
        <w:spacing w:after="0" w:line="223" w:lineRule="exact"/>
        <w:rPr>
          <w:sz w:val="20"/>
          <w:szCs w:val="20"/>
          <w:color w:val="auto"/>
        </w:rPr>
      </w:pPr>
      <w:r>
        <w:rPr>
          <w:rFonts w:ascii="Times New Roman" w:cs="Times New Roman" w:eastAsia="Times New Roman" w:hAnsi="Times New Roman"/>
          <w:sz w:val="18"/>
          <w:szCs w:val="18"/>
          <w:color w:val="010000"/>
        </w:rPr>
        <w:t>Section 9.05</w:t>
      </w:r>
      <w:r>
        <w:rPr>
          <w:rFonts w:ascii="Times New Roman" w:cs="Times New Roman" w:eastAsia="Times New Roman" w:hAnsi="Times New Roman"/>
          <w:sz w:val="18"/>
          <w:szCs w:val="18"/>
          <w:u w:val="single" w:color="auto"/>
          <w:color w:val="000000"/>
        </w:rPr>
        <w:t>Right of Set</w:t>
      </w:r>
      <w:r>
        <w:rPr>
          <w:rFonts w:ascii="MS PGothic" w:cs="MS PGothic" w:eastAsia="MS PGothic" w:hAnsi="MS PGothic"/>
          <w:sz w:val="18"/>
          <w:szCs w:val="18"/>
          <w:u w:val="single" w:color="auto"/>
          <w:color w:val="000000"/>
        </w:rPr>
        <w:t>‑</w:t>
      </w:r>
      <w:r>
        <w:rPr>
          <w:rFonts w:ascii="Times New Roman" w:cs="Times New Roman" w:eastAsia="Times New Roman" w:hAnsi="Times New Roman"/>
          <w:sz w:val="18"/>
          <w:szCs w:val="18"/>
          <w:u w:val="single" w:color="auto"/>
          <w:color w:val="000000"/>
        </w:rPr>
        <w:t>off</w:t>
      </w:r>
      <w:r>
        <w:rPr>
          <w:rFonts w:ascii="Times New Roman" w:cs="Times New Roman" w:eastAsia="Times New Roman" w:hAnsi="Times New Roman"/>
          <w:sz w:val="18"/>
          <w:szCs w:val="18"/>
          <w:color w:val="000000"/>
        </w:rPr>
        <w:t>. Upon (a) the occurrence and during the continuance of any Event of Default and (b) the making</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the request or the granting of the consent specified by Section 6.01 to authorize the Administrative Agent to declare the Notes due and payable pursuant to the provisions of Section 6.01, the Administrative Agent and each Lender and each of their respective Affiliates is hereby authorized at any time and from time to time, to the fullest extent permitted by law, to set off and otherwise apply any and all deposits (general or special, time or demand, provisional or final) at any time held and other indebtedness at any time owing by the Administrative Agent, such Lender or such Affiliate to or for the credit or the account of the Borrower or any other Loan Party against any and all of the Obligations of the Borrower or such Loan Party now or hereafter existing under the Loan Documents, irrespective of whether the Administrative Agent or such Lender shall have made any demand under this Agreement or such Note or Notes and although such obligations may be unmatured. The Administrative Agent and each Lender agrees promptly to notify the Borrower or such Loan Party after any such set</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 xml:space="preserve">off and application;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that the failure to give such notice shall not affect the validity of such set</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off and application. The rights of the Administrative Agent and each Lender and their respective Affiliates under this Section 9.05 are in addition to other rights and remedies (including, without limitation, other rights of set</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 xml:space="preserve">off) that the Administrative Agent, such Lender and their respective Affiliates may have;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however</w:t>
      </w:r>
      <w:r>
        <w:rPr>
          <w:rFonts w:ascii="Times New Roman" w:cs="Times New Roman" w:eastAsia="Times New Roman" w:hAnsi="Times New Roman"/>
          <w:sz w:val="18"/>
          <w:szCs w:val="18"/>
          <w:color w:val="000000"/>
        </w:rPr>
        <w:t>, that in the event that any Defaulting Lender exercises such right of setoff, (x) all amounts so set off will be paid over immediately to the Administrative Agent for further application in accordance with the provisions of Section 2.18(a) and, pending such payment, will be segregated by such Defaulting Lender from its other funds and deemed held in trust for the benefit of the Administrative Agent and the Lenders and (y) the Defaulting Lender will provide promptly to the Administrative Agent a statement describing in reasonable detail the Obligations owing to such Defaulting Lender as to which it exercised such right of setoff.</w:t>
      </w:r>
    </w:p>
    <w:p>
      <w:pPr>
        <w:spacing w:after="0" w:line="195"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010000"/>
        </w:rPr>
        <w:t>Section 9.06</w:t>
      </w:r>
      <w:r>
        <w:rPr>
          <w:rFonts w:ascii="Times New Roman" w:cs="Times New Roman" w:eastAsia="Times New Roman" w:hAnsi="Times New Roman"/>
          <w:sz w:val="19"/>
          <w:szCs w:val="19"/>
          <w:u w:val="single" w:color="auto"/>
          <w:color w:val="000000"/>
        </w:rPr>
        <w:t>Binding Effect</w:t>
      </w:r>
      <w:r>
        <w:rPr>
          <w:rFonts w:ascii="Times New Roman" w:cs="Times New Roman" w:eastAsia="Times New Roman" w:hAnsi="Times New Roman"/>
          <w:sz w:val="19"/>
          <w:szCs w:val="19"/>
          <w:color w:val="000000"/>
        </w:rPr>
        <w:t>. This Agreement shall become effective when it shall have been executed by the Parent,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Borrower, each Subsidiary Guarantor named on the signature pages hereto and the Administrative Agent shall have been notified by each Initial Lender that such Initial Lender has executed it and thereafter shall be binding upon and inure to the benefit of the Parent, the Borrower, the Subsidiary Guarantors named on the signature pages hereto and the Administrative Agent and each Lender and their respective successors and assigns, except that neither the Borrower nor any other Loan Party shall have the right to assign its rights hereunder or any interest herein without the prior written consent of the Lenders.</w:t>
      </w:r>
    </w:p>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010000"/>
        </w:rPr>
        <w:t>Section 9.07</w:t>
      </w:r>
      <w:r>
        <w:rPr>
          <w:rFonts w:ascii="Times New Roman" w:cs="Times New Roman" w:eastAsia="Times New Roman" w:hAnsi="Times New Roman"/>
          <w:sz w:val="19"/>
          <w:szCs w:val="19"/>
          <w:u w:val="single" w:color="auto"/>
          <w:color w:val="000000"/>
        </w:rPr>
        <w:t>Assignments and Participations; Replacement Notes</w:t>
      </w:r>
      <w:r>
        <w:rPr>
          <w:rFonts w:ascii="Times New Roman" w:cs="Times New Roman" w:eastAsia="Times New Roman" w:hAnsi="Times New Roman"/>
          <w:sz w:val="19"/>
          <w:szCs w:val="19"/>
          <w:color w:val="000000"/>
        </w:rPr>
        <w:t>.</w:t>
      </w:r>
    </w:p>
    <w:p>
      <w:pPr>
        <w:spacing w:after="0" w:line="214" w:lineRule="exact"/>
        <w:rPr>
          <w:sz w:val="20"/>
          <w:szCs w:val="20"/>
          <w:color w:val="auto"/>
        </w:rPr>
      </w:pPr>
    </w:p>
    <w:p>
      <w:pPr>
        <w:jc w:val="both"/>
        <w:ind w:firstLine="1505"/>
        <w:spacing w:after="0" w:line="239" w:lineRule="auto"/>
        <w:tabs>
          <w:tab w:leader="none" w:pos="2036" w:val="left"/>
        </w:tabs>
        <w:numPr>
          <w:ilvl w:val="1"/>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may (and, if demanded by the Borrower in accordance with Section 2.19 or Section 9.01(b) will) assign to one or more Eligible Assignees all or a portion of its rights and obligations under this Agreement (including, without limitation, all or a portion of its Commitment or Commitments, the Advances owing to it and any Note or Notes held by 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 except in the case of an assignment to a Person that, immediately prior to such assignment, was a Lender, an Affiliate of any Lender or a Fund Affiliate of any Lender or an assignment of all of a Lender’s rights and obligations under this Agreement, the aggregate amount of the Commitments being assigned to such Eligible Assignee pursuant to such assignment (determined as of the date of the Assignment and Acceptance with respect to such assignment) shall in no event be less than $5,000,000 or an integral multiple of $1,000,000 in excess thereof (or such lesser amount as shall be approved by the Administrative Agent and, so long as no Default shall have occurred and be continuing at the time of effectiveness of such assignment, the Borrower), (ii) each such assignment shall be to an Eligible Assignee, (iii) each such assignment made as a result of a demand by the Borrower pursuant to Section 2.19 or Section 9.01(b) shall be an assignment at par of all rights and obligations of the assigning Lender under this Agreement,</w:t>
      </w:r>
    </w:p>
    <w:p>
      <w:pPr>
        <w:spacing w:after="0" w:line="4" w:lineRule="exact"/>
        <w:rPr>
          <w:rFonts w:ascii="Times New Roman" w:cs="Times New Roman" w:eastAsia="Times New Roman" w:hAnsi="Times New Roman"/>
          <w:sz w:val="19"/>
          <w:szCs w:val="19"/>
          <w:color w:val="auto"/>
        </w:rPr>
      </w:pPr>
    </w:p>
    <w:p>
      <w:pPr>
        <w:jc w:val="both"/>
        <w:ind w:firstLine="8"/>
        <w:spacing w:after="0" w:line="238" w:lineRule="auto"/>
        <w:tabs>
          <w:tab w:leader="none" w:pos="346" w:val="left"/>
        </w:tabs>
        <w:numPr>
          <w:ilvl w:val="0"/>
          <w:numId w:val="2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such assignments shall be permitted (A) until the Administrative Agent shall have notified the Lenders that syndication of the Facility hereunder has been completed, without the consent of the Administrative Agent, and (B) at any other time without the consent of the Administrative Agent and, so long as no Default or Event of Default shall have occurred and be continuing, the Borrower (which consent, in each case, shall not be unreasonably withheld, conditioned or delayed, and in the case of the Borrower, such approval shall be deemed given if not denied in writing within ten (10) Business Days following a request therefor), except if such assignment is being made by a Lender to an Affiliate or Fund Affiliate of such Lender, (v) no such</w:t>
      </w:r>
    </w:p>
    <w:p>
      <w:pPr>
        <w:spacing w:after="0" w:line="3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293" w:name="page294"/>
    <w:bookmarkEnd w:id="293"/>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assignments shall be made to any Defaulting Lender or Potential Defaulting Lender or any of their respective </w:t>
      </w:r>
      <w:r>
        <w:rPr>
          <w:rFonts w:ascii="Times New Roman" w:cs="Times New Roman" w:eastAsia="Times New Roman" w:hAnsi="Times New Roman"/>
          <w:sz w:val="18"/>
          <w:szCs w:val="18"/>
          <w:color w:val="FF0000"/>
          <w:strike w:val="1"/>
        </w:rPr>
        <w:t>subsidiaries</w:t>
      </w:r>
      <w:r>
        <w:rPr>
          <w:rFonts w:ascii="Times New Roman" w:cs="Times New Roman" w:eastAsia="Times New Roman" w:hAnsi="Times New Roman"/>
          <w:sz w:val="18"/>
          <w:szCs w:val="18"/>
          <w:b w:val="1"/>
          <w:bCs w:val="1"/>
          <w:u w:val="single" w:color="auto"/>
          <w:color w:val="0000FF"/>
        </w:rPr>
        <w:t>Subsidiaries</w:t>
      </w:r>
      <w:r>
        <w:rPr>
          <w:rFonts w:ascii="Times New Roman" w:cs="Times New Roman" w:eastAsia="Times New Roman" w:hAnsi="Times New Roman"/>
          <w:sz w:val="18"/>
          <w:szCs w:val="18"/>
          <w:color w:val="auto"/>
        </w:rPr>
        <w:t xml:space="preserve">, or any Person who, upon becoming a Lender hereunder, would constitute any of the foregoing Persons described in this clause, and (vi) except to the extent contemplated by Sections 2.19 and 9.01(b), the parties to each such assignment shall execute and deliver to the Administrative Agent, for its acceptance and recording in the Register, an Assignment and Acceptance, together with any Note or Notes subject to such assignment and, except if such assignment is being made by a Lender to an Affiliate or Fund Affiliate of such Lender, a processing and recordation fee of $3,500;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(x) the Administrative Agent may, in its sole discretion, elect to waive such processing and recordation fee in the case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assignment, and (y) for each such assignment made as a result of a demand by the Borrower pursuant to Section 2.19 or Section 9.01(b), the Borrower shall pay to the Administrative Agent the applicable processing and recordation fee. In connection with any assignment of rights and obligations of any Defaulting Lender hereunder, no such assignment will be effective unless and until, in addition to the other conditions thereto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Advances previously requested but not funded by the Defaulting Lender, to each of which the applicable assignee and assignor hereby irrevocably consent), to</w:t>
      </w:r>
    </w:p>
    <w:p>
      <w:pPr>
        <w:spacing w:after="0" w:line="7" w:lineRule="exact"/>
        <w:rPr>
          <w:sz w:val="20"/>
          <w:szCs w:val="20"/>
          <w:color w:val="auto"/>
        </w:rPr>
      </w:pPr>
    </w:p>
    <w:p>
      <w:pPr>
        <w:jc w:val="both"/>
        <w:ind w:firstLine="8"/>
        <w:spacing w:after="0" w:line="239" w:lineRule="auto"/>
        <w:tabs>
          <w:tab w:leader="none" w:pos="269" w:val="left"/>
        </w:tabs>
        <w:numPr>
          <w:ilvl w:val="0"/>
          <w:numId w:val="2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pay and satisfy in full all payment liabilities then owed by such Defaulting Lender to the Administrative Agent and each other Lender hereunder (and interest accrued thereon), and (y) acquire (and fund as appropriate) its full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share of all Advances in accordance with its Pro Rata Share. Notwithstanding the foregoing, in the event that any assignment of rights and obligations of any Defaulting Lender hereunder becomes effective under applicable law without compliance with the provisions of this Section 9.07(a), then the assignee of such interest will be deemed to be a Defaulting Lender for all purposes of this Agreement until such compliance occurs.</w:t>
      </w:r>
    </w:p>
    <w:p>
      <w:pPr>
        <w:spacing w:after="0" w:line="188" w:lineRule="exact"/>
        <w:rPr>
          <w:rFonts w:ascii="Times New Roman" w:cs="Times New Roman" w:eastAsia="Times New Roman" w:hAnsi="Times New Roman"/>
          <w:sz w:val="19"/>
          <w:szCs w:val="19"/>
          <w:color w:val="auto"/>
        </w:rPr>
      </w:pPr>
    </w:p>
    <w:p>
      <w:pPr>
        <w:jc w:val="both"/>
        <w:ind w:firstLine="1505"/>
        <w:spacing w:after="0" w:line="242" w:lineRule="auto"/>
        <w:tabs>
          <w:tab w:leader="none" w:pos="2036" w:val="left"/>
        </w:tabs>
        <w:numPr>
          <w:ilvl w:val="1"/>
          <w:numId w:val="2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such execution, delivery, acceptance and recording, from and after the effective date specified in such Assignment and Acceptance, (i) the assignee thereunder shall be a party hereto and, to the extent that rights and obligations hereunder have been assigned to it pursuant to such Assignment and Acceptance, have the rights and obligations of a Lender hereunder and (ii) the Lender assignor thereunder shall, to the extent that rights and obligations hereunder have been assigned by it pursuant to such Assignment and Acceptance, relinquish its rights (other than its rights under Sections 2.10, 2.12, 7.06, 8.05 and 9.04 to the extent any claim thereunder relates to an event arising prior to such assignment) and be released from its obligations under this Agreement (and, in the case of an Assignment and Acceptance covering all of the remaining portion of an assigning Lender’s rights and obligations under this Agreement or such Lender shall cease to be a party hereto).</w:t>
      </w:r>
    </w:p>
    <w:p>
      <w:pPr>
        <w:spacing w:after="0" w:line="185" w:lineRule="exact"/>
        <w:rPr>
          <w:rFonts w:ascii="Times New Roman" w:cs="Times New Roman" w:eastAsia="Times New Roman" w:hAnsi="Times New Roman"/>
          <w:sz w:val="19"/>
          <w:szCs w:val="19"/>
          <w:color w:val="auto"/>
        </w:rPr>
      </w:pPr>
    </w:p>
    <w:p>
      <w:pPr>
        <w:jc w:val="both"/>
        <w:ind w:firstLine="1505"/>
        <w:spacing w:after="0" w:line="239" w:lineRule="auto"/>
        <w:tabs>
          <w:tab w:leader="none" w:pos="2036" w:val="left"/>
        </w:tabs>
        <w:numPr>
          <w:ilvl w:val="1"/>
          <w:numId w:val="2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executing and delivering an Assignment and Acceptance, each Lender assignor thereunder and each assignee thereunder confirm to and agree with each other and the other parties thereto and hereto as follows: (i) other than as provided in such Assignment and Acceptance, such assigning Lender makes no representation or warranty and assumes no responsibility with respect to any statements, warranties or representations made in or in connection with any Loan Document or the execution, legality, validity, enforceability, genuineness, sufficiency or value of, or the perfection or priority of any lien or security interest created or purported to be created under or in connection with, any Loan Document or any other instrument or document furnished pursuant thereto; (ii) such assigning Lender makes no representation or warranty and assumes no responsibility with respect to the financial condition of any Borrower Party or the performance or observance by any Borrower Party of any of its obligations under any Loan Document or any other instrument or document furnished pursuant thereto; (iii) such assignee confirms that it has received a copy of this Agreement, together with copies of the financial statements referred to in Section 4.01 and such other documents and information as it has deemed appropriate to make its own credit analysis and decision to enter into such Assignment and Acceptance; (iv) such assignee will, independently and without reliance upon the Administrative Agent, such assigning Lender or any other Lender and based on such documents and information as it shall deem appropriate at the time, continue to make its own credit decisions in taking or not taking action under this Agreement; (v) such assignee confirms that it is an Eligible Assignee; (vi) such assignee appoints and</w:t>
      </w:r>
    </w:p>
    <w:p>
      <w:pPr>
        <w:spacing w:after="0" w:line="3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294" w:name="page295"/>
    <w:bookmarkEnd w:id="294"/>
    <w:p>
      <w:pPr>
        <w:jc w:val="both"/>
        <w:spacing w:after="0" w:line="246" w:lineRule="auto"/>
        <w:rPr>
          <w:sz w:val="20"/>
          <w:szCs w:val="20"/>
          <w:color w:val="auto"/>
        </w:rPr>
      </w:pPr>
      <w:r>
        <w:rPr>
          <w:rFonts w:ascii="Times New Roman" w:cs="Times New Roman" w:eastAsia="Times New Roman" w:hAnsi="Times New Roman"/>
          <w:sz w:val="19"/>
          <w:szCs w:val="19"/>
          <w:color w:val="auto"/>
        </w:rPr>
        <w:t>authorizes the Administrative Agent to take such action as agent on its behalf and to exercise such powers and discretion under the Loan Documents as are delegated to the Administrative Agent by the terms hereof and thereof, together with such powers and discretion as are reasonably incidental thereto; and (vii) such assignee agrees that it will perform in accordance with their terms all of the obligations that by the terms of this Agreement are required to be performed by it as a Lender.</w:t>
      </w:r>
    </w:p>
    <w:p>
      <w:pPr>
        <w:spacing w:after="0" w:line="184" w:lineRule="exact"/>
        <w:rPr>
          <w:sz w:val="20"/>
          <w:szCs w:val="20"/>
          <w:color w:val="auto"/>
        </w:rPr>
      </w:pPr>
    </w:p>
    <w:p>
      <w:pPr>
        <w:jc w:val="both"/>
        <w:ind w:firstLine="1505"/>
        <w:spacing w:after="0" w:line="242" w:lineRule="auto"/>
        <w:tabs>
          <w:tab w:leader="none" w:pos="2036" w:val="left"/>
        </w:tabs>
        <w:numPr>
          <w:ilvl w:val="0"/>
          <w:numId w:val="2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maintain at its address referred to in Section 9.02 a copy of each Assignment and Acceptance delivered to and accepted by it and a register for the recordation of the names and addresses of the Lenders and the Commitment of, and principal amount (and stated interest) of the Advances owing to, each Lender from time to time (the “</w:t>
      </w:r>
      <w:r>
        <w:rPr>
          <w:rFonts w:ascii="Times New Roman" w:cs="Times New Roman" w:eastAsia="Times New Roman" w:hAnsi="Times New Roman"/>
          <w:sz w:val="19"/>
          <w:szCs w:val="19"/>
          <w:b w:val="1"/>
          <w:bCs w:val="1"/>
          <w:i w:val="1"/>
          <w:iCs w:val="1"/>
          <w:color w:val="auto"/>
        </w:rPr>
        <w:t>Register</w:t>
      </w:r>
      <w:r>
        <w:rPr>
          <w:rFonts w:ascii="Times New Roman" w:cs="Times New Roman" w:eastAsia="Times New Roman" w:hAnsi="Times New Roman"/>
          <w:sz w:val="19"/>
          <w:szCs w:val="19"/>
          <w:color w:val="auto"/>
        </w:rPr>
        <w:t>”). The entries in the Register shall be conclusive and binding for all purposes, absent manifest error, and the Borrower, the Administrative Agent and the Lenders shall treat each Person whose name is recorded in the Register as a Lender hereunder for all purposes of this Agreement. The Register shall be available for inspection by the Borrower or the Administrative Agent or any Lender at any reasonable time and from time to time upon reasonable prior notice.</w:t>
      </w:r>
    </w:p>
    <w:p>
      <w:pPr>
        <w:spacing w:after="0" w:line="190" w:lineRule="exact"/>
        <w:rPr>
          <w:rFonts w:ascii="Times New Roman" w:cs="Times New Roman" w:eastAsia="Times New Roman" w:hAnsi="Times New Roman"/>
          <w:sz w:val="19"/>
          <w:szCs w:val="19"/>
          <w:color w:val="auto"/>
        </w:rPr>
      </w:pPr>
    </w:p>
    <w:p>
      <w:pPr>
        <w:jc w:val="both"/>
        <w:ind w:firstLine="1505"/>
        <w:spacing w:after="0"/>
        <w:tabs>
          <w:tab w:leader="none" w:pos="2036" w:val="left"/>
        </w:tabs>
        <w:numPr>
          <w:ilvl w:val="0"/>
          <w:numId w:val="2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its receipt of an Assignment and Acceptance executed by an assigning Lender and an assignee, together with any Note or Notes subject to such assignment, the Administrative Agent shall, if such Assignment and Acceptance has been completed and is in substantially the form of Exhibit D hereto, (i) accept such Assignment and Acceptance, (ii) record the information contained therein in the Register and (iii) give prompt notice thereof to the Borrower and each other Agent. In the case of any assignment by a Lender, within five Business Days after its receipt of such notice, the Borrower, at its own expense, shall, if requested by the applicable Lender, execute and deliver to the Administrative Agent in exchange for the surrendered Note or Notes a substitute Note to the order of such Eligible Assignee in an amount equal to the portion of the Advances purchased by it and any unfunded Commitment assumed by it pursuant to such Assignment and Acceptance and, if any assigning Lender has retained any portion of the Advances or any unfunded Commitment hereunder, a substitute Note to the order of such assigning Lender in an amount equal to the portion of the Advances and such unfunded Commitment retained by it hereunder. Such substitute Note or Notes, if any, shall be in an aggregate principal amount equal to the aggregate principal amount of such surrendered Note or Notes, shall be dated the effective date of such Assignment and Acceptance and shall otherwise be in substantially the form of Exhibit A hereto.</w:t>
      </w:r>
    </w:p>
    <w:p>
      <w:pPr>
        <w:spacing w:after="0" w:line="188" w:lineRule="exact"/>
        <w:rPr>
          <w:rFonts w:ascii="Times New Roman" w:cs="Times New Roman" w:eastAsia="Times New Roman" w:hAnsi="Times New Roman"/>
          <w:sz w:val="19"/>
          <w:szCs w:val="19"/>
          <w:color w:val="auto"/>
        </w:rPr>
      </w:pPr>
    </w:p>
    <w:p>
      <w:pPr>
        <w:ind w:left="2040" w:hanging="535"/>
        <w:spacing w:after="0"/>
        <w:tabs>
          <w:tab w:leader="none" w:pos="2040" w:val="left"/>
        </w:tabs>
        <w:numPr>
          <w:ilvl w:val="0"/>
          <w:numId w:val="2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[Intentionally Omitted].</w:t>
      </w:r>
    </w:p>
    <w:p>
      <w:pPr>
        <w:spacing w:after="0" w:line="213" w:lineRule="exact"/>
        <w:rPr>
          <w:rFonts w:ascii="Times New Roman" w:cs="Times New Roman" w:eastAsia="Times New Roman" w:hAnsi="Times New Roman"/>
          <w:sz w:val="19"/>
          <w:szCs w:val="19"/>
          <w:color w:val="auto"/>
        </w:rPr>
      </w:pPr>
    </w:p>
    <w:p>
      <w:pPr>
        <w:jc w:val="both"/>
        <w:ind w:firstLine="1505"/>
        <w:spacing w:after="0" w:line="239" w:lineRule="auto"/>
        <w:tabs>
          <w:tab w:leader="none" w:pos="2036" w:val="left"/>
        </w:tabs>
        <w:numPr>
          <w:ilvl w:val="0"/>
          <w:numId w:val="2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may sell participations to one or more Persons (other than any Defaulting Lender, natural person (or holding company, investment vehicle or trust for, or owned and operated for the primary benefit of, a natural person), Loan Party or any Affiliate of any Loan Party) (each such Person, a “</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xml:space="preserve">”) in or to all or a portion of its rights and obligations under this Agreement (including, without limitation, all or a portion of its Commitments, the Advances owing to it and the Note or Notes (if any) held by 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 such Lender’s obligations under this Agreement (including, without limitation, its Commitments) shall remain unchanged, (ii) such Lender shall remain solely responsible to the other parties hereto for the performance of such obligations, (iii) such Lender shall remain the holder of any such Note for all purposes of this Agreement, (iv) the Borrower, the Administrative Agent and the other Lenders shall continue to deal solely and directly with such Lender in connection with such Lender’s rights and obligations under this Agreement, (v) no Participant under any such participation shall have any right to approve any amendment or waiver of any provision of any Loan Document, or any consent to any departure by any Loan Party therefrom, except that any agreement with respect to such participation may provide that such Participant may have a consent right regarding whether the applicable Lender will approve of an amendment, waiver or consent to the extent such amendment, waiver or consent would reduce the principal of, or interest on, the Notes or any fees or other amounts payable hereunder, in each case to the extent subject to such participation, or postpone any date fixed for any payment of principal of, or interest on, the Notes or any fees or other amounts payable hereunder, in each case to the extent subject to such participation and (vi) a Participant shall be entitled to the benefits of Sections 2.10, 2.12 and 9.04(c) (subject to the requirements and limitations therein, including the requirements under Sections 2.12(f) and 2.12(g) (it being understood that the documentation required under Sections 2.12(f)</w:t>
      </w:r>
    </w:p>
    <w:p>
      <w:pPr>
        <w:spacing w:after="0" w:line="32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95" w:name="page296"/>
    <w:bookmarkEnd w:id="295"/>
    <w:p>
      <w:pPr>
        <w:jc w:val="both"/>
        <w:spacing w:after="0" w:line="220" w:lineRule="exact"/>
        <w:rPr>
          <w:sz w:val="20"/>
          <w:szCs w:val="20"/>
          <w:color w:val="auto"/>
        </w:rPr>
      </w:pPr>
      <w:r>
        <w:rPr>
          <w:rFonts w:ascii="Times New Roman" w:cs="Times New Roman" w:eastAsia="Times New Roman" w:hAnsi="Times New Roman"/>
          <w:sz w:val="19"/>
          <w:szCs w:val="19"/>
          <w:color w:val="auto"/>
        </w:rPr>
        <w:t xml:space="preserve">and 2.12(g) shall be delivered to the participating Lender)) to the same extent as if it were a Lender and had acquired its interest by assignment pursuant to Section 9.07(a);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such Participant shall not be entitled to receive any greater payment under Section 2.10, 2.12, or 9.04(c) with respect to any participation than its participating Lender would have been entitled to receive, except, in the case of Sections 2.10 and 2.12 only, to the extent such entitlement to receive a greater payment results from a change in law or increased cost, as applicable, that occurs after the Participant acquired the applicable participation. Each Lender that sells a participation shall, acting solely for this purpose as a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fiduciary agent of the Borrower, maintain a register on which it enters the name and address of each Participant and the principal amounts (and stated interest) of each Participant’s interest in the Advances or any other Obligations under the Loan Documents (the “</w:t>
      </w:r>
      <w:r>
        <w:rPr>
          <w:rFonts w:ascii="Times New Roman" w:cs="Times New Roman" w:eastAsia="Times New Roman" w:hAnsi="Times New Roman"/>
          <w:sz w:val="19"/>
          <w:szCs w:val="19"/>
          <w:b w:val="1"/>
          <w:bCs w:val="1"/>
          <w:i w:val="1"/>
          <w:iCs w:val="1"/>
          <w:color w:val="auto"/>
        </w:rPr>
        <w:t>Participant Register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no Lender shall have any obligation to disclose all or any portion of such Participant Register (including the identity of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Participant or any information relating to any Participant’s interest in any such Commitment, Advances or any other Obligations, under any Loan Document) to any Person except to the extent that such disclosure is necessary to establish that such Commitment, Advance or other Obligation is in registered form under Section 5f.103</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6" w:lineRule="exact"/>
        <w:rPr>
          <w:sz w:val="20"/>
          <w:szCs w:val="20"/>
          <w:color w:val="auto"/>
        </w:rPr>
      </w:pPr>
    </w:p>
    <w:p>
      <w:pPr>
        <w:jc w:val="both"/>
        <w:ind w:firstLine="1505"/>
        <w:spacing w:after="0" w:line="244" w:lineRule="auto"/>
        <w:tabs>
          <w:tab w:leader="none" w:pos="2036" w:val="left"/>
        </w:tabs>
        <w:numPr>
          <w:ilvl w:val="0"/>
          <w:numId w:val="2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Lender may, in connection with any assignment or participation or proposed assignment or participation pursuant to this Section 9.07, disclose to the assignee or Participant or proposed assignee or Participant any information relating to the Borrower Parties (or any of them) furnished to such Lender by or on behalf of any Loan Party;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prior to any such disclosure, the assignee or Participant or proposed assignee or Participant shall agree to preserve the confidentiality of any Information received by it from such Lender on the same terms as provided in Section 9.13.</w:t>
      </w:r>
    </w:p>
    <w:p>
      <w:pPr>
        <w:spacing w:after="0" w:line="185" w:lineRule="exact"/>
        <w:rPr>
          <w:rFonts w:ascii="Times New Roman" w:cs="Times New Roman" w:eastAsia="Times New Roman" w:hAnsi="Times New Roman"/>
          <w:sz w:val="19"/>
          <w:szCs w:val="19"/>
          <w:color w:val="auto"/>
        </w:rPr>
      </w:pPr>
    </w:p>
    <w:p>
      <w:pPr>
        <w:jc w:val="both"/>
        <w:ind w:firstLine="1505"/>
        <w:spacing w:after="0" w:line="244" w:lineRule="auto"/>
        <w:tabs>
          <w:tab w:leader="none" w:pos="2036" w:val="left"/>
        </w:tabs>
        <w:numPr>
          <w:ilvl w:val="0"/>
          <w:numId w:val="2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 set forth in this Agreement, any Lender may at any time pledge or assign, or grant a security interest in all or any portion of its rights under this Agreement (including, without limitation, any pledge or assignment of, or grant of a security interest in, the Advances owing to such Lender and any Note or Notes held by it), including in favor of any Federal Reserve Bank in accordance with Regulation A of the Board of Governors of the Federal Reserve System or any other central bank in accordance with applicable local laws or regulations.</w:t>
      </w:r>
    </w:p>
    <w:p>
      <w:pPr>
        <w:spacing w:after="0" w:line="185" w:lineRule="exact"/>
        <w:rPr>
          <w:rFonts w:ascii="Times New Roman" w:cs="Times New Roman" w:eastAsia="Times New Roman" w:hAnsi="Times New Roman"/>
          <w:sz w:val="19"/>
          <w:szCs w:val="19"/>
          <w:color w:val="auto"/>
        </w:rPr>
      </w:pPr>
    </w:p>
    <w:p>
      <w:pPr>
        <w:jc w:val="both"/>
        <w:ind w:firstLine="1505"/>
        <w:spacing w:after="0" w:line="244" w:lineRule="auto"/>
        <w:tabs>
          <w:tab w:leader="none" w:pos="2036" w:val="left"/>
        </w:tabs>
        <w:numPr>
          <w:ilvl w:val="0"/>
          <w:numId w:val="2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notice to the Borrower from the Administrative Agent or any Lender of the loss, theft, destruction or mutilation of any Lender’s Note, the Borrower will execute and deliver, in lieu of such original Note, a replacement promissory note, identical in form and substance to, and dated as of the same date as, the Note so lost, stolen or mutilated, subject to delivery by such Lender to the Borrower of an affidavit of lost note and indemnity in form reasonably acceptable to the Borrower. Upon the execution and delivery of the replacement Note, all references herein or in any of the other Loan Documents to the lost, stolen or mutilated Note shall be deemed references to the replacement Note.</w:t>
      </w:r>
    </w:p>
    <w:p>
      <w:pPr>
        <w:spacing w:after="0" w:line="185"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9"/>
          <w:szCs w:val="19"/>
          <w:color w:val="010000"/>
        </w:rPr>
        <w:t>Section 9.08</w:t>
      </w:r>
      <w:r>
        <w:rPr>
          <w:rFonts w:ascii="Times New Roman" w:cs="Times New Roman" w:eastAsia="Times New Roman" w:hAnsi="Times New Roman"/>
          <w:sz w:val="19"/>
          <w:szCs w:val="19"/>
          <w:u w:val="single" w:color="auto"/>
          <w:color w:val="000000"/>
        </w:rPr>
        <w:t>Execution in Counterparts</w:t>
      </w:r>
      <w:r>
        <w:rPr>
          <w:rFonts w:ascii="Times New Roman" w:cs="Times New Roman" w:eastAsia="Times New Roman" w:hAnsi="Times New Roman"/>
          <w:sz w:val="19"/>
          <w:szCs w:val="19"/>
          <w:color w:val="000000"/>
        </w:rPr>
        <w:t>. This Agreement may be executed in any number of counterparts and by different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parties hereto in separate counterparts, each of which when so executed shall be deemed to be an original and all of which taken together shall constitute one and the same agreement. Delivery of an executed counterpart of a signature page to this Agreement by telecopier or by e-mail with a pdf or similar attachment shall be effective as delivery of an original executed counterpart of this Agreement. Copies of originals, including copies delivered by facsimile, .pdf, or other electronic means, shall have the same import and effect as original counterparts and shall be valid, enforceable and binding for the purposes of this Agreement. The words “execution,” “signed,” “signature,” and words of like import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w:t>
      </w:r>
    </w:p>
    <w:p>
      <w:pPr>
        <w:spacing w:after="0" w:line="32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96" w:name="page297"/>
    <w:bookmarkEnd w:id="296"/>
    <w:p>
      <w:pPr>
        <w:jc w:val="both"/>
        <w:spacing w:after="0"/>
        <w:rPr>
          <w:sz w:val="20"/>
          <w:szCs w:val="20"/>
          <w:color w:val="auto"/>
        </w:rPr>
      </w:pPr>
      <w:r>
        <w:rPr>
          <w:rFonts w:ascii="Times New Roman" w:cs="Times New Roman" w:eastAsia="Times New Roman" w:hAnsi="Times New Roman"/>
          <w:sz w:val="19"/>
          <w:szCs w:val="19"/>
          <w:color w:val="auto"/>
        </w:rPr>
        <w:t>similar state laws based on the Uniform Electronic Transactions Act. Notwithstanding anything contained herein to the contrary, the Administrative Agent is under no obligation to accept an electronic signature in any form or in any format unless expressly agreed to by the Administrative Agent pursuant to procedures approved by it. Without limitation of the foregoing, (a) to the extent the Administrative Agent has agreed to accept such electronic signature, the Administrative Agent and each of the Lenders shall be entitled to rely on any such electronic signature purportedly given by or on behalf of any Loan Party or any other party hereto without further verification and regardless of the appearance or form of such electronic signature and (b) upon the request of the Administrative Agent or any Lender, any electronic signature shall be promptly followed by a manually executed counterpart. Each Loan Party hereby waives (i) any argument, defense or right to contest the legal effect, validity or enforceability of this Agreement and/or any other Loan Document based solely on the lack of paper original copies of this Agreement and/or such other Loan Document and (ii) any claim against the Administrative Agent, each Lender for any liabilities arising solely from such Person’s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89"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9"/>
          <w:szCs w:val="19"/>
          <w:color w:val="010000"/>
        </w:rPr>
        <w:t>Section 9.09</w:t>
      </w:r>
      <w:r>
        <w:rPr>
          <w:rFonts w:ascii="Times New Roman" w:cs="Times New Roman" w:eastAsia="Times New Roman" w:hAnsi="Times New Roman"/>
          <w:sz w:val="19"/>
          <w:szCs w:val="19"/>
          <w:u w:val="single" w:color="auto"/>
          <w:color w:val="000000"/>
        </w:rPr>
        <w:t>Severability</w:t>
      </w:r>
      <w:r>
        <w:rPr>
          <w:rFonts w:ascii="Times New Roman" w:cs="Times New Roman" w:eastAsia="Times New Roman" w:hAnsi="Times New Roman"/>
          <w:sz w:val="19"/>
          <w:szCs w:val="19"/>
          <w:color w:val="000000"/>
        </w:rPr>
        <w:t>. In case one or more provisions of this Agreement or the other Loan Documents shall be invalid,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illegal or unenforceable in any respect under any applicable law, the validity, legality and enforceability of the remaining provisions contained herein or therein shall not be affected or impaired thereby.</w:t>
      </w:r>
    </w:p>
    <w:p>
      <w:pPr>
        <w:spacing w:after="0" w:line="179"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010000"/>
        </w:rPr>
        <w:t>Section 9.10</w:t>
      </w:r>
      <w:r>
        <w:rPr>
          <w:rFonts w:ascii="Times New Roman" w:cs="Times New Roman" w:eastAsia="Times New Roman" w:hAnsi="Times New Roman"/>
          <w:sz w:val="19"/>
          <w:szCs w:val="19"/>
          <w:u w:val="single" w:color="auto"/>
          <w:color w:val="000000"/>
        </w:rPr>
        <w:t>Survival of Representations</w:t>
      </w:r>
      <w:r>
        <w:rPr>
          <w:rFonts w:ascii="Times New Roman" w:cs="Times New Roman" w:eastAsia="Times New Roman" w:hAnsi="Times New Roman"/>
          <w:sz w:val="19"/>
          <w:szCs w:val="19"/>
          <w:color w:val="000000"/>
        </w:rPr>
        <w:t>. All representations and warranties contained in this Agreement and in any other Loan</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Document or made in writing by or on behalf of any Loan Party in connection herewith or therewith shall survive the execution and delivery of this Agreement and the Loan Documents, the making of the Advances and any investigation made by or on behalf of the any Lender, none of which investigations shall diminish any Lender’s right to rely on such representations and warranties.</w:t>
      </w:r>
    </w:p>
    <w:p>
      <w:pPr>
        <w:spacing w:after="0" w:line="184"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19"/>
          <w:szCs w:val="19"/>
          <w:color w:val="010000"/>
        </w:rPr>
        <w:t>Section 9.11</w:t>
      </w:r>
      <w:r>
        <w:rPr>
          <w:rFonts w:ascii="Times New Roman" w:cs="Times New Roman" w:eastAsia="Times New Roman" w:hAnsi="Times New Roman"/>
          <w:sz w:val="19"/>
          <w:szCs w:val="19"/>
          <w:u w:val="single" w:color="auto"/>
          <w:color w:val="000000"/>
        </w:rPr>
        <w:t>Usury Not Intended</w:t>
      </w:r>
      <w:r>
        <w:rPr>
          <w:rFonts w:ascii="Times New Roman" w:cs="Times New Roman" w:eastAsia="Times New Roman" w:hAnsi="Times New Roman"/>
          <w:sz w:val="19"/>
          <w:szCs w:val="19"/>
          <w:color w:val="000000"/>
        </w:rPr>
        <w:t>. It is the intent of the Borrower and each Lender in the execution and performance of this</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Agreement and the other Loan Documents to contract in strict compliance with applicable usury laws, including conflicts of law concepts, governing the Advances of each Lender including such applicable laws of the State of New York and the United States of America from time to time in effect. In furtherance thereof, the Lenders and the Borrower stipulate and agree that none of the terms and provisions contained in this Agreement or the other Loan Documents shall ever be construed to create a contract to pay, as consideration for the use forbearance or detention of money, interest at a rate in excess of the Maximum Rate and that for purposes hereof “interest” shall include the aggregate of all charges which constitute interest under such laws that are contracted for, taken, charged, received, reserved or paid under this Agreement; and in the event that, notwithstanding the foregoing, under any circumstances the aggregate amounts contracted for, taken, charged, received, reserved or paid on the Advances, include amounts which, by applicable law, are deemed interest which would exceed the Maximum Rate, then such excess shall be deemed to be a mistake and, each Lender receiving the same shall credit the same on the principal of the Obligations of the Borrower under the Loan Documents (or if such Obligations shall have been paid in full, refund said excess to the Borrower). In the event that the Obligations of the Borrower under the Loan Documents are accelerated by reason of any Event of Default under this Agreement or otherwise, or in the event of any required or permitted prepayment, then such consideration that constitutes interest may never include more than the Maximum Rate and excess interest, if any, provided for in this Agreement or otherwise shall be canceled automatically as of the date of such acceleration or prepayment and, if theretofore paid, shall be credited on the principal of the Obligations of the Borrower under the Loan Documents (or, if such Obligations shall have been paid in full, refunded to the Borrower). In determining whether or not the interest paid or payable under any specific contingencies exceeds the Maximum Rate, the Borrower and the Lenders shall to the maximum extent permitted under applicable law amortize, prorate, allocate and spread in equal parts during the period of the full stated term of the Facility all amounts considered to be interest under applicable law at any time contracted for, taken, charged, received, reserved or paid in connection with the Obligations of the Loan Parties under the Loan Documents. The provisions of this Section shall control over all other provisions of this Agreement or the other Loan Documents which may be in apparent conflict herewith.</w:t>
      </w:r>
    </w:p>
    <w:p>
      <w:pPr>
        <w:spacing w:after="0" w:line="33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97" w:name="page298"/>
    <w:bookmarkEnd w:id="297"/>
    <w:p>
      <w:pPr>
        <w:ind w:left="1492"/>
        <w:spacing w:after="0"/>
        <w:rPr>
          <w:sz w:val="20"/>
          <w:szCs w:val="20"/>
          <w:color w:val="auto"/>
        </w:rPr>
      </w:pPr>
      <w:r>
        <w:rPr>
          <w:rFonts w:ascii="Times New Roman" w:cs="Times New Roman" w:eastAsia="Times New Roman" w:hAnsi="Times New Roman"/>
          <w:sz w:val="19"/>
          <w:szCs w:val="19"/>
          <w:color w:val="010000"/>
        </w:rPr>
        <w:t>Section 9.12</w:t>
      </w:r>
      <w:r>
        <w:rPr>
          <w:rFonts w:ascii="Times New Roman" w:cs="Times New Roman" w:eastAsia="Times New Roman" w:hAnsi="Times New Roman"/>
          <w:sz w:val="19"/>
          <w:szCs w:val="19"/>
          <w:u w:val="single" w:color="auto"/>
          <w:color w:val="000000"/>
        </w:rPr>
        <w:t>[Reserved]</w:t>
      </w:r>
      <w:r>
        <w:rPr>
          <w:rFonts w:ascii="Times New Roman" w:cs="Times New Roman" w:eastAsia="Times New Roman" w:hAnsi="Times New Roman"/>
          <w:sz w:val="19"/>
          <w:szCs w:val="19"/>
          <w:color w:val="000000"/>
        </w:rPr>
        <w:t>.</w:t>
      </w:r>
    </w:p>
    <w:p>
      <w:pPr>
        <w:spacing w:after="0" w:line="214" w:lineRule="exact"/>
        <w:rPr>
          <w:sz w:val="20"/>
          <w:szCs w:val="20"/>
          <w:color w:val="auto"/>
        </w:rPr>
      </w:pPr>
    </w:p>
    <w:p>
      <w:pPr>
        <w:ind w:left="1492"/>
        <w:spacing w:after="0"/>
        <w:rPr>
          <w:sz w:val="20"/>
          <w:szCs w:val="20"/>
          <w:color w:val="auto"/>
        </w:rPr>
      </w:pPr>
      <w:r>
        <w:rPr>
          <w:rFonts w:ascii="Times New Roman" w:cs="Times New Roman" w:eastAsia="Times New Roman" w:hAnsi="Times New Roman"/>
          <w:sz w:val="19"/>
          <w:szCs w:val="19"/>
          <w:color w:val="010000"/>
        </w:rPr>
        <w:t>Section 9.13</w:t>
      </w:r>
      <w:r>
        <w:rPr>
          <w:rFonts w:ascii="Times New Roman" w:cs="Times New Roman" w:eastAsia="Times New Roman" w:hAnsi="Times New Roman"/>
          <w:sz w:val="19"/>
          <w:szCs w:val="19"/>
          <w:u w:val="single" w:color="auto"/>
          <w:color w:val="000000"/>
        </w:rPr>
        <w:t>Confidentiality</w:t>
      </w:r>
      <w:r>
        <w:rPr>
          <w:rFonts w:ascii="Times New Roman" w:cs="Times New Roman" w:eastAsia="Times New Roman" w:hAnsi="Times New Roman"/>
          <w:sz w:val="19"/>
          <w:szCs w:val="19"/>
          <w:color w:val="000000"/>
        </w:rPr>
        <w:t>.</w:t>
      </w:r>
    </w:p>
    <w:p>
      <w:pPr>
        <w:spacing w:after="0" w:line="214" w:lineRule="exact"/>
        <w:rPr>
          <w:sz w:val="20"/>
          <w:szCs w:val="20"/>
          <w:color w:val="auto"/>
        </w:rPr>
      </w:pPr>
    </w:p>
    <w:p>
      <w:pPr>
        <w:jc w:val="both"/>
        <w:ind w:left="-8" w:firstLine="1505"/>
        <w:spacing w:after="0" w:line="222" w:lineRule="exact"/>
        <w:tabs>
          <w:tab w:leader="none" w:pos="2028" w:val="left"/>
        </w:tabs>
        <w:numPr>
          <w:ilvl w:val="1"/>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Administrative Agent and the Lenders agrees to maintain the confidentiality of the Information (as defined below), except that Information may be disclosed (i) to its Affiliates and to its and its Affiliates’ Related Parties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such Person or any such Related Party (including any self</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regulatory authority, such as the National Association of Insurance Commissioners) or any pledgee in connection with any pledge made pursuant to Section 9.07(i), (iii) to the extent required by applicable laws or regulations or by any subpoena or similar legal process,</w:t>
      </w:r>
    </w:p>
    <w:p>
      <w:pPr>
        <w:spacing w:after="0" w:line="2" w:lineRule="exact"/>
        <w:rPr>
          <w:rFonts w:ascii="Times New Roman" w:cs="Times New Roman" w:eastAsia="Times New Roman" w:hAnsi="Times New Roman"/>
          <w:sz w:val="19"/>
          <w:szCs w:val="19"/>
          <w:color w:val="auto"/>
        </w:rPr>
      </w:pPr>
    </w:p>
    <w:p>
      <w:pPr>
        <w:jc w:val="both"/>
        <w:ind w:left="-8" w:firstLine="8"/>
        <w:spacing w:after="0" w:line="217" w:lineRule="exact"/>
        <w:tabs>
          <w:tab w:leader="none" w:pos="325" w:val="left"/>
        </w:tabs>
        <w:numPr>
          <w:ilvl w:val="0"/>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at least as restrictive as those of this Section, to (A) any assignee of or Participant in, or any prospective assignee of or Participant in, any of its rights or obligations under this Agreement, or (B) any actual or prospective party (or its Related Parties) to any swap, derivative or other transaction under which payments are to be made by reference to the Borrower and its obligations, this Agreement or payments hereunder, (vii) on a confidential basis to (A) any rating agency in connection with rating the Borrower or its Subsidiaries or the Facility, (B) the CUSIP Service Bureau or any similar agency in connection with the issuance and monitoring of CUSIP numbers with respect to the Facility or (C) external auditors as may be required by a Lender’s policies or policies of any governmental or quasi</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governmental entity affecting a Lender, (viii) with the consent of the Borrower or (ix) to the extent such Information (A) becomes publicly available other than as a result of a breach of this Section 9.13 or (B) becomes available to the Administrative Agent, such Lender or any of their respective Affiliates on a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confidential basis from a source other than the Parent or any of its Subsidiaries without the Administrative Agent, such Lender or any of their respective Affiliates having knowledge that a duty of confidentiality to the Parent or any of its Subsidiaries has been breached. In addition, the Administrative Agent and the Lenders may disclose the existence of this Agreement and information about this Agreement (as and to the extent the same is otherwise publicly available from sources that are not as a result of a breach of this Agreement) to market data collectors, similar service providers to the lending industry and service providers to the Administrative Agent and the Lenders in connection with the administration of this Agreement, the other Loan Documents, and the Commitments. For purposes of this Section, “</w:t>
      </w:r>
      <w:r>
        <w:rPr>
          <w:rFonts w:ascii="Times New Roman" w:cs="Times New Roman" w:eastAsia="Times New Roman" w:hAnsi="Times New Roman"/>
          <w:sz w:val="19"/>
          <w:szCs w:val="19"/>
          <w:b w:val="1"/>
          <w:bCs w:val="1"/>
          <w:i w:val="1"/>
          <w:iCs w:val="1"/>
          <w:color w:val="auto"/>
        </w:rPr>
        <w:t>Information</w:t>
      </w:r>
      <w:r>
        <w:rPr>
          <w:rFonts w:ascii="Times New Roman" w:cs="Times New Roman" w:eastAsia="Times New Roman" w:hAnsi="Times New Roman"/>
          <w:sz w:val="19"/>
          <w:szCs w:val="19"/>
          <w:color w:val="auto"/>
        </w:rPr>
        <w:t>” means all information that any Loan Party furnishes to the Administrative Agent or any Lender in writing designated as confidential, but does not include any such information that is or becomes generally available to the public other than by way of a breach of the confidentiality provisions of this Section 9.13 or that is or becomes available to the Administrative Agent or such Lender from a source other than the Loan Parties or the Administrative Agent or any other Lender and not in violation of any confidentiality agreement with respect to such information that is actually known to the Administrative Agent or such Lender.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7" w:lineRule="exact"/>
        <w:rPr>
          <w:rFonts w:ascii="Times New Roman" w:cs="Times New Roman" w:eastAsia="Times New Roman" w:hAnsi="Times New Roman"/>
          <w:sz w:val="19"/>
          <w:szCs w:val="19"/>
          <w:color w:val="auto"/>
        </w:rPr>
      </w:pPr>
    </w:p>
    <w:p>
      <w:pPr>
        <w:jc w:val="both"/>
        <w:ind w:left="-8" w:firstLine="1505"/>
        <w:spacing w:after="0" w:line="223" w:lineRule="exact"/>
        <w:tabs>
          <w:tab w:leader="none" w:pos="2028" w:val="left"/>
        </w:tabs>
        <w:numPr>
          <w:ilvl w:val="1"/>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of the Lenders may enter into this Agreement and take or not take action hereunder or under the other Loan Documents on the basis of information that does not contain material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public information with respect to any of the Parent, any or its Subsidiaries or their respective securities (“</w:t>
      </w:r>
      <w:r>
        <w:rPr>
          <w:rFonts w:ascii="Times New Roman" w:cs="Times New Roman" w:eastAsia="Times New Roman" w:hAnsi="Times New Roman"/>
          <w:sz w:val="19"/>
          <w:szCs w:val="19"/>
          <w:b w:val="1"/>
          <w:bCs w:val="1"/>
          <w:i w:val="1"/>
          <w:iCs w:val="1"/>
          <w:color w:val="auto"/>
        </w:rPr>
        <w:t>Restricting Information</w:t>
      </w:r>
      <w:r>
        <w:rPr>
          <w:rFonts w:ascii="Times New Roman" w:cs="Times New Roman" w:eastAsia="Times New Roman" w:hAnsi="Times New Roman"/>
          <w:sz w:val="19"/>
          <w:szCs w:val="19"/>
          <w:color w:val="auto"/>
        </w:rPr>
        <w:t>”). Other Lenders may enter into this Agreement and take or not take action hereunder or under the other Loan Documents on the basis of information that may contain Restricting Information. Each Lender acknowledges that United States federal and state securities laws prohibit any person from purchasing or selling securities on the basis of material,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public information concerning the issuer of such securities or, subject to certain limited exceptions, from communicating such information to any other Person. None of the Administrative Agent or any of its directors, officers, agents or employees shall, by making any Communications (including Restricting Information) available to a Lender, by participating in any conversations or other</w:t>
      </w:r>
    </w:p>
    <w:p>
      <w:pPr>
        <w:spacing w:after="0" w:line="329" w:lineRule="exact"/>
        <w:rPr>
          <w:sz w:val="20"/>
          <w:szCs w:val="20"/>
          <w:color w:val="auto"/>
        </w:rPr>
      </w:pPr>
    </w:p>
    <w:p>
      <w:pPr>
        <w:jc w:val="center"/>
        <w:ind w:right="-291"/>
        <w:spacing w:after="0"/>
        <w:rPr>
          <w:sz w:val="20"/>
          <w:szCs w:val="20"/>
          <w:color w:val="auto"/>
        </w:rPr>
      </w:pPr>
      <w:r>
        <w:rPr>
          <w:rFonts w:ascii="Times New Roman" w:cs="Times New Roman" w:eastAsia="Times New Roman" w:hAnsi="Times New Roman"/>
          <w:sz w:val="19"/>
          <w:szCs w:val="19"/>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671195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9" w:right="339" w:bottom="1440" w:gutter="0" w:footer="0" w:header="0"/>
        </w:sectPr>
      </w:pPr>
    </w:p>
    <w:bookmarkStart w:id="298" w:name="page299"/>
    <w:bookmarkEnd w:id="298"/>
    <w:p>
      <w:pPr>
        <w:jc w:val="both"/>
        <w:spacing w:after="0"/>
        <w:rPr>
          <w:sz w:val="20"/>
          <w:szCs w:val="20"/>
          <w:color w:val="auto"/>
        </w:rPr>
      </w:pPr>
      <w:r>
        <w:rPr>
          <w:rFonts w:ascii="Times New Roman" w:cs="Times New Roman" w:eastAsia="Times New Roman" w:hAnsi="Times New Roman"/>
          <w:sz w:val="19"/>
          <w:szCs w:val="19"/>
          <w:color w:val="auto"/>
        </w:rPr>
        <w:t>interactions with a Lender or otherwise, make or be deemed to make any statement with regard to or otherwise warrant that any such information or Communication does or does not contain Restricting Information nor shall the Administrative Agent or any of its directors, officers, agents or employees be responsible or liable in any way for any decision a Lender may make to limit or to not limit its access to Restricting Information. In particular, none of the Administrative Agent or any of its directors, officers, agents or employees (i) shall have, and the Administrative Agent, on behalf of itself and each of its directors, officers, agents and employees, hereby disclaims, any duty to ascertain or inquire as to whether or not a Lender has or has not limited its access to Restricting Information, such Lender’s policies or procedures regarding the safeguarding of material, nonpublic information or such Lender’s compliance with applicable laws related thereto or (ii) shall have, or incur, any liability to any Loan Party, any Lender or any of their respective Affiliates, directors, officers, agents or employees arising out of or relating to the Administrative Agent or any of its directors, officers, agents or employees providing or not providing Restricting Information to any Lender, other than as found by a court of competent jurisdiction to have resulted from the gross negligence or willful misconduct of the Administrative Agent or any of its directors, officers, agents or employees.</w:t>
      </w:r>
    </w:p>
    <w:p>
      <w:pPr>
        <w:spacing w:after="0" w:line="189" w:lineRule="exact"/>
        <w:rPr>
          <w:sz w:val="20"/>
          <w:szCs w:val="20"/>
          <w:color w:val="auto"/>
        </w:rPr>
      </w:pPr>
    </w:p>
    <w:p>
      <w:pPr>
        <w:jc w:val="both"/>
        <w:ind w:firstLine="1505"/>
        <w:spacing w:after="0" w:line="218" w:lineRule="exact"/>
        <w:tabs>
          <w:tab w:leader="none" w:pos="2036" w:val="left"/>
        </w:tabs>
        <w:numPr>
          <w:ilvl w:val="0"/>
          <w:numId w:val="2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Loan Party agrees that (i) all Communications it provides to the Administrative Agent intended for delivery to the Lenders whether by posting to the Approved Electronic Platform or otherwise shall be clearly and conspicuously marked “PUBLIC” if such Communications are determined by the Loan Parties in good faith not to contain Restricting Information which, at a minimum, shall mean that the word “PUBLIC” shall appear prominently on the first page thereof, (ii) by marking Communications “PUBLIC,” each Loan Party shall be deemed to have authorized the Administrative Agent and the Lenders to treat such Communications as either publicly available information or not material information (although such Communications shall remain subject to the confidentiality undertakings of Section 9.13(a)) with respect to such Loan Party or its securities for purposes of United States Federal and state securities laws, (iii) all Communications marked “PUBLIC” may be delivered to all Lenders and may be made available through a portion of the Approved Electronic Platform designated “Public Side Information” and (iv) the Administrative Agent shall be entitled to treat any Communications that are not marked “PUBLIC” as Restricting Information and may post such Communications to a portion of the Approved Electronic Platform not designated “Public Side Information” (and shall not post such Communications to a portion of the Approved Electronic Platform designated “Public Side Information”). Neither the Administrative Agent nor any of its Affiliates shall be responsible for any statement or other designation by a Loan Party regarding whether a Communication contains or does not contain material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public information with respect to any of the Loan Parties or their securities nor shall the Administrative Agent or any of its Affiliates incur any liability to any Loan Party, any Lender or any other Person for any action taken by the Administrative Agent or any of its Affiliates based upon such statement or designation, including any action as a result of which Restricting Information is provided to a Lender that may decide not to take access to Restricting Information. Nothing in this Section 9.13(c) shall modify or limit a Person’s obligations under Section 9.13 with regard to Communications and the maintenance of the confidentiality of or other treatment of Information.</w:t>
      </w:r>
    </w:p>
    <w:p>
      <w:pPr>
        <w:spacing w:after="0" w:line="202" w:lineRule="exact"/>
        <w:rPr>
          <w:rFonts w:ascii="Times New Roman" w:cs="Times New Roman" w:eastAsia="Times New Roman" w:hAnsi="Times New Roman"/>
          <w:sz w:val="19"/>
          <w:szCs w:val="19"/>
          <w:color w:val="auto"/>
        </w:rPr>
      </w:pPr>
    </w:p>
    <w:p>
      <w:pPr>
        <w:jc w:val="both"/>
        <w:ind w:firstLine="1505"/>
        <w:spacing w:after="0" w:line="224" w:lineRule="exact"/>
        <w:tabs>
          <w:tab w:leader="none" w:pos="2036" w:val="left"/>
        </w:tabs>
        <w:numPr>
          <w:ilvl w:val="0"/>
          <w:numId w:val="2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acknowledges that circumstances may arise that require it to refer to Communications that might contain Restricting Information. Accordingly, each Lender agrees that it will nominate at least one designee to receive Communications (including Restricting Information) on its behalf and identify such designee (including such designee’s contact information) in writing to the Administrative Agent. Each Lender agrees to notify the Administrative Agent from time to time of such Lender’s designee’s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mail address to which notice of the availability of Restricting Information may be sent by electronic transmission.</w:t>
      </w:r>
    </w:p>
    <w:p>
      <w:pPr>
        <w:spacing w:after="0" w:line="189" w:lineRule="exact"/>
        <w:rPr>
          <w:rFonts w:ascii="Times New Roman" w:cs="Times New Roman" w:eastAsia="Times New Roman" w:hAnsi="Times New Roman"/>
          <w:sz w:val="19"/>
          <w:szCs w:val="19"/>
          <w:color w:val="auto"/>
        </w:rPr>
      </w:pPr>
    </w:p>
    <w:p>
      <w:pPr>
        <w:jc w:val="both"/>
        <w:ind w:firstLine="1505"/>
        <w:spacing w:after="0" w:line="242" w:lineRule="auto"/>
        <w:tabs>
          <w:tab w:leader="none" w:pos="2036" w:val="left"/>
        </w:tabs>
        <w:numPr>
          <w:ilvl w:val="0"/>
          <w:numId w:val="2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acknowledges that Communications delivered hereunder and under the other Loan Documents may contain Restricting Information and that such Communications are available to all Lenders generally. Each Lender that elects not to take access to Restricting Information does so voluntarily and, by such election, acknowledges and agrees that the Administrative Agent and other Lenders may have access to Restricting Information that is not available to such electing Lender. Each such electing Lender acknowledges the possibility that, due to its election not to take access to Restricting Information, it may not have access to any Communications (including, without being limited to, the items required to be made available to the</w:t>
      </w:r>
    </w:p>
    <w:p>
      <w:pPr>
        <w:spacing w:after="0" w:line="3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99" w:name="page300"/>
    <w:bookmarkEnd w:id="299"/>
    <w:p>
      <w:pPr>
        <w:jc w:val="both"/>
        <w:spacing w:after="0" w:line="246" w:lineRule="auto"/>
        <w:rPr>
          <w:sz w:val="20"/>
          <w:szCs w:val="20"/>
          <w:color w:val="auto"/>
        </w:rPr>
      </w:pPr>
      <w:r>
        <w:rPr>
          <w:rFonts w:ascii="Times New Roman" w:cs="Times New Roman" w:eastAsia="Times New Roman" w:hAnsi="Times New Roman"/>
          <w:sz w:val="19"/>
          <w:szCs w:val="19"/>
          <w:color w:val="auto"/>
        </w:rPr>
        <w:t>Administrative Agent in Section 5.03 unless or until such Communications (if any) have been filed or incorporated into documents which have been filed with the Securities and Exchange Commission by the Parent). None of the Loan Parties, the Administrative Agent or any Lender with access to Restricting Information shall have any duty to disclose such Restricting Information to such electing Lender or to use such Restricting Information on behalf of such electing Lender, and shall not be liable for the failure to so disclose or use, such Restricting Information.</w:t>
      </w:r>
    </w:p>
    <w:p>
      <w:pPr>
        <w:spacing w:after="0" w:line="184" w:lineRule="exact"/>
        <w:rPr>
          <w:sz w:val="20"/>
          <w:szCs w:val="20"/>
          <w:color w:val="auto"/>
        </w:rPr>
      </w:pPr>
    </w:p>
    <w:p>
      <w:pPr>
        <w:jc w:val="both"/>
        <w:ind w:firstLine="1505"/>
        <w:spacing w:after="0"/>
        <w:tabs>
          <w:tab w:leader="none" w:pos="2036" w:val="left"/>
        </w:tabs>
        <w:numPr>
          <w:ilvl w:val="0"/>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Sections 9.13(b), (c), (d) and (e) are designed to assist the Administrative Agent, the Lenders and the Loan Parties, in complying with their respective contractual obligations and applicable law in circumstances where certain Lenders express a desire not to receive Restricting Information notwithstanding that certain Communications hereunder or under the other Loan Documents or other information provided to the Lenders hereunder or thereunder may contain Restricting Information. None of the Administrative Agent or any of its directors, officers, agents or employees warrants or makes any other statement with respect to the adequacy of such provisions to achieve such purpose nor does the Administrative Agent or any of its directors, officers, agents or employees warrant or make any other statement to the effect that a Loan Party’s or Lender’s adherence to such provisions will be sufficient to ensure compliance by such Loan Party or Lender with its contractual obligations or its duties under applicable law in respect of Restricting Information and each of the Lenders and each Loan Party assumes the risks associated therewith.</w:t>
      </w:r>
    </w:p>
    <w:p>
      <w:pPr>
        <w:spacing w:after="0" w:line="193" w:lineRule="exact"/>
        <w:rPr>
          <w:rFonts w:ascii="Times New Roman" w:cs="Times New Roman" w:eastAsia="Times New Roman" w:hAnsi="Times New Roman"/>
          <w:sz w:val="19"/>
          <w:szCs w:val="19"/>
          <w:color w:val="auto"/>
        </w:rPr>
      </w:pPr>
    </w:p>
    <w:p>
      <w:pPr>
        <w:jc w:val="both"/>
        <w:ind w:firstLine="1505"/>
        <w:spacing w:after="0" w:line="242" w:lineRule="auto"/>
        <w:tabs>
          <w:tab w:leader="none" w:pos="2036" w:val="left"/>
        </w:tabs>
        <w:numPr>
          <w:ilvl w:val="0"/>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 in this Agreement or any other document, the parties hereby agree that (i) each party (and each employee, representative, or other agent of each party) may disclose to any and all persons and entities, without limitation of any kind, the United States tax treatment and United States tax structure of the transaction and all materials of any kind (including opinions or other tax analyses) that are provided to each party relating to such United States tax treatment and United States tax structure, and (ii) nothing herein prohibits or impedes any individual from communicating or disclosing Information regarding suspected violations of laws, rules, or regulations to a Governmental Authority or self-regulatory authority without any notification to any Person.</w:t>
      </w:r>
    </w:p>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010000"/>
        </w:rPr>
        <w:t>Section 9.14</w:t>
      </w:r>
      <w:r>
        <w:rPr>
          <w:rFonts w:ascii="Times New Roman" w:cs="Times New Roman" w:eastAsia="Times New Roman" w:hAnsi="Times New Roman"/>
          <w:sz w:val="19"/>
          <w:szCs w:val="19"/>
          <w:u w:val="single" w:color="auto"/>
          <w:color w:val="000000"/>
        </w:rPr>
        <w:t>Release of Guarantors</w:t>
      </w:r>
      <w:r>
        <w:rPr>
          <w:rFonts w:ascii="Times New Roman" w:cs="Times New Roman" w:eastAsia="Times New Roman" w:hAnsi="Times New Roman"/>
          <w:sz w:val="19"/>
          <w:szCs w:val="19"/>
          <w:color w:val="000000"/>
        </w:rPr>
        <w:t>.</w:t>
      </w:r>
    </w:p>
    <w:p>
      <w:pPr>
        <w:spacing w:after="0" w:line="214" w:lineRule="exact"/>
        <w:rPr>
          <w:sz w:val="20"/>
          <w:szCs w:val="20"/>
          <w:color w:val="auto"/>
        </w:rPr>
      </w:pPr>
    </w:p>
    <w:p>
      <w:pPr>
        <w:jc w:val="both"/>
        <w:ind w:firstLine="1505"/>
        <w:spacing w:after="0" w:line="248" w:lineRule="auto"/>
        <w:tabs>
          <w:tab w:leader="none" w:pos="2036" w:val="left"/>
        </w:tabs>
        <w:numPr>
          <w:ilvl w:val="1"/>
          <w:numId w:val="2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five (5) Business Days following the written request by the Parent, the Administrative Agent, on behalf of the Lenders, shall release all Subsidiary Guarantors from their respective obligations under this Agreement and each other Loan Document so long as:</w:t>
      </w:r>
    </w:p>
    <w:p>
      <w:pPr>
        <w:jc w:val="both"/>
        <w:ind w:firstLine="8"/>
        <w:spacing w:after="0" w:line="238" w:lineRule="auto"/>
        <w:tabs>
          <w:tab w:leader="none" w:pos="239" w:val="left"/>
        </w:tabs>
        <w:numPr>
          <w:ilvl w:val="0"/>
          <w:numId w:val="2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there is no monetary Event of Default existing under this Agreement at the time of such request and no Default or Event of Default will exist immediately following such release; (ii) the Borrower or the Parent shall have received and have in effect at such time an Investment Grade Rating; and (iii) a Responsible Officer of the Parent shall have delivered to the Administrative Agent a certificate in form and substance reasonably satisfactory to the Administrative Agent stating that each Subsidiary Guarantor is either being released from its obligations under any Senior Financing Transaction or has not then provided (and is not then required by the terms of such Senior Financing Transaction to provide) a guaranty with respect to any Senior Financing Transaction to which any Loan Party is a party or to which it is simultaneously (or substantially simultaneously) entering into;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in the event the Parent is not able to make such statement with respect to any specific Subsidiary Guarantor, such Subsidiary Guarantor shall not be released from its obligations under this Agreement and each other Loan Document until the Parent makes such statement with respect to such Subsidiary Guarantor, but all other Subsidiary Guarantors shall be released as provided herein (collectively, clauses (i), (ii) and (iii) shall be considered a “</w:t>
      </w:r>
      <w:r>
        <w:rPr>
          <w:rFonts w:ascii="Times New Roman" w:cs="Times New Roman" w:eastAsia="Times New Roman" w:hAnsi="Times New Roman"/>
          <w:sz w:val="19"/>
          <w:szCs w:val="19"/>
          <w:b w:val="1"/>
          <w:bCs w:val="1"/>
          <w:i w:val="1"/>
          <w:iCs w:val="1"/>
          <w:color w:val="auto"/>
        </w:rPr>
        <w:t>Release Event</w:t>
      </w:r>
      <w:r>
        <w:rPr>
          <w:rFonts w:ascii="Times New Roman" w:cs="Times New Roman" w:eastAsia="Times New Roman" w:hAnsi="Times New Roman"/>
          <w:sz w:val="19"/>
          <w:szCs w:val="19"/>
          <w:color w:val="auto"/>
        </w:rPr>
        <w:t>”). In addition, following a Release Event, a Subsidiary of the Parent shall not be required to become a Guarantor hereunder unless and until such Subsidiary thereafter becomes a guarantor or borrower in respect of a Senior Financing Transaction, in which case such Subsidiary shall become a Guarantor in accordance with Section 5.01(j)(v).</w:t>
      </w:r>
    </w:p>
    <w:p>
      <w:pPr>
        <w:spacing w:after="0" w:line="188" w:lineRule="exact"/>
        <w:rPr>
          <w:rFonts w:ascii="Times New Roman" w:cs="Times New Roman" w:eastAsia="Times New Roman" w:hAnsi="Times New Roman"/>
          <w:sz w:val="19"/>
          <w:szCs w:val="19"/>
          <w:color w:val="auto"/>
        </w:rPr>
      </w:pPr>
    </w:p>
    <w:p>
      <w:pPr>
        <w:jc w:val="both"/>
        <w:ind w:firstLine="1505"/>
        <w:spacing w:after="0" w:line="251" w:lineRule="auto"/>
        <w:tabs>
          <w:tab w:leader="none" w:pos="2036" w:val="left"/>
        </w:tabs>
        <w:numPr>
          <w:ilvl w:val="1"/>
          <w:numId w:val="2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the foregoing, at any time prior to the date on which the Borrower or the Parent shall have received and then have in effect an Investment Grade Rating, within five (5) Business Days after the written request of the Parent (each, an “</w:t>
      </w:r>
      <w:r>
        <w:rPr>
          <w:rFonts w:ascii="Times New Roman" w:cs="Times New Roman" w:eastAsia="Times New Roman" w:hAnsi="Times New Roman"/>
          <w:sz w:val="19"/>
          <w:szCs w:val="19"/>
          <w:b w:val="1"/>
          <w:bCs w:val="1"/>
          <w:i w:val="1"/>
          <w:iCs w:val="1"/>
          <w:color w:val="auto"/>
        </w:rPr>
        <w:t>Early Release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Request</w:t>
      </w:r>
      <w:r>
        <w:rPr>
          <w:rFonts w:ascii="Times New Roman" w:cs="Times New Roman" w:eastAsia="Times New Roman" w:hAnsi="Times New Roman"/>
          <w:sz w:val="19"/>
          <w:szCs w:val="19"/>
          <w:color w:val="auto"/>
        </w:rPr>
        <w:t>”), including but not limited to, in</w:t>
      </w:r>
    </w:p>
    <w:p>
      <w:pPr>
        <w:spacing w:after="0" w:line="3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00" w:name="page301"/>
    <w:bookmarkEnd w:id="300"/>
    <w:p>
      <w:pPr>
        <w:jc w:val="both"/>
        <w:spacing w:after="0" w:line="241" w:lineRule="auto"/>
        <w:rPr>
          <w:sz w:val="20"/>
          <w:szCs w:val="20"/>
          <w:color w:val="auto"/>
        </w:rPr>
      </w:pPr>
      <w:r>
        <w:rPr>
          <w:rFonts w:ascii="Times New Roman" w:cs="Times New Roman" w:eastAsia="Times New Roman" w:hAnsi="Times New Roman"/>
          <w:sz w:val="19"/>
          <w:szCs w:val="19"/>
          <w:color w:val="auto"/>
        </w:rPr>
        <w:t xml:space="preserve">connection with the sale or financing of any applicable Unencumbered Asset then being designated as a non-Unencumbered Asset as permitted hereunder or the designation or redesignation of a Restricted Subsidiary as an Unrestricted Subsidiary as permitted hereunder, the Administrative Agent, on behalf of the Lenders, shall release the Subsidiary Guarantors designated in such request from their respective obligations under this Agreement and each other Loan Document so long as: (i) there is no monetary Event of Default existing under this Agreement at the time of such request and no Default or Event of Default will exist immediately following such release; (ii) immediately following such release the Borrower and the Parent shall be in compliance with the covenants in Section 5.04,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immediately after giving effect to such release; and (iii) the Parent shall have delivered to the Administrative Agent (A) a certificate confirming compliance with (i) and (ii) above and (B) an updated Schedule II listing each Unencumbered Asset as of the date such Subsidiary Guarantor is removed as a Guarantor hereunder.</w:t>
      </w:r>
    </w:p>
    <w:p>
      <w:pPr>
        <w:spacing w:after="0" w:line="189" w:lineRule="exact"/>
        <w:rPr>
          <w:sz w:val="20"/>
          <w:szCs w:val="20"/>
          <w:color w:val="auto"/>
        </w:rPr>
      </w:pPr>
    </w:p>
    <w:p>
      <w:pPr>
        <w:jc w:val="both"/>
        <w:ind w:firstLine="1505"/>
        <w:spacing w:after="0" w:line="239" w:lineRule="auto"/>
        <w:tabs>
          <w:tab w:leader="none" w:pos="2036" w:val="left"/>
        </w:tabs>
        <w:numPr>
          <w:ilvl w:val="0"/>
          <w:numId w:val="2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written request of the Parent, the Administrative Agent, on behalf of the Lenders, shall be authorized to (i) release the Parent from its payment obligations with respect to the Guaranty or (ii) cap the amount of such obligations in a manner satisfactory to the Administrative Agent (any of the actions described in clauses (i) and (ii), a “</w:t>
      </w:r>
      <w:r>
        <w:rPr>
          <w:rFonts w:ascii="Times New Roman" w:cs="Times New Roman" w:eastAsia="Times New Roman" w:hAnsi="Times New Roman"/>
          <w:sz w:val="19"/>
          <w:szCs w:val="19"/>
          <w:b w:val="1"/>
          <w:bCs w:val="1"/>
          <w:i w:val="1"/>
          <w:iCs w:val="1"/>
          <w:color w:val="auto"/>
        </w:rPr>
        <w:t>Subject Action</w:t>
      </w:r>
      <w:r>
        <w:rPr>
          <w:rFonts w:ascii="Times New Roman" w:cs="Times New Roman" w:eastAsia="Times New Roman" w:hAnsi="Times New Roman"/>
          <w:sz w:val="19"/>
          <w:szCs w:val="19"/>
          <w:color w:val="auto"/>
        </w:rPr>
        <w:t xml:space="preserve">”), so long as (A)(1) in the case of a release, the Parent is either then being released from its Obligations as an obligor under each Senior Financing Transaction or is not then an obligor (and is not then required by the terms of any Senior Financing Transaction to become an obligor) with respect to any Senior Financing Transaction or (2) in the case of a liability cap, the Obligations of the Parent under each Senior Financing Transaction are subject to a parallel liability cap satisfactory to the Administrative Agent, (B) there is no monetary Event of Default existing under this Agreement at the time of such request and no Default or Event of Default will exist immediately following such Subject Action; (C) immediately following such Subject Action the Borrower and the Parent shall be in compliance with the covenants in Section 5.04,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immediately after giving effect to such Subject Action; (D) the Parent shall have delivered to the Administrative Agent a certificate confirming compliance with clauses (B) and (C) above and (E) during the period commencing on the date on which any Subject Action occurs and ending the date (if any) on which the Parent is reinstated as a Guarantor or the liability cap is lifted, as applicable, in accordance with Section 9.14(d) below (such period being the “</w:t>
      </w:r>
      <w:r>
        <w:rPr>
          <w:rFonts w:ascii="Times New Roman" w:cs="Times New Roman" w:eastAsia="Times New Roman" w:hAnsi="Times New Roman"/>
          <w:sz w:val="19"/>
          <w:szCs w:val="19"/>
          <w:b w:val="1"/>
          <w:bCs w:val="1"/>
          <w:i w:val="1"/>
          <w:iCs w:val="1"/>
          <w:color w:val="auto"/>
        </w:rPr>
        <w:t>Subject Period</w:t>
      </w:r>
      <w:r>
        <w:rPr>
          <w:rFonts w:ascii="Times New Roman" w:cs="Times New Roman" w:eastAsia="Times New Roman" w:hAnsi="Times New Roman"/>
          <w:sz w:val="19"/>
          <w:szCs w:val="19"/>
          <w:color w:val="auto"/>
        </w:rPr>
        <w:t>”), the provisions of Section 9.14(e) below shall apply. For the avoidance of doubt, (i) no Subject Action shall release the Parent from any of its Obligations other than its payment Obligations as a Guarantor (and it is the intent of the parties that the Parent shall continue to be bound by all other covenants, representations and other provisions hereof applicable to it notwithstanding the occurrence of any such Subject Action) and only, in the case of a liability cap, to the extent of such cap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such covenants, representations and other provisions shall be deemed to be revised,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to the extent necessary to reflect that the Parent is a Loan Party but not a Guarantor) and (ii) the covenants in Section 5.04 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continue to be calculated based on the Consolidated Group.</w:t>
      </w:r>
    </w:p>
    <w:p>
      <w:pPr>
        <w:spacing w:after="0" w:line="187" w:lineRule="exact"/>
        <w:rPr>
          <w:rFonts w:ascii="Times New Roman" w:cs="Times New Roman" w:eastAsia="Times New Roman" w:hAnsi="Times New Roman"/>
          <w:sz w:val="19"/>
          <w:szCs w:val="19"/>
          <w:color w:val="auto"/>
        </w:rPr>
      </w:pPr>
    </w:p>
    <w:p>
      <w:pPr>
        <w:jc w:val="both"/>
        <w:ind w:firstLine="1505"/>
        <w:spacing w:after="0" w:line="257" w:lineRule="auto"/>
        <w:tabs>
          <w:tab w:leader="none" w:pos="203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if at any time following a Subject Action (w) the Parent becomes an obligor in respect of a Senior Financing Transaction, (x) the Parent is no longer subject to a parallel liability cap under any Senior Financing Transaction, (y) the Internal Revenue Service issues guidance clarifying that parent guaranties do not preclude the allocation of related debt in satisfaction of “negative basis” issues or (z) the Parent breaches any provision of Section 9.14(e) below, then, as applicable, the Parent shall be reinstated as a Guarantor hereunder or the liability cap on the Parent’s payment obligations under the Guaranty shall be lifted so that the Obligations of the Parent under the Loan Documents shall be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Obligations of the Parent under each Senior Financing Transaction, and the Parent shall execute and deliver such confirmations and ratifications of the Guaranty as the Administrative Agent shall request within five (5) Business Days after such request.</w:t>
      </w:r>
    </w:p>
    <w:p>
      <w:pPr>
        <w:spacing w:after="0" w:line="176" w:lineRule="exact"/>
        <w:rPr>
          <w:rFonts w:ascii="Times New Roman" w:cs="Times New Roman" w:eastAsia="Times New Roman" w:hAnsi="Times New Roman"/>
          <w:sz w:val="18"/>
          <w:szCs w:val="18"/>
          <w:color w:val="auto"/>
        </w:rPr>
      </w:pPr>
    </w:p>
    <w:p>
      <w:pPr>
        <w:jc w:val="both"/>
        <w:ind w:firstLine="1505"/>
        <w:spacing w:after="0" w:line="246" w:lineRule="auto"/>
        <w:tabs>
          <w:tab w:leader="none" w:pos="2036" w:val="left"/>
        </w:tabs>
        <w:numPr>
          <w:ilvl w:val="0"/>
          <w:numId w:val="2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limiting the provisions of Section 5.02(n), at all times during the Subject Period, (i) the Parent shall not directly hold cash in excess of a </w:t>
      </w:r>
      <w:r>
        <w:rPr>
          <w:rFonts w:ascii="Times New Roman" w:cs="Times New Roman" w:eastAsia="Times New Roman" w:hAnsi="Times New Roman"/>
          <w:sz w:val="19"/>
          <w:szCs w:val="19"/>
          <w:i w:val="1"/>
          <w:iCs w:val="1"/>
          <w:color w:val="auto"/>
        </w:rPr>
        <w:t>de minimis</w:t>
      </w:r>
      <w:r>
        <w:rPr>
          <w:rFonts w:ascii="Times New Roman" w:cs="Times New Roman" w:eastAsia="Times New Roman" w:hAnsi="Times New Roman"/>
          <w:sz w:val="19"/>
          <w:szCs w:val="19"/>
          <w:color w:val="auto"/>
        </w:rPr>
        <w:t xml:space="preserve"> amount, other than on a temporary or pass-through basis held for not more than one Business Day in accordance with Sections 5.02(n)(iii)(A) and (B), (ii) the Parent’s direct ownership in the Borrower shall at all times account for at least 95% of Total Asset Value;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Parent may hold assets directly on a temporary or pass-through basis for not more</w:t>
      </w:r>
    </w:p>
    <w:p>
      <w:pPr>
        <w:spacing w:after="0" w:line="3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01" w:name="page302"/>
    <w:bookmarkEnd w:id="301"/>
    <w:p>
      <w:pPr>
        <w:jc w:val="both"/>
        <w:spacing w:after="0" w:line="265" w:lineRule="auto"/>
        <w:rPr>
          <w:sz w:val="20"/>
          <w:szCs w:val="20"/>
          <w:color w:val="auto"/>
        </w:rPr>
      </w:pPr>
      <w:r>
        <w:rPr>
          <w:rFonts w:ascii="Times New Roman" w:cs="Times New Roman" w:eastAsia="Times New Roman" w:hAnsi="Times New Roman"/>
          <w:sz w:val="19"/>
          <w:szCs w:val="19"/>
          <w:color w:val="auto"/>
        </w:rPr>
        <w:t>than one Business Day in accordance with Sections 5.02(n)(iii)(A) and (B), and (iii) the Parent shall not incur any direct liabilities in excess of the value of its assets that are not held by the Borrower and its Subsidiaries.</w:t>
      </w:r>
    </w:p>
    <w:p>
      <w:pPr>
        <w:spacing w:after="0" w:line="166"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9"/>
          <w:szCs w:val="19"/>
          <w:color w:val="010000"/>
        </w:rPr>
        <w:t>Section 9.15</w:t>
      </w:r>
      <w:r>
        <w:rPr>
          <w:rFonts w:ascii="Times New Roman" w:cs="Times New Roman" w:eastAsia="Times New Roman" w:hAnsi="Times New Roman"/>
          <w:sz w:val="19"/>
          <w:szCs w:val="19"/>
          <w:u w:val="single" w:color="auto"/>
          <w:color w:val="000000"/>
        </w:rPr>
        <w:t>Patriot Act Notification; Anti-Money Laundering Act; Beneficial Ownership</w:t>
      </w:r>
      <w:r>
        <w:rPr>
          <w:rFonts w:ascii="Times New Roman" w:cs="Times New Roman" w:eastAsia="Times New Roman" w:hAnsi="Times New Roman"/>
          <w:sz w:val="19"/>
          <w:szCs w:val="19"/>
          <w:color w:val="000000"/>
        </w:rPr>
        <w:t>. Each Lender and each Agent (for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itself and not on behalf of any Lender) hereby notifies the Loan Parties that (a) pursuant to the requirements of the Patriot Act and other Anti-Corruption Laws and anti-terrorism laws and regulations, it is required to obtain, verify and record information that identifies each Loan Party, which information includes the name and address of such Loan Party and other information that will allow such Lender or such Agent, as applicable, to identify such Loan Party in accordance with the Patriot Act and such other Anti-Corruption Laws and anti-terrorism laws and regulations and (b) pursuant to the Beneficial Ownership Regulation, it is required, to the extent that Borrower qualifies as a “legal entity customer” under the Beneficial Ownership Regulation, to obtain a Beneficial Ownership Certification in connection with the execution and delivery of this Agreement. The Parent and the Borrower shall, and shall cause each of their Subsidiaries to, provide, to the extent commercially reasonable, such information and take such actions as are reasonably requested by any Agent or any Lender to assist such Agent or Lender in maintaining compliance with the Patriot Act and other Anti-Corruption Laws and anti-terrorism laws and regulations including Sanctions and the Trading with the Enemy Act.</w:t>
      </w:r>
    </w:p>
    <w:p>
      <w:pPr>
        <w:spacing w:after="0" w:line="1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010000"/>
        </w:rPr>
        <w:t>Section 9.16</w:t>
      </w:r>
      <w:r>
        <w:rPr>
          <w:rFonts w:ascii="Times New Roman" w:cs="Times New Roman" w:eastAsia="Times New Roman" w:hAnsi="Times New Roman"/>
          <w:sz w:val="19"/>
          <w:szCs w:val="19"/>
          <w:u w:val="single" w:color="auto"/>
          <w:color w:val="000000"/>
        </w:rPr>
        <w:t>Jurisdiction, Etc</w:t>
      </w:r>
      <w:r>
        <w:rPr>
          <w:rFonts w:ascii="Times New Roman" w:cs="Times New Roman" w:eastAsia="Times New Roman" w:hAnsi="Times New Roman"/>
          <w:sz w:val="19"/>
          <w:szCs w:val="19"/>
          <w:color w:val="000000"/>
        </w:rPr>
        <w:t>.</w:t>
      </w:r>
    </w:p>
    <w:p>
      <w:pPr>
        <w:spacing w:after="0" w:line="214" w:lineRule="exact"/>
        <w:rPr>
          <w:sz w:val="20"/>
          <w:szCs w:val="20"/>
          <w:color w:val="auto"/>
        </w:rPr>
      </w:pPr>
    </w:p>
    <w:p>
      <w:pPr>
        <w:jc w:val="both"/>
        <w:ind w:firstLine="1505"/>
        <w:spacing w:after="0"/>
        <w:tabs>
          <w:tab w:leader="none" w:pos="2036" w:val="left"/>
        </w:tabs>
        <w:numPr>
          <w:ilvl w:val="0"/>
          <w:numId w:val="2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parties hereto hereby irrevocably and unconditionally agrees that it will not commence any action, litigation or other proceeding of any kind or description, whether in law or equity, whether in contract or in tort or otherwise, arising out of or relating to this Agreement or any of the other Loan Documents to which it is a party, against any other party 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each of parties hereto hereby irrevocably and unconditionally agrees that all claims in respect of any such action, litigation or proceeding may be heard and determined in any such New York State court or, to the extent permitted or required by law, in such Federal court. Each of the Loan Parties agrees that a final judgment in any such action or proceeding shall be conclusive and may be enforced in other jurisdictions by suit on the judgment or in any other manner provided by law.</w:t>
      </w:r>
    </w:p>
    <w:p>
      <w:pPr>
        <w:spacing w:after="0" w:line="193" w:lineRule="exact"/>
        <w:rPr>
          <w:rFonts w:ascii="Times New Roman" w:cs="Times New Roman" w:eastAsia="Times New Roman" w:hAnsi="Times New Roman"/>
          <w:sz w:val="19"/>
          <w:szCs w:val="19"/>
          <w:color w:val="auto"/>
        </w:rPr>
      </w:pPr>
    </w:p>
    <w:p>
      <w:pPr>
        <w:jc w:val="both"/>
        <w:ind w:firstLine="1505"/>
        <w:spacing w:after="0" w:line="244" w:lineRule="auto"/>
        <w:tabs>
          <w:tab w:leader="none" w:pos="2036" w:val="left"/>
        </w:tabs>
        <w:numPr>
          <w:ilvl w:val="0"/>
          <w:numId w:val="2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parties hereto irrevocably and unconditionally waives, to the fullest extent it may legally and effectively do so, any objection that it may now or hereafter have to the laying of venue of any litigation, action or proceeding arising out of or relating to this Agreement or any of the other Loan Documents to which it is a party in any New York State or Federal court sitting in the City, County and State of New York. Each of the parties hereto hereby irrevocably waives, to the fullest extent permitted by law, the defense of an inconvenient forum to the maintenance of such action or proceeding in any such court.</w:t>
      </w:r>
    </w:p>
    <w:p>
      <w:pPr>
        <w:spacing w:after="0" w:line="185"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9"/>
          <w:szCs w:val="19"/>
          <w:color w:val="010000"/>
        </w:rPr>
        <w:t>Section 9.17</w:t>
      </w:r>
      <w:r>
        <w:rPr>
          <w:rFonts w:ascii="Times New Roman" w:cs="Times New Roman" w:eastAsia="Times New Roman" w:hAnsi="Times New Roman"/>
          <w:sz w:val="19"/>
          <w:szCs w:val="19"/>
          <w:u w:val="single" w:color="auto"/>
          <w:color w:val="000000"/>
        </w:rPr>
        <w:t>Governing Law</w:t>
      </w:r>
      <w:r>
        <w:rPr>
          <w:rFonts w:ascii="Times New Roman" w:cs="Times New Roman" w:eastAsia="Times New Roman" w:hAnsi="Times New Roman"/>
          <w:sz w:val="19"/>
          <w:szCs w:val="19"/>
          <w:color w:val="000000"/>
        </w:rPr>
        <w:t>. This Agreement and the other Loan Documents, including but not limited to the validity,</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interpretation, construction, breach, enforcement or termination hereof or thereof, shall be governed by, and construed in accordance with, the laws of the State of New York.</w:t>
      </w:r>
    </w:p>
    <w:p>
      <w:pPr>
        <w:spacing w:after="0" w:line="179"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19"/>
          <w:szCs w:val="19"/>
          <w:color w:val="010000"/>
        </w:rPr>
        <w:t>Section 9.18</w:t>
      </w:r>
      <w:r>
        <w:rPr>
          <w:rFonts w:ascii="Times New Roman" w:cs="Times New Roman" w:eastAsia="Times New Roman" w:hAnsi="Times New Roman"/>
          <w:sz w:val="19"/>
          <w:szCs w:val="19"/>
          <w:u w:val="single" w:color="auto"/>
          <w:color w:val="000000"/>
        </w:rPr>
        <w:t>WAIVER OF JURY TRIAL</w:t>
      </w:r>
      <w:r>
        <w:rPr>
          <w:rFonts w:ascii="Times New Roman" w:cs="Times New Roman" w:eastAsia="Times New Roman" w:hAnsi="Times New Roman"/>
          <w:sz w:val="19"/>
          <w:szCs w:val="19"/>
          <w:color w:val="000000"/>
        </w:rPr>
        <w:t>. EACH OF THE BORROWER, THE OTHER LOAN PARTIES,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ADMINISTRATIVE AGENT AND THE LENDERS IRREVOCABLY WAIVES ALL RIGHT TO TRIAL BY JURY IN ANY ACTION, PROCEEDING OR COUNTERCLAIM (WHETHER BASED ON CONTRACT, TORT OR OTHERWISE) ARISING OUT OF OR RELATING TO ANY OF THE LOAN DOCUMENTS, THE ADVANCES OR THE ACTIONS OF THE ADMINISTRATIVE AGENT OR ANY LENDER IN THE NEGOTIATION, ADMINISTRATION, PERFORMANCE OR ENFORCEMENT THEREOF.</w:t>
      </w:r>
    </w:p>
    <w:p>
      <w:pPr>
        <w:spacing w:after="0" w:line="185" w:lineRule="exact"/>
        <w:rPr>
          <w:sz w:val="20"/>
          <w:szCs w:val="20"/>
          <w:color w:val="auto"/>
        </w:rPr>
      </w:pPr>
    </w:p>
    <w:p>
      <w:pPr>
        <w:jc w:val="both"/>
        <w:ind w:right="20" w:firstLine="1497"/>
        <w:spacing w:after="0" w:line="265" w:lineRule="auto"/>
        <w:rPr>
          <w:sz w:val="20"/>
          <w:szCs w:val="20"/>
          <w:color w:val="auto"/>
        </w:rPr>
      </w:pPr>
      <w:r>
        <w:rPr>
          <w:rFonts w:ascii="Times New Roman" w:cs="Times New Roman" w:eastAsia="Times New Roman" w:hAnsi="Times New Roman"/>
          <w:sz w:val="19"/>
          <w:szCs w:val="19"/>
          <w:color w:val="010000"/>
        </w:rPr>
        <w:t>Section 9.19</w:t>
      </w:r>
      <w:r>
        <w:rPr>
          <w:rFonts w:ascii="Times New Roman" w:cs="Times New Roman" w:eastAsia="Times New Roman" w:hAnsi="Times New Roman"/>
          <w:sz w:val="19"/>
          <w:szCs w:val="19"/>
          <w:u w:val="single" w:color="auto"/>
          <w:color w:val="000000"/>
        </w:rPr>
        <w:t>No Fiduciary Duties</w:t>
      </w:r>
      <w:r>
        <w:rPr>
          <w:rFonts w:ascii="Times New Roman" w:cs="Times New Roman" w:eastAsia="Times New Roman" w:hAnsi="Times New Roman"/>
          <w:sz w:val="19"/>
          <w:szCs w:val="19"/>
          <w:color w:val="000000"/>
        </w:rPr>
        <w:t>. Each Loan Party agrees that nothing in the Loan Documents or otherwise will be deemed to</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create an advisory, fiduciary or agency relationship or fiduciary or</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02" w:name="page303"/>
    <w:bookmarkEnd w:id="302"/>
    <w:p>
      <w:pPr>
        <w:jc w:val="both"/>
        <w:spacing w:after="0" w:line="219" w:lineRule="exact"/>
        <w:rPr>
          <w:sz w:val="20"/>
          <w:szCs w:val="20"/>
          <w:color w:val="auto"/>
        </w:rPr>
      </w:pPr>
      <w:r>
        <w:rPr>
          <w:rFonts w:ascii="Times New Roman" w:cs="Times New Roman" w:eastAsia="Times New Roman" w:hAnsi="Times New Roman"/>
          <w:sz w:val="19"/>
          <w:szCs w:val="19"/>
          <w:color w:val="auto"/>
        </w:rPr>
        <w:t>other implied duty between the Administrative Agent, any Lender or any Affiliate thereof, on the one hand, and such Loan Party, its stockholders or its Affiliates, on the other. The Loan Parties agree that the transactions contemplated by the Loan Documents (including the exercise of rights and remedies hereunder and thereunder) are arm’s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length commercial transactions. Each Loan Party agrees that it has consulted its own legal and financial advisors to the extent it deemed appropriate and that it is responsible for making its own independent judgment with respect to such transactions and the process leading thereto. Each of the Loan Parties acknowledges that the Administrative Agent, the Lenders and their respective Affiliates may have interests in, or may be providing or may in the future provide financial or other services to other parties with interests which a Loan Party may regard as conflicting with its interests and may possess information (whether or not material to the Loan Parties) other than as a result of (x) the Administrative Agent acting as administrative agent hereunder or (y) the Lenders acting in their respective capacities as such hereunder, that the Administrative Agent or any such Lender may not be entitled to share with any Loan Party. Without prejudice to the foregoing, each of the Loan Parties agrees that the Administrative Agent, the Lenders and their respective Affiliates may (a) deal (whether for its own or its customers’ account) in, or advise on, securities of any Person, and (b) accept deposits from, lend money to, act as trustee under indentures of, accept investment banking engagements from and generally engage in any kind of business with other Persons in each case, as if the Administrative Agent were not the Administrative Agent and as if the Lenders were not Lenders, and without any duty to account therefor to the Loan Parties. Each of the Loan Parties hereby irrevocably waives, in favor of the Administrative Agent, the Lenders and the Arrangers, any conflict of interest which may arise by virtue of the Administrative Agent, the Arrangers and/or the Lenders acting in various capacities under the Loan Documents or for other customers of the Administrative Agent, any Arranger or any Lender as described in this Section 9.19.</w:t>
      </w:r>
    </w:p>
    <w:p>
      <w:pPr>
        <w:spacing w:after="0" w:line="19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19"/>
          <w:szCs w:val="19"/>
          <w:color w:val="010000"/>
        </w:rPr>
        <w:t>Section 9.20</w:t>
      </w:r>
      <w:r>
        <w:rPr>
          <w:rFonts w:ascii="Times New Roman" w:cs="Times New Roman" w:eastAsia="Times New Roman" w:hAnsi="Times New Roman"/>
          <w:sz w:val="19"/>
          <w:szCs w:val="19"/>
          <w:u w:val="single" w:color="auto"/>
          <w:color w:val="000000"/>
        </w:rPr>
        <w:t>Acknowledgement and Consent to Bail-In of Affected Financial Institutions</w:t>
      </w:r>
      <w:r>
        <w:rPr>
          <w:rFonts w:ascii="Times New Roman" w:cs="Times New Roman" w:eastAsia="Times New Roman" w:hAnsi="Times New Roman"/>
          <w:sz w:val="19"/>
          <w:szCs w:val="19"/>
          <w:color w:val="000000"/>
        </w:rPr>
        <w:t>. Notwithstanding anything to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5" w:lineRule="exact"/>
        <w:rPr>
          <w:sz w:val="20"/>
          <w:szCs w:val="20"/>
          <w:color w:val="auto"/>
        </w:rPr>
      </w:pPr>
    </w:p>
    <w:p>
      <w:pPr>
        <w:ind w:left="760" w:firstLine="745"/>
        <w:spacing w:after="0" w:line="265" w:lineRule="auto"/>
        <w:tabs>
          <w:tab w:leader="none" w:pos="2048" w:val="left"/>
        </w:tabs>
        <w:numPr>
          <w:ilvl w:val="0"/>
          <w:numId w:val="29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application of any Write-Down and Conversion Powers by the applicable EEA Resolution Authority to any such liabilities arising hereunder which may be payable to it by any party hereto that is an Affected Financial Institution; and</w:t>
      </w:r>
    </w:p>
    <w:p>
      <w:pPr>
        <w:spacing w:after="0" w:line="165" w:lineRule="exact"/>
        <w:rPr>
          <w:rFonts w:ascii="Times New Roman" w:cs="Times New Roman" w:eastAsia="Times New Roman" w:hAnsi="Times New Roman"/>
          <w:sz w:val="19"/>
          <w:szCs w:val="19"/>
          <w:color w:val="010000"/>
        </w:rPr>
      </w:pPr>
    </w:p>
    <w:p>
      <w:pPr>
        <w:ind w:left="2040" w:hanging="535"/>
        <w:spacing w:after="0"/>
        <w:tabs>
          <w:tab w:leader="none" w:pos="2040" w:val="left"/>
        </w:tabs>
        <w:numPr>
          <w:ilvl w:val="0"/>
          <w:numId w:val="29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effects of any Bail-In Action on any such liability, including, if applicable:</w:t>
      </w:r>
    </w:p>
    <w:p>
      <w:pPr>
        <w:spacing w:after="0" w:line="213" w:lineRule="exact"/>
        <w:rPr>
          <w:rFonts w:ascii="Times New Roman" w:cs="Times New Roman" w:eastAsia="Times New Roman" w:hAnsi="Times New Roman"/>
          <w:sz w:val="19"/>
          <w:szCs w:val="19"/>
          <w:color w:val="010000"/>
        </w:rPr>
      </w:pPr>
    </w:p>
    <w:p>
      <w:pPr>
        <w:ind w:left="2560" w:hanging="306"/>
        <w:spacing w:after="0"/>
        <w:tabs>
          <w:tab w:leader="none" w:pos="2560" w:val="left"/>
        </w:tabs>
        <w:numPr>
          <w:ilvl w:val="1"/>
          <w:numId w:val="29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reduction in full or in part or cancellation of any such liability;</w:t>
      </w:r>
    </w:p>
    <w:p>
      <w:pPr>
        <w:spacing w:after="0" w:line="213" w:lineRule="exact"/>
        <w:rPr>
          <w:rFonts w:ascii="Times New Roman" w:cs="Times New Roman" w:eastAsia="Times New Roman" w:hAnsi="Times New Roman"/>
          <w:sz w:val="19"/>
          <w:szCs w:val="19"/>
          <w:color w:val="010000"/>
        </w:rPr>
      </w:pPr>
    </w:p>
    <w:p>
      <w:pPr>
        <w:jc w:val="both"/>
        <w:ind w:left="1500" w:firstLine="754"/>
        <w:spacing w:after="0" w:line="246" w:lineRule="auto"/>
        <w:tabs>
          <w:tab w:leader="none" w:pos="2548" w:val="left"/>
        </w:tabs>
        <w:numPr>
          <w:ilvl w:val="1"/>
          <w:numId w:val="29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4" w:lineRule="exact"/>
        <w:rPr>
          <w:rFonts w:ascii="Times New Roman" w:cs="Times New Roman" w:eastAsia="Times New Roman" w:hAnsi="Times New Roman"/>
          <w:sz w:val="19"/>
          <w:szCs w:val="19"/>
          <w:color w:val="010000"/>
        </w:rPr>
      </w:pPr>
    </w:p>
    <w:p>
      <w:pPr>
        <w:ind w:left="1500" w:right="20" w:firstLine="754"/>
        <w:spacing w:after="0" w:line="265" w:lineRule="auto"/>
        <w:tabs>
          <w:tab w:leader="none" w:pos="2548" w:val="left"/>
        </w:tabs>
        <w:numPr>
          <w:ilvl w:val="1"/>
          <w:numId w:val="29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variation of the terms of such liability in connection with the exercise of the Write-Down and Conversion Powers of the applicable Resolution Authority.</w:t>
      </w:r>
    </w:p>
    <w:p>
      <w:pPr>
        <w:spacing w:after="0" w:line="166"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010000"/>
        </w:rPr>
        <w:t>Section 9.21</w:t>
      </w:r>
      <w:r>
        <w:rPr>
          <w:rFonts w:ascii="Times New Roman" w:cs="Times New Roman" w:eastAsia="Times New Roman" w:hAnsi="Times New Roman"/>
          <w:sz w:val="19"/>
          <w:szCs w:val="19"/>
          <w:u w:val="single" w:color="auto"/>
          <w:color w:val="000000"/>
        </w:rPr>
        <w:t>Acknowledgement Regarding Any Supported QFCs</w:t>
      </w:r>
      <w:r>
        <w:rPr>
          <w:rFonts w:ascii="Times New Roman" w:cs="Times New Roman" w:eastAsia="Times New Roman" w:hAnsi="Times New Roman"/>
          <w:sz w:val="19"/>
          <w:szCs w:val="19"/>
          <w:color w:val="000000"/>
        </w:rPr>
        <w:t>. To the extent that the Loan Documents provide support,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through a guarantee or otherwise, for Guaranteed Hedge Agreements or any other agreement or instrument that is a QFC (such support, “</w:t>
      </w:r>
      <w:r>
        <w:rPr>
          <w:rFonts w:ascii="Times New Roman" w:cs="Times New Roman" w:eastAsia="Times New Roman" w:hAnsi="Times New Roman"/>
          <w:sz w:val="19"/>
          <w:szCs w:val="19"/>
          <w:b w:val="1"/>
          <w:bCs w:val="1"/>
          <w:i w:val="1"/>
          <w:iCs w:val="1"/>
          <w:color w:val="000000"/>
        </w:rPr>
        <w:t>QFC</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b w:val="1"/>
          <w:bCs w:val="1"/>
          <w:i w:val="1"/>
          <w:iCs w:val="1"/>
          <w:color w:val="000000"/>
        </w:rPr>
        <w:t>Credit Support</w:t>
      </w:r>
      <w:r>
        <w:rPr>
          <w:rFonts w:ascii="Times New Roman" w:cs="Times New Roman" w:eastAsia="Times New Roman" w:hAnsi="Times New Roman"/>
          <w:sz w:val="19"/>
          <w:szCs w:val="19"/>
          <w:color w:val="000000"/>
        </w:rPr>
        <w:t>” and each such QFC a “</w:t>
      </w:r>
      <w:r>
        <w:rPr>
          <w:rFonts w:ascii="Times New Roman" w:cs="Times New Roman" w:eastAsia="Times New Roman" w:hAnsi="Times New Roman"/>
          <w:sz w:val="19"/>
          <w:szCs w:val="19"/>
          <w:b w:val="1"/>
          <w:bCs w:val="1"/>
          <w:i w:val="1"/>
          <w:iCs w:val="1"/>
          <w:color w:val="000000"/>
        </w:rPr>
        <w:t>Supported QFC</w:t>
      </w:r>
      <w:r>
        <w:rPr>
          <w:rFonts w:ascii="Times New Roman" w:cs="Times New Roman" w:eastAsia="Times New Roman" w:hAnsi="Times New Roman"/>
          <w:sz w:val="19"/>
          <w:szCs w:val="19"/>
          <w:color w:val="000000"/>
        </w:rPr>
        <w:t>”), the parties acknowledge and agree as follows with respect to the resolution power of the</w:t>
      </w:r>
      <w:r>
        <w:rPr>
          <w:rFonts w:ascii="Times New Roman" w:cs="Times New Roman" w:eastAsia="Times New Roman" w:hAnsi="Times New Roman"/>
          <w:sz w:val="19"/>
          <w:szCs w:val="19"/>
          <w:b w:val="1"/>
          <w:bCs w:val="1"/>
          <w:i w:val="1"/>
          <w:iCs w:val="1"/>
          <w:color w:val="000000"/>
        </w:rPr>
        <w:t xml:space="preserve"> </w:t>
      </w:r>
      <w:r>
        <w:rPr>
          <w:rFonts w:ascii="Times New Roman" w:cs="Times New Roman" w:eastAsia="Times New Roman" w:hAnsi="Times New Roman"/>
          <w:sz w:val="19"/>
          <w:szCs w:val="19"/>
          <w:color w:val="000000"/>
        </w:rPr>
        <w:t>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9"/>
          <w:szCs w:val="19"/>
          <w:b w:val="1"/>
          <w:bCs w:val="1"/>
          <w:i w:val="1"/>
          <w:iCs w:val="1"/>
          <w:color w:val="000000"/>
        </w:rPr>
        <w:t>U.S. Special Resolution Regimes</w:t>
      </w:r>
      <w:r>
        <w:rPr>
          <w:rFonts w:ascii="Times New Roman" w:cs="Times New Roman" w:eastAsia="Times New Roman" w:hAnsi="Times New Roman"/>
          <w:sz w:val="19"/>
          <w:szCs w:val="19"/>
          <w:color w:val="000000"/>
        </w:rPr>
        <w:t>”) in respect of such Supported QFC and QFC Credit Support (with the</w:t>
      </w:r>
    </w:p>
    <w:p>
      <w:pPr>
        <w:spacing w:after="0" w:line="3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03" w:name="page304"/>
    <w:bookmarkEnd w:id="303"/>
    <w:p>
      <w:pPr>
        <w:ind w:right="20"/>
        <w:spacing w:after="0" w:line="265" w:lineRule="auto"/>
        <w:rPr>
          <w:sz w:val="20"/>
          <w:szCs w:val="20"/>
          <w:color w:val="auto"/>
        </w:rPr>
      </w:pPr>
      <w:r>
        <w:rPr>
          <w:rFonts w:ascii="Times New Roman" w:cs="Times New Roman" w:eastAsia="Times New Roman" w:hAnsi="Times New Roman"/>
          <w:sz w:val="19"/>
          <w:szCs w:val="19"/>
          <w:color w:val="auto"/>
        </w:rPr>
        <w:t>provisions below applicable notwithstanding that the Loan Documents and any Supported QFC may in fact be stated to be governed by the laws of the State of New York and/or of the United States or any other state of the United States):</w:t>
      </w:r>
    </w:p>
    <w:p>
      <w:pPr>
        <w:spacing w:after="0" w:line="160" w:lineRule="exact"/>
        <w:rPr>
          <w:sz w:val="20"/>
          <w:szCs w:val="20"/>
          <w:color w:val="auto"/>
        </w:rPr>
      </w:pPr>
    </w:p>
    <w:p>
      <w:pPr>
        <w:jc w:val="both"/>
        <w:ind w:left="760" w:firstLine="745"/>
        <w:spacing w:after="0"/>
        <w:tabs>
          <w:tab w:leader="none" w:pos="2048" w:val="left"/>
        </w:tabs>
        <w:numPr>
          <w:ilvl w:val="0"/>
          <w:numId w:val="29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the event a Covered Entity that is party to a Supported QFC (each, a “</w:t>
      </w:r>
      <w:r>
        <w:rPr>
          <w:rFonts w:ascii="Times New Roman" w:cs="Times New Roman" w:eastAsia="Times New Roman" w:hAnsi="Times New Roman"/>
          <w:sz w:val="19"/>
          <w:szCs w:val="19"/>
          <w:b w:val="1"/>
          <w:bCs w:val="1"/>
          <w:i w:val="1"/>
          <w:iCs w:val="1"/>
          <w:color w:val="auto"/>
        </w:rPr>
        <w:t>Covered Party</w:t>
      </w:r>
      <w:r>
        <w:rPr>
          <w:rFonts w:ascii="Times New Roman" w:cs="Times New Roman" w:eastAsia="Times New Roman" w:hAnsi="Times New Roman"/>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rFonts w:ascii="Times New Roman" w:cs="Times New Roman" w:eastAsia="Times New Roman" w:hAnsi="Times New Roman"/>
          <w:sz w:val="19"/>
          <w:szCs w:val="19"/>
          <w:color w:val="010000"/>
        </w:rPr>
      </w:pPr>
    </w:p>
    <w:p>
      <w:pPr>
        <w:ind w:left="2040" w:hanging="535"/>
        <w:spacing w:after="0"/>
        <w:tabs>
          <w:tab w:leader="none" w:pos="2040" w:val="left"/>
        </w:tabs>
        <w:numPr>
          <w:ilvl w:val="0"/>
          <w:numId w:val="29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As used in this Section 9.21, the following terms have the following meanings:</w:t>
      </w:r>
    </w:p>
    <w:p>
      <w:pPr>
        <w:spacing w:after="0" w:line="207" w:lineRule="exact"/>
        <w:rPr>
          <w:rFonts w:ascii="Times New Roman" w:cs="Times New Roman" w:eastAsia="Times New Roman" w:hAnsi="Times New Roman"/>
          <w:sz w:val="19"/>
          <w:szCs w:val="19"/>
          <w:color w:val="010000"/>
        </w:rPr>
      </w:pPr>
    </w:p>
    <w:p>
      <w:pPr>
        <w:ind w:left="1500" w:firstLine="754"/>
        <w:spacing w:after="0" w:line="272" w:lineRule="auto"/>
        <w:tabs>
          <w:tab w:leader="none" w:pos="2548" w:val="left"/>
        </w:tabs>
        <w:numPr>
          <w:ilvl w:val="1"/>
          <w:numId w:val="29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BHC Act Affiliate</w:t>
      </w:r>
      <w:r>
        <w:rPr>
          <w:rFonts w:ascii="Times New Roman" w:cs="Times New Roman" w:eastAsia="Times New Roman" w:hAnsi="Times New Roman"/>
          <w:sz w:val="19"/>
          <w:szCs w:val="19"/>
          <w:color w:val="auto"/>
        </w:rPr>
        <w:t>” of a party means an “affiliate” (as such term is defined under, and interpreted in accordance with, 12 U.S.C. § 1841(k)) of such party.</w:t>
      </w:r>
    </w:p>
    <w:p>
      <w:pPr>
        <w:spacing w:after="0" w:line="152" w:lineRule="exact"/>
        <w:rPr>
          <w:rFonts w:ascii="Times New Roman" w:cs="Times New Roman" w:eastAsia="Times New Roman" w:hAnsi="Times New Roman"/>
          <w:sz w:val="19"/>
          <w:szCs w:val="19"/>
          <w:color w:val="010000"/>
        </w:rPr>
      </w:pPr>
    </w:p>
    <w:p>
      <w:pPr>
        <w:ind w:left="2560" w:hanging="306"/>
        <w:spacing w:after="0"/>
        <w:tabs>
          <w:tab w:leader="none" w:pos="2560" w:val="left"/>
        </w:tabs>
        <w:numPr>
          <w:ilvl w:val="1"/>
          <w:numId w:val="29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Covered Entity</w:t>
      </w:r>
      <w:r>
        <w:rPr>
          <w:rFonts w:ascii="Times New Roman" w:cs="Times New Roman" w:eastAsia="Times New Roman" w:hAnsi="Times New Roman"/>
          <w:sz w:val="19"/>
          <w:szCs w:val="19"/>
          <w:color w:val="auto"/>
        </w:rPr>
        <w:t>” means any of the following:</w:t>
      </w:r>
    </w:p>
    <w:p>
      <w:pPr>
        <w:spacing w:after="0" w:line="220" w:lineRule="exact"/>
        <w:rPr>
          <w:sz w:val="20"/>
          <w:szCs w:val="20"/>
          <w:color w:val="auto"/>
        </w:rPr>
      </w:pPr>
    </w:p>
    <w:p>
      <w:pPr>
        <w:ind w:left="3580" w:hanging="577"/>
        <w:spacing w:after="0"/>
        <w:tabs>
          <w:tab w:leader="none" w:pos="3580" w:val="left"/>
        </w:tabs>
        <w:numPr>
          <w:ilvl w:val="2"/>
          <w:numId w:val="29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“covered entity” as that term is defined in, and interpreted in accordance with, 12 C.F.R. §</w:t>
      </w:r>
    </w:p>
    <w:p>
      <w:pPr>
        <w:spacing w:after="0" w:line="17" w:lineRule="exact"/>
        <w:rPr>
          <w:rFonts w:ascii="Times New Roman" w:cs="Times New Roman" w:eastAsia="Times New Roman" w:hAnsi="Times New Roman"/>
          <w:sz w:val="19"/>
          <w:szCs w:val="19"/>
          <w:color w:val="010000"/>
        </w:rPr>
      </w:pPr>
    </w:p>
    <w:p>
      <w:pPr>
        <w:ind w:left="2260"/>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252.82(b);</w:t>
      </w:r>
    </w:p>
    <w:p>
      <w:pPr>
        <w:spacing w:after="0" w:line="193" w:lineRule="exact"/>
        <w:rPr>
          <w:rFonts w:ascii="Times New Roman" w:cs="Times New Roman" w:eastAsia="Times New Roman" w:hAnsi="Times New Roman"/>
          <w:sz w:val="19"/>
          <w:szCs w:val="19"/>
          <w:color w:val="010000"/>
        </w:rPr>
      </w:pPr>
    </w:p>
    <w:p>
      <w:pPr>
        <w:ind w:left="3580" w:hanging="577"/>
        <w:spacing w:after="0"/>
        <w:tabs>
          <w:tab w:leader="none" w:pos="3580" w:val="left"/>
        </w:tabs>
        <w:numPr>
          <w:ilvl w:val="2"/>
          <w:numId w:val="29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“covered bank” as that term is defined in, and interpreted in accordance with, 12 C.F.R. § 47.3(b);</w:t>
      </w:r>
    </w:p>
    <w:p>
      <w:pPr>
        <w:spacing w:after="0" w:line="17" w:lineRule="exact"/>
        <w:rPr>
          <w:rFonts w:ascii="Times New Roman" w:cs="Times New Roman" w:eastAsia="Times New Roman" w:hAnsi="Times New Roman"/>
          <w:sz w:val="19"/>
          <w:szCs w:val="19"/>
          <w:color w:val="010000"/>
        </w:rPr>
      </w:pPr>
    </w:p>
    <w:p>
      <w:pPr>
        <w:ind w:left="2260"/>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or</w:t>
      </w:r>
    </w:p>
    <w:p>
      <w:pPr>
        <w:spacing w:after="0" w:line="193" w:lineRule="exact"/>
        <w:rPr>
          <w:rFonts w:ascii="Times New Roman" w:cs="Times New Roman" w:eastAsia="Times New Roman" w:hAnsi="Times New Roman"/>
          <w:sz w:val="19"/>
          <w:szCs w:val="19"/>
          <w:color w:val="010000"/>
        </w:rPr>
      </w:pPr>
    </w:p>
    <w:p>
      <w:pPr>
        <w:ind w:left="3580" w:hanging="577"/>
        <w:spacing w:after="0"/>
        <w:tabs>
          <w:tab w:leader="none" w:pos="3580" w:val="left"/>
        </w:tabs>
        <w:numPr>
          <w:ilvl w:val="2"/>
          <w:numId w:val="29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 “covered FSI” as that term is defined in, and interpreted in accordance with, 12 C.F.R. § 382.2(b).</w:t>
      </w:r>
    </w:p>
    <w:p>
      <w:pPr>
        <w:spacing w:after="0" w:line="207" w:lineRule="exact"/>
        <w:rPr>
          <w:rFonts w:ascii="Times New Roman" w:cs="Times New Roman" w:eastAsia="Times New Roman" w:hAnsi="Times New Roman"/>
          <w:sz w:val="19"/>
          <w:szCs w:val="19"/>
          <w:color w:val="010000"/>
        </w:rPr>
      </w:pPr>
    </w:p>
    <w:p>
      <w:pPr>
        <w:ind w:left="2560" w:hanging="306"/>
        <w:spacing w:after="0"/>
        <w:tabs>
          <w:tab w:leader="none" w:pos="2560" w:val="left"/>
        </w:tabs>
        <w:numPr>
          <w:ilvl w:val="1"/>
          <w:numId w:val="29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Default Right</w:t>
      </w:r>
      <w:r>
        <w:rPr>
          <w:rFonts w:ascii="Times New Roman" w:cs="Times New Roman" w:eastAsia="Times New Roman" w:hAnsi="Times New Roman"/>
          <w:sz w:val="19"/>
          <w:szCs w:val="19"/>
          <w:color w:val="auto"/>
        </w:rPr>
        <w:t>” has the meaning assigned to that term in, and shall be interpreted in accordance with, 12 C.F.R.</w:t>
      </w:r>
    </w:p>
    <w:p>
      <w:pPr>
        <w:spacing w:after="0" w:line="23" w:lineRule="exact"/>
        <w:rPr>
          <w:rFonts w:ascii="Times New Roman" w:cs="Times New Roman" w:eastAsia="Times New Roman" w:hAnsi="Times New Roman"/>
          <w:sz w:val="19"/>
          <w:szCs w:val="19"/>
          <w:color w:val="010000"/>
        </w:rPr>
      </w:pPr>
    </w:p>
    <w:p>
      <w:pPr>
        <w:ind w:left="1740" w:hanging="235"/>
        <w:spacing w:after="0"/>
        <w:tabs>
          <w:tab w:leader="none" w:pos="1740" w:val="left"/>
        </w:tabs>
        <w:numPr>
          <w:ilvl w:val="0"/>
          <w:numId w:val="2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252.81, 47.2 or 382.1, as applicable.</w:t>
      </w:r>
    </w:p>
    <w:p>
      <w:pPr>
        <w:spacing w:after="0" w:line="187" w:lineRule="exact"/>
        <w:rPr>
          <w:rFonts w:ascii="Times New Roman" w:cs="Times New Roman" w:eastAsia="Times New Roman" w:hAnsi="Times New Roman"/>
          <w:sz w:val="19"/>
          <w:szCs w:val="19"/>
          <w:color w:val="auto"/>
        </w:rPr>
      </w:pPr>
    </w:p>
    <w:p>
      <w:pPr>
        <w:ind w:left="1500" w:firstLine="754"/>
        <w:spacing w:after="0" w:line="272" w:lineRule="auto"/>
        <w:tabs>
          <w:tab w:leader="none" w:pos="2548" w:val="left"/>
        </w:tabs>
        <w:numPr>
          <w:ilvl w:val="1"/>
          <w:numId w:val="29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 § 5390(c)(8)(D).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[Balance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04" w:name="page305"/>
    <w:bookmarkEnd w:id="3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1927860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5" w:name="page306"/>
    <w:bookmarkEnd w:id="3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585595" cy="514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clrChange>
                        <a:clrFrom>
                          <a:srgbClr val="FFFFFF"/>
                        </a:clrFrom>
                        <a:clrTo>
                          <a:srgbClr val="FFFFFF">
                            <a:alpha val="0"/>
                          </a:srgbClr>
                        </a:clrTo>
                      </a:clrChange>
                      <a:extLst>
                        <a:ext uri="{28A0092B-C50C-407E-A947-70E740481C1C}"/>
                      </a:extLst>
                    </a:blip>
                    <a:srcRect/>
                    <a:stretch>
                      <a:fillRect/>
                    </a:stretch>
                  </pic:blipFill>
                  <pic:spPr bwMode="auto">
                    <a:xfrm>
                      <a:off x="0" y="0"/>
                      <a:ext cx="1585595" cy="51435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EASTERLY GOVERNMENT PROPERTIES CLOSES FIVE-YEAR $200 MILLION TERM LOAN FACILITY</w:t>
      </w:r>
    </w:p>
    <w:p>
      <w:pPr>
        <w:spacing w:after="0" w:line="36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WASHINGTON, D.C. – June 30, 2026 – Easterly Government Properties, Inc. (NYSE: DEA) (the “Company” or “Easterly”), a fully integrated real estate investment trust focused primarily on the acquisition, development and management of Class A commercial properties leased to the U.S. Government and its adjacent partners, announced today the closing of a new five-year $200 million senior unsecured term loan facility (the “Term Loan”). The Term Loan includes an accordion feature that allows the Company to increase commitments by up to $50 million, subject to certain conditions, for a total facility size of $250 million. The Term Loan will mature in June 2031.</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Company intends to use the net proceeds from the Term Loan to repay borrowings outstanding under its unsecured $400 million revolving credit facility and for general corporate purposes.</w:t>
      </w:r>
    </w:p>
    <w:p>
      <w:pPr>
        <w:spacing w:after="0" w:line="88"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“We are pleased to expand our capital base with this new term loan facility,” said Allison E. Marino, Easterly’s Chief Financial Officer. “The transaction enhances our liquidity profile and supports our ability to efficiently fund future growth initiatives.”</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Borrowings under the new Term Loan will bear interest at a rate of SOFR, plus a spread of 1.20% to 1.70%, depending on the Company's leverage ratio. Given the Company's current leverage ratio, the Term Loan’s initial spread to SOFR is set at 1.30%.</w:t>
      </w:r>
    </w:p>
    <w:p>
      <w:pPr>
        <w:spacing w:after="0" w:line="7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U.S. Bank National Association, PNC Capital Markets LLC, and Truist Securities, Inc. served as Joint Bookrunners. U.S. Bank National Association, PNC Capital Markets LLC, Truist Securities, Inc. and Wells Fargo Securities, LLC, served as Joint Lead Arrangers. PNC Bank, National Association served as Administrative Agent, U.S. Bank National Association and Truist Bank, as Syndication Agents, and Wells Fargo Bank, N.A. as Documentation Agent.</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Easterly Government Properties, Inc.</w:t>
      </w:r>
    </w:p>
    <w:p>
      <w:pPr>
        <w:spacing w:after="0" w:line="13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Easterly Government Properties, Inc. (NYSE: DEA) is based in Washington, D.C., and focuses primarily on the acquisition, development and management of Class A commercial properties that are leased to the U.S. Government and its adjacent partners. Easterly’s experienced management team brings specialized insight into the strategy and needs of mission-critical U.S. Government agencies for properties leased to such agencies either directly or through the U.S. General Services Administration (GSA). For further information on the company and its properties, please visit www.easterlyreit.com.</w:t>
      </w:r>
    </w:p>
    <w:p>
      <w:pPr>
        <w:spacing w:after="0" w:line="9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i w:val="1"/>
          <w:iCs w:val="1"/>
          <w:color w:val="3F4955"/>
        </w:rPr>
        <w:t>This press release contains forward-looking statements within the meaning of federal securities laws and regulations. These forward-looking statements are identified by their use of terms and phrases such as “believe,” “expect,” “intend,” “project,” “anticipate,” “position,” and other similar terms and phrases, including references to assumptions and forecasts of future results. Forward-looking statements are not guarantees of future performance and involve known and unknown risks, uncertainties and other factors which may cause the actual results to differ materially from those anticipated at the time the forward-looking statements are made. These risks include, but are not limited to those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6" w:name="page307"/>
    <w:bookmarkEnd w:id="306"/>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585595" cy="5143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clrChange>
                        <a:clrFrom>
                          <a:srgbClr val="FFFFFF"/>
                        </a:clrFrom>
                        <a:clrTo>
                          <a:srgbClr val="FFFFFF">
                            <a:alpha val="0"/>
                          </a:srgbClr>
                        </a:clrTo>
                      </a:clrChange>
                      <a:extLst>
                        <a:ext uri="{28A0092B-C50C-407E-A947-70E740481C1C}"/>
                      </a:extLst>
                    </a:blip>
                    <a:srcRect/>
                    <a:stretch>
                      <a:fillRect/>
                    </a:stretch>
                  </pic:blipFill>
                  <pic:spPr bwMode="auto">
                    <a:xfrm>
                      <a:off x="0" y="0"/>
                      <a:ext cx="1585595" cy="514350"/>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20"/>
          <w:szCs w:val="20"/>
          <w:i w:val="1"/>
          <w:iCs w:val="1"/>
          <w:color w:val="3F4955"/>
        </w:rPr>
        <w:t>associated with our business described from time to time in our filings with the Securities and Exchange Commission, including our Annual Report on Form 10-K filed on February 23, 2026. Although we believe the expectations reflected in such forward-looking statements are based upon reasonable assumptions, we can give no assurance that the expectations will be attained or that any deviation will not be material. All information in this release is as of the date of this release, and we undertake no obligation to update any forward-looking statement to conform the statement to actual results or changes in our expectations.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Easterly Government Properties, Inc.</w:t>
      </w:r>
    </w:p>
    <w:p>
      <w:pPr>
        <w:spacing w:after="0" w:line="229" w:lineRule="auto"/>
        <w:rPr>
          <w:sz w:val="20"/>
          <w:szCs w:val="20"/>
          <w:color w:val="auto"/>
        </w:rPr>
      </w:pPr>
      <w:r>
        <w:rPr>
          <w:rFonts w:ascii="Arial" w:cs="Arial" w:eastAsia="Arial" w:hAnsi="Arial"/>
          <w:sz w:val="20"/>
          <w:szCs w:val="20"/>
          <w:color w:val="auto"/>
        </w:rPr>
        <w:t>Cole Bardawill</w:t>
      </w:r>
    </w:p>
    <w:p>
      <w:pPr>
        <w:spacing w:after="0" w:line="226" w:lineRule="auto"/>
        <w:rPr>
          <w:sz w:val="20"/>
          <w:szCs w:val="20"/>
          <w:color w:val="auto"/>
        </w:rPr>
      </w:pPr>
      <w:r>
        <w:rPr>
          <w:rFonts w:ascii="Arial" w:cs="Arial" w:eastAsia="Arial" w:hAnsi="Arial"/>
          <w:sz w:val="20"/>
          <w:szCs w:val="20"/>
          <w:color w:val="auto"/>
        </w:rPr>
        <w:t>Director of Investor Relations</w:t>
      </w:r>
    </w:p>
    <w:p>
      <w:pPr>
        <w:spacing w:after="0" w:line="225" w:lineRule="auto"/>
        <w:rPr>
          <w:sz w:val="20"/>
          <w:szCs w:val="20"/>
          <w:color w:val="auto"/>
        </w:rPr>
      </w:pPr>
      <w:r>
        <w:rPr>
          <w:rFonts w:ascii="Arial" w:cs="Arial" w:eastAsia="Arial" w:hAnsi="Arial"/>
          <w:sz w:val="20"/>
          <w:szCs w:val="20"/>
          <w:color w:val="auto"/>
        </w:rPr>
        <w:t>202-987-9395</w:t>
      </w:r>
    </w:p>
    <w:p>
      <w:pPr>
        <w:spacing w:after="0"/>
        <w:rPr>
          <w:sz w:val="20"/>
          <w:szCs w:val="20"/>
          <w:color w:val="auto"/>
        </w:rPr>
      </w:pPr>
      <w:r>
        <w:rPr>
          <w:rFonts w:ascii="Arial" w:cs="Arial" w:eastAsia="Arial" w:hAnsi="Arial"/>
          <w:sz w:val="20"/>
          <w:szCs w:val="20"/>
          <w:color w:val="auto"/>
        </w:rPr>
        <w:t>IR@easterlyreit.com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1283970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7" w:name="page308"/>
    <w:bookmarkEnd w:id="30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263DEC"/>
    <w:multiLevelType w:val="hybridMultilevel"/>
    <w:lvl w:ilvl="0">
      <w:lvlJc w:val="left"/>
      <w:lvlText w:val="☐"/>
      <w:numFmt w:val="bullet"/>
      <w:start w:val="1"/>
    </w:lvl>
  </w:abstractNum>
  <w:abstractNum w:abstractNumId="1">
    <w:nsid w:val="260D8C4A"/>
    <w:multiLevelType w:val="hybridMultilevel"/>
    <w:lvl w:ilvl="0">
      <w:lvlJc w:val="left"/>
      <w:lvlText w:val="(%1)"/>
      <w:numFmt w:val="lowerLetter"/>
      <w:start w:val="1"/>
    </w:lvl>
  </w:abstractNum>
  <w:abstractNum w:abstractNumId="2">
    <w:nsid w:val="73D4D3C4"/>
    <w:multiLevelType w:val="hybridMultilevel"/>
    <w:lvl w:ilvl="0">
      <w:lvlJc w:val="left"/>
      <w:lvlText w:val="(%1)"/>
      <w:numFmt w:val="lowerLetter"/>
      <w:start w:val="2"/>
    </w:lvl>
  </w:abstractNum>
  <w:abstractNum w:abstractNumId="3">
    <w:nsid w:val="746F2E30"/>
    <w:multiLevelType w:val="hybridMultilevel"/>
    <w:lvl w:ilvl="0">
      <w:lvlJc w:val="left"/>
      <w:lvlText w:val="(%1)"/>
      <w:numFmt w:val="lowerLetter"/>
      <w:start w:val="1"/>
    </w:lvl>
    <w:lvl w:ilvl="1">
      <w:lvlJc w:val="left"/>
      <w:lvlText w:val="(%2)"/>
      <w:numFmt w:val="decimal"/>
      <w:start w:val="1"/>
    </w:lvl>
  </w:abstractNum>
  <w:abstractNum w:abstractNumId="4">
    <w:nsid w:val="6FDE8AF6"/>
    <w:multiLevelType w:val="hybridMultilevel"/>
    <w:lvl w:ilvl="0">
      <w:lvlJc w:val="left"/>
      <w:lvlText w:val="(%1)"/>
      <w:numFmt w:val="lowerLetter"/>
      <w:start w:val="2"/>
    </w:lvl>
  </w:abstractNum>
  <w:abstractNum w:abstractNumId="5">
    <w:nsid w:val="3FC32E20"/>
    <w:multiLevelType w:val="hybridMultilevel"/>
    <w:lvl w:ilvl="0">
      <w:lvlJc w:val="left"/>
      <w:lvlText w:val="(%1)"/>
      <w:numFmt w:val="lowerLetter"/>
      <w:start w:val="1"/>
    </w:lvl>
  </w:abstractNum>
  <w:abstractNum w:abstractNumId="6">
    <w:nsid w:val="49C0E823"/>
    <w:multiLevelType w:val="hybridMultilevel"/>
    <w:lvl w:ilvl="0">
      <w:lvlJc w:val="left"/>
      <w:lvlText w:val="(%1)"/>
      <w:numFmt w:val="lowerLetter"/>
      <w:start w:val="1"/>
    </w:lvl>
  </w:abstractNum>
  <w:abstractNum w:abstractNumId="7">
    <w:nsid w:val="14D53685"/>
    <w:multiLevelType w:val="hybridMultilevel"/>
    <w:lvl w:ilvl="0">
      <w:lvlJc w:val="left"/>
      <w:lvlText w:val="(%1)"/>
      <w:numFmt w:val="lowerLetter"/>
      <w:start w:val="2"/>
    </w:lvl>
  </w:abstractNum>
  <w:abstractNum w:abstractNumId="8">
    <w:nsid w:val="230F856C"/>
    <w:multiLevelType w:val="hybridMultilevel"/>
    <w:lvl w:ilvl="0">
      <w:lvlJc w:val="left"/>
      <w:lvlText w:val="(%1)"/>
      <w:numFmt w:val="lowerLetter"/>
      <w:start w:val="5"/>
    </w:lvl>
  </w:abstractNum>
  <w:abstractNum w:abstractNumId="9">
    <w:nsid w:val="6EAA85FB"/>
    <w:multiLevelType w:val="hybridMultilevel"/>
    <w:lvl w:ilvl="0">
      <w:lvlJc w:val="left"/>
      <w:lvlText w:val="(%1)"/>
      <w:numFmt w:val="lowerLetter"/>
      <w:start w:val="1"/>
    </w:lvl>
  </w:abstractNum>
  <w:abstractNum w:abstractNumId="10">
    <w:nsid w:val="3F06ECB2"/>
    <w:multiLevelType w:val="hybridMultilevel"/>
    <w:lvl w:ilvl="0">
      <w:lvlJc w:val="left"/>
      <w:lvlText w:val="(%1)"/>
      <w:numFmt w:val="lowerLetter"/>
      <w:start w:val="1"/>
    </w:lvl>
  </w:abstractNum>
  <w:abstractNum w:abstractNumId="11">
    <w:nsid w:val="3B594807"/>
    <w:multiLevelType w:val="hybridMultilevel"/>
    <w:lvl w:ilvl="0">
      <w:lvlJc w:val="left"/>
      <w:lvlText w:val="(%1)"/>
      <w:numFmt w:val="lowerLetter"/>
      <w:start w:val="1"/>
    </w:lvl>
  </w:abstractNum>
  <w:abstractNum w:abstractNumId="12">
    <w:nsid w:val="6CAA2304"/>
    <w:multiLevelType w:val="hybridMultilevel"/>
    <w:lvl w:ilvl="0">
      <w:lvlJc w:val="left"/>
      <w:lvlText w:val="(%1)"/>
      <w:numFmt w:val="lowerRoman"/>
      <w:start w:val="2"/>
    </w:lvl>
  </w:abstractNum>
  <w:abstractNum w:abstractNumId="13">
    <w:nsid w:val="3F7C2FF4"/>
    <w:multiLevelType w:val="hybridMultilevel"/>
    <w:lvl w:ilvl="0">
      <w:lvlJc w:val="left"/>
      <w:lvlText w:val="(%1)"/>
      <w:numFmt w:val="lowerLetter"/>
      <w:start w:val="2"/>
    </w:lvl>
  </w:abstractNum>
  <w:abstractNum w:abstractNumId="14">
    <w:nsid w:val="25413BEC"/>
    <w:multiLevelType w:val="hybridMultilevel"/>
    <w:lvl w:ilvl="0">
      <w:lvlJc w:val="left"/>
      <w:lvlText w:val="%1"/>
      <w:numFmt w:val="lowerLetter"/>
      <w:start w:val="1"/>
    </w:lvl>
    <w:lvl w:ilvl="1">
      <w:lvlJc w:val="left"/>
      <w:lvlText w:val="(%2)"/>
      <w:numFmt w:val="lowerLetter"/>
      <w:start w:val="1"/>
    </w:lvl>
  </w:abstractNum>
  <w:abstractNum w:abstractNumId="15">
    <w:nsid w:val="17180B0B"/>
    <w:multiLevelType w:val="hybridMultilevel"/>
    <w:lvl w:ilvl="0">
      <w:lvlJc w:val="left"/>
      <w:lvlText w:val="(%1)"/>
      <w:numFmt w:val="lowerLetter"/>
      <w:start w:val="2"/>
    </w:lvl>
    <w:lvl w:ilvl="1">
      <w:lvlJc w:val="left"/>
      <w:lvlText w:val="%2"/>
      <w:numFmt w:val="lowerLetter"/>
      <w:start w:val="1"/>
    </w:lvl>
  </w:abstractNum>
  <w:abstractNum w:abstractNumId="16">
    <w:nsid w:val="579328B9"/>
    <w:multiLevelType w:val="hybridMultilevel"/>
    <w:lvl w:ilvl="0">
      <w:lvlJc w:val="left"/>
      <w:lvlText w:val="(%1)"/>
      <w:numFmt w:val="lowerLetter"/>
      <w:start w:val="2"/>
    </w:lvl>
  </w:abstractNum>
  <w:abstractNum w:abstractNumId="17">
    <w:nsid w:val="5D205E20"/>
    <w:multiLevelType w:val="hybridMultilevel"/>
    <w:lvl w:ilvl="0">
      <w:lvlJc w:val="left"/>
      <w:lvlText w:val="(%1)"/>
      <w:numFmt w:val="lowerLetter"/>
      <w:start w:val="1"/>
    </w:lvl>
  </w:abstractNum>
  <w:abstractNum w:abstractNumId="18">
    <w:nsid w:val="11CCA8BA"/>
    <w:multiLevelType w:val="hybridMultilevel"/>
    <w:lvl w:ilvl="0">
      <w:lvlJc w:val="left"/>
      <w:lvlText w:val="(%1)"/>
      <w:numFmt w:val="lowerLetter"/>
      <w:start w:val="1"/>
    </w:lvl>
  </w:abstractNum>
  <w:abstractNum w:abstractNumId="19">
    <w:nsid w:val="4D32AB86"/>
    <w:multiLevelType w:val="hybridMultilevel"/>
    <w:lvl w:ilvl="0">
      <w:lvlJc w:val="left"/>
      <w:lvlText w:val="(%1)"/>
      <w:numFmt w:val="lowerLetter"/>
      <w:start w:val="2"/>
    </w:lvl>
  </w:abstractNum>
  <w:abstractNum w:abstractNumId="20">
    <w:nsid w:val="3F07ACC3"/>
    <w:multiLevelType w:val="hybridMultilevel"/>
    <w:lvl w:ilvl="0">
      <w:lvlJc w:val="left"/>
      <w:lvlText w:val="(%1)"/>
      <w:numFmt w:val="lowerLetter"/>
      <w:start w:val="6"/>
    </w:lvl>
  </w:abstractNum>
  <w:abstractNum w:abstractNumId="21">
    <w:nsid w:val="6B47F63E"/>
    <w:multiLevelType w:val="hybridMultilevel"/>
    <w:lvl w:ilvl="0">
      <w:lvlJc w:val="left"/>
      <w:lvlText w:val="(%1)"/>
      <w:numFmt w:val="lowerLetter"/>
      <w:start w:val="1"/>
    </w:lvl>
  </w:abstractNum>
  <w:abstractNum w:abstractNumId="22">
    <w:nsid w:val="5CB44A05"/>
    <w:multiLevelType w:val="hybridMultilevel"/>
    <w:lvl w:ilvl="0">
      <w:lvlJc w:val="left"/>
      <w:lvlText w:val="(%1)"/>
      <w:numFmt w:val="lowerLetter"/>
      <w:start w:val="1"/>
    </w:lvl>
  </w:abstractNum>
  <w:abstractNum w:abstractNumId="23">
    <w:nsid w:val="16CF80F1"/>
    <w:multiLevelType w:val="hybridMultilevel"/>
    <w:lvl w:ilvl="0">
      <w:lvlJc w:val="left"/>
      <w:lvlText w:val="(%1)"/>
      <w:numFmt w:val="lowerLetter"/>
      <w:start w:val="3"/>
    </w:lvl>
  </w:abstractNum>
  <w:abstractNum w:abstractNumId="24">
    <w:nsid w:val="1C695DE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5">
    <w:nsid w:val="3FCFAED9"/>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26">
    <w:nsid w:val="F856867"/>
    <w:multiLevelType w:val="hybridMultilevel"/>
    <w:lvl w:ilvl="0">
      <w:lvlJc w:val="left"/>
      <w:lvlText w:val="%1"/>
      <w:numFmt w:val="lowerLetter"/>
      <w:start w:val="1"/>
    </w:lvl>
    <w:lvl w:ilvl="1">
      <w:lvlJc w:val="left"/>
      <w:lvlText w:val="(%2)"/>
      <w:numFmt w:val="lowerRoman"/>
      <w:start w:val="1"/>
    </w:lvl>
  </w:abstractNum>
  <w:abstractNum w:abstractNumId="27">
    <w:nsid w:val="11B1CC33"/>
    <w:multiLevelType w:val="hybridMultilevel"/>
    <w:lvl w:ilvl="0">
      <w:lvlJc w:val="left"/>
      <w:lvlText w:val="(%1)"/>
      <w:numFmt w:val="lowerLetter"/>
      <w:start w:val="5"/>
    </w:lvl>
    <w:lvl w:ilvl="1">
      <w:lvlJc w:val="left"/>
      <w:lvlText w:val="(%2)"/>
      <w:numFmt w:val="lowerRoman"/>
      <w:start w:val="1"/>
    </w:lvl>
  </w:abstractNum>
  <w:abstractNum w:abstractNumId="28">
    <w:nsid w:val="2E22FBB7"/>
    <w:multiLevelType w:val="hybridMultilevel"/>
    <w:lvl w:ilvl="0">
      <w:lvlJc w:val="left"/>
      <w:lvlText w:val="(%1)"/>
      <w:numFmt w:val="lowerRoman"/>
      <w:start w:val="2"/>
    </w:lvl>
  </w:abstractNum>
  <w:abstractNum w:abstractNumId="29">
    <w:nsid w:val="29934699"/>
    <w:multiLevelType w:val="hybridMultilevel"/>
    <w:lvl w:ilvl="0">
      <w:lvlJc w:val="left"/>
      <w:lvlText w:val="(%1)"/>
      <w:numFmt w:val="lowerLetter"/>
      <w:start w:val="1"/>
    </w:lvl>
  </w:abstractNum>
  <w:abstractNum w:abstractNumId="30">
    <w:nsid w:val="77485850"/>
    <w:multiLevelType w:val="hybridMultilevel"/>
    <w:lvl w:ilvl="0">
      <w:lvlJc w:val="left"/>
      <w:lvlText w:val="(%1)"/>
      <w:numFmt w:val="lowerRoman"/>
      <w:start w:val="1"/>
    </w:lvl>
  </w:abstractNum>
  <w:abstractNum w:abstractNumId="31">
    <w:nsid w:val="744939A3"/>
    <w:multiLevelType w:val="hybridMultilevel"/>
    <w:lvl w:ilvl="0">
      <w:lvlJc w:val="left"/>
      <w:lvlText w:val="(%1)"/>
      <w:numFmt w:val="lowerLetter"/>
      <w:start w:val="1"/>
    </w:lvl>
  </w:abstractNum>
  <w:abstractNum w:abstractNumId="32">
    <w:nsid w:val="4FA0D2E3"/>
    <w:multiLevelType w:val="hybridMultilevel"/>
    <w:lvl w:ilvl="0">
      <w:lvlJc w:val="left"/>
      <w:lvlText w:val="(%1)"/>
      <w:numFmt w:val="lowerLetter"/>
      <w:start w:val="3"/>
    </w:lvl>
  </w:abstractNum>
  <w:abstractNum w:abstractNumId="33">
    <w:nsid w:val="6B1D2C14"/>
    <w:multiLevelType w:val="hybridMultilevel"/>
    <w:lvl w:ilvl="0">
      <w:lvlJc w:val="left"/>
      <w:lvlText w:val="(%1)"/>
      <w:numFmt w:val="lowerLetter"/>
      <w:start w:val="4"/>
    </w:lvl>
  </w:abstractNum>
  <w:abstractNum w:abstractNumId="34">
    <w:nsid w:val="68B867D3"/>
    <w:multiLevelType w:val="hybridMultilevel"/>
    <w:lvl w:ilvl="0">
      <w:lvlJc w:val="left"/>
      <w:lvlText w:val="(%1)"/>
      <w:numFmt w:val="lowerLetter"/>
      <w:start w:val="1"/>
    </w:lvl>
  </w:abstractNum>
  <w:abstractNum w:abstractNumId="35">
    <w:nsid w:val="3F7F5DD9"/>
    <w:multiLevelType w:val="hybridMultilevel"/>
    <w:lvl w:ilvl="0">
      <w:lvlJc w:val="left"/>
      <w:lvlText w:val="(%1)"/>
      <w:numFmt w:val="lowerLetter"/>
      <w:start w:val="4"/>
    </w:lvl>
    <w:lvl w:ilvl="1">
      <w:lvlJc w:val="left"/>
      <w:lvlText w:val="(%2)"/>
      <w:numFmt w:val="lowerRoman"/>
      <w:start w:val="1"/>
    </w:lvl>
  </w:abstractNum>
  <w:abstractNum w:abstractNumId="36">
    <w:nsid w:val="2AE05A34"/>
    <w:multiLevelType w:val="hybridMultilevel"/>
    <w:lvl w:ilvl="0">
      <w:lvlJc w:val="left"/>
      <w:lvlText w:val="(%1)"/>
      <w:numFmt w:val="lowerRoman"/>
      <w:start w:val="6"/>
    </w:lvl>
  </w:abstractNum>
  <w:abstractNum w:abstractNumId="37">
    <w:nsid w:val="32794FF7"/>
    <w:multiLevelType w:val="hybridMultilevel"/>
    <w:lvl w:ilvl="0">
      <w:lvlJc w:val="left"/>
      <w:lvlText w:val="(%1)"/>
      <w:numFmt w:val="lowerLetter"/>
      <w:start w:val="1"/>
    </w:lvl>
  </w:abstractNum>
  <w:abstractNum w:abstractNumId="38">
    <w:nsid w:val="5454945E"/>
    <w:multiLevelType w:val="hybridMultilevel"/>
    <w:lvl w:ilvl="0">
      <w:lvlJc w:val="left"/>
      <w:lvlText w:val="(%1)"/>
      <w:numFmt w:val="lowerLetter"/>
      <w:start w:val="5"/>
    </w:lvl>
    <w:lvl w:ilvl="1">
      <w:lvlJc w:val="left"/>
      <w:lvlText w:val="(%2)"/>
      <w:numFmt w:val="lowerRoman"/>
      <w:start w:val="1"/>
    </w:lvl>
  </w:abstractNum>
  <w:abstractNum w:abstractNumId="39">
    <w:nsid w:val="4DEFDFA0"/>
    <w:multiLevelType w:val="hybridMultilevel"/>
    <w:lvl w:ilvl="0">
      <w:lvlJc w:val="left"/>
      <w:lvlText w:val="%1"/>
      <w:numFmt w:val="lowerRoman"/>
      <w:start w:val="1"/>
    </w:lvl>
    <w:lvl w:ilvl="1">
      <w:lvlJc w:val="left"/>
      <w:lvlText w:val="(%2)"/>
      <w:numFmt w:val="upperLetter"/>
      <w:start w:val="1"/>
    </w:lvl>
  </w:abstractNum>
  <w:abstractNum w:abstractNumId="40">
    <w:nsid w:val="2123D5F2"/>
    <w:multiLevelType w:val="hybridMultilevel"/>
    <w:lvl w:ilvl="0">
      <w:lvlJc w:val="left"/>
      <w:lvlText w:val="(%1)"/>
      <w:numFmt w:val="lowerRoman"/>
      <w:start w:val="3"/>
    </w:lvl>
    <w:lvl w:ilvl="1">
      <w:lvlJc w:val="left"/>
      <w:lvlText w:val="%2"/>
      <w:numFmt w:val="upperLetter"/>
      <w:start w:val="1"/>
    </w:lvl>
  </w:abstractNum>
  <w:abstractNum w:abstractNumId="41">
    <w:nsid w:val="135B8110"/>
    <w:multiLevelType w:val="hybridMultilevel"/>
    <w:lvl w:ilvl="0">
      <w:lvlJc w:val="left"/>
      <w:lvlText w:val="%1"/>
      <w:numFmt w:val="lowerLetter"/>
      <w:start w:val="1"/>
    </w:lvl>
    <w:lvl w:ilvl="1">
      <w:lvlJc w:val="left"/>
      <w:lvlText w:val="(%2)"/>
      <w:numFmt w:val="lowerLetter"/>
      <w:start w:val="22"/>
    </w:lvl>
  </w:abstractNum>
  <w:abstractNum w:abstractNumId="42">
    <w:nsid w:val="94927A8"/>
    <w:multiLevelType w:val="hybridMultilevel"/>
    <w:lvl w:ilvl="0">
      <w:lvlJc w:val="left"/>
      <w:lvlText w:val="(%1)"/>
      <w:numFmt w:val="lowerLetter"/>
      <w:start w:val="8"/>
    </w:lvl>
    <w:lvl w:ilvl="1">
      <w:lvlJc w:val="left"/>
      <w:lvlText w:val="%2"/>
      <w:numFmt w:val="lowerLetter"/>
      <w:start w:val="1"/>
    </w:lvl>
  </w:abstractNum>
  <w:abstractNum w:abstractNumId="43">
    <w:nsid w:val="DCDF8F6"/>
    <w:multiLevelType w:val="hybridMultilevel"/>
    <w:lvl w:ilvl="0">
      <w:lvlJc w:val="left"/>
      <w:lvlText w:val="(%1)"/>
      <w:numFmt w:val="lowerLetter"/>
      <w:start w:val="12"/>
    </w:lvl>
  </w:abstractNum>
  <w:abstractNum w:abstractNumId="44">
    <w:nsid w:val="52D7B105"/>
    <w:multiLevelType w:val="hybridMultilevel"/>
    <w:lvl w:ilvl="0">
      <w:lvlJc w:val="left"/>
      <w:lvlText w:val="(%1)"/>
      <w:numFmt w:val="lowerRoman"/>
      <w:start w:val="7"/>
    </w:lvl>
  </w:abstractNum>
  <w:abstractNum w:abstractNumId="45">
    <w:nsid w:val="2E8A6394"/>
    <w:multiLevelType w:val="hybridMultilevel"/>
    <w:lvl w:ilvl="0">
      <w:lvlJc w:val="left"/>
      <w:lvlText w:val="(%1)"/>
      <w:numFmt w:val="lowerLetter"/>
      <w:start w:val="1"/>
    </w:lvl>
  </w:abstractNum>
  <w:abstractNum w:abstractNumId="46">
    <w:nsid w:val="24E60401"/>
    <w:multiLevelType w:val="hybridMultilevel"/>
    <w:lvl w:ilvl="0">
      <w:lvlJc w:val="left"/>
      <w:lvlText w:val="%1"/>
      <w:numFmt w:val="lowerLetter"/>
      <w:start w:val="1"/>
    </w:lvl>
    <w:lvl w:ilvl="1">
      <w:lvlJc w:val="left"/>
      <w:lvlText w:val="(%2)"/>
      <w:numFmt w:val="lowerLetter"/>
      <w:start w:val="1"/>
    </w:lvl>
  </w:abstractNum>
  <w:abstractNum w:abstractNumId="47">
    <w:nsid w:val="2A6AD9BE"/>
    <w:multiLevelType w:val="hybridMultilevel"/>
    <w:lvl w:ilvl="0">
      <w:lvlJc w:val="left"/>
      <w:lvlText w:val="(%1)"/>
      <w:numFmt w:val="lowerLetter"/>
      <w:start w:val="9"/>
    </w:lvl>
    <w:lvl w:ilvl="1">
      <w:lvlJc w:val="left"/>
      <w:lvlText w:val="(%2)"/>
      <w:numFmt w:val="lowerLetter"/>
      <w:start w:val="2"/>
    </w:lvl>
  </w:abstractNum>
  <w:abstractNum w:abstractNumId="48">
    <w:nsid w:val="BAAC1B4"/>
    <w:multiLevelType w:val="hybridMultilevel"/>
    <w:lvl w:ilvl="0">
      <w:lvlJc w:val="left"/>
      <w:lvlText w:val="(%1)"/>
      <w:numFmt w:val="lowerLetter"/>
      <w:start w:val="3"/>
    </w:lvl>
    <w:lvl w:ilvl="1">
      <w:lvlJc w:val="left"/>
      <w:lvlText w:val="(%2)"/>
      <w:numFmt w:val="lowerRoman"/>
      <w:start w:val="1"/>
    </w:lvl>
  </w:abstractNum>
  <w:abstractNum w:abstractNumId="49">
    <w:nsid w:val="36B2ACBC"/>
    <w:multiLevelType w:val="hybridMultilevel"/>
    <w:lvl w:ilvl="0">
      <w:lvlJc w:val="left"/>
      <w:lvlText w:val="(%1)"/>
      <w:numFmt w:val="lowerLetter"/>
      <w:start w:val="1"/>
    </w:lvl>
  </w:abstractNum>
  <w:abstractNum w:abstractNumId="50">
    <w:nsid w:val="779D8544"/>
    <w:multiLevelType w:val="hybridMultilevel"/>
    <w:lvl w:ilvl="0">
      <w:lvlJc w:val="left"/>
      <w:lvlText w:val="(%1)"/>
      <w:numFmt w:val="lowerLetter"/>
      <w:start w:val="2"/>
    </w:lvl>
  </w:abstractNum>
  <w:abstractNum w:abstractNumId="51">
    <w:nsid w:val="4AB26E78"/>
    <w:multiLevelType w:val="hybridMultilevel"/>
    <w:lvl w:ilvl="0">
      <w:lvlJc w:val="left"/>
      <w:lvlText w:val="(%1)"/>
      <w:numFmt w:val="lowerLetter"/>
      <w:start w:val="1"/>
    </w:lvl>
  </w:abstractNum>
  <w:abstractNum w:abstractNumId="52">
    <w:nsid w:val="21FAA2FA"/>
    <w:multiLevelType w:val="hybridMultilevel"/>
    <w:lvl w:ilvl="0">
      <w:lvlJc w:val="left"/>
      <w:lvlText w:val="(%1)"/>
      <w:numFmt w:val="lowerRoman"/>
      <w:start w:val="2"/>
    </w:lvl>
  </w:abstractNum>
  <w:abstractNum w:abstractNumId="53">
    <w:nsid w:val="5451CF49"/>
    <w:multiLevelType w:val="hybridMultilevel"/>
    <w:lvl w:ilvl="0">
      <w:lvlJc w:val="left"/>
      <w:lvlText w:val="(%1)"/>
      <w:numFmt w:val="lowerLetter"/>
      <w:start w:val="1"/>
    </w:lvl>
    <w:lvl w:ilvl="1">
      <w:lvlJc w:val="left"/>
      <w:lvlText w:val="(%2)"/>
      <w:numFmt w:val="lowerRoman"/>
      <w:start w:val="1"/>
    </w:lvl>
  </w:abstractNum>
  <w:abstractNum w:abstractNumId="54">
    <w:nsid w:val="6181EF69"/>
    <w:multiLevelType w:val="hybridMultilevel"/>
    <w:lvl w:ilvl="0">
      <w:lvlJc w:val="left"/>
      <w:lvlText w:val="%1"/>
      <w:numFmt w:val="upperLetter"/>
      <w:start w:val="1"/>
    </w:lvl>
    <w:lvl w:ilvl="1">
      <w:lvlJc w:val="left"/>
      <w:lvlText w:val="(%2)"/>
      <w:numFmt w:val="lowerRoman"/>
      <w:start w:val="7"/>
    </w:lvl>
  </w:abstractNum>
  <w:abstractNum w:abstractNumId="55">
    <w:nsid w:val="3E6400E6"/>
    <w:multiLevelType w:val="hybridMultilevel"/>
    <w:lvl w:ilvl="0">
      <w:lvlJc w:val="left"/>
      <w:lvlText w:val="(%1)"/>
      <w:numFmt w:val="upperLetter"/>
      <w:start w:val="1"/>
    </w:lvl>
    <w:lvl w:ilvl="1">
      <w:lvlJc w:val="left"/>
      <w:lvlText w:val="(%2)"/>
      <w:numFmt w:val="lowerRoman"/>
      <w:start w:val="8"/>
    </w:lvl>
  </w:abstractNum>
  <w:abstractNum w:abstractNumId="56">
    <w:nsid w:val="14217E23"/>
    <w:multiLevelType w:val="hybridMultilevel"/>
    <w:lvl w:ilvl="0">
      <w:lvlJc w:val="left"/>
      <w:lvlText w:val="%1"/>
      <w:numFmt w:val="lowerLetter"/>
      <w:start w:val="1"/>
    </w:lvl>
    <w:lvl w:ilvl="1">
      <w:lvlJc w:val="left"/>
      <w:lvlText w:val="(%2)"/>
      <w:numFmt w:val="lowerRoman"/>
      <w:start w:val="12"/>
    </w:lvl>
  </w:abstractNum>
  <w:abstractNum w:abstractNumId="57">
    <w:nsid w:val="710757D0"/>
    <w:multiLevelType w:val="hybridMultilevel"/>
    <w:lvl w:ilvl="0">
      <w:lvlJc w:val="left"/>
      <w:lvlText w:val="(%1)"/>
      <w:numFmt w:val="lowerLetter"/>
      <w:start w:val="2"/>
    </w:lvl>
    <w:lvl w:ilvl="1">
      <w:lvlJc w:val="left"/>
      <w:lvlText w:val="%2"/>
      <w:numFmt w:val="lowerRoman"/>
      <w:start w:val="1"/>
    </w:lvl>
  </w:abstractNum>
  <w:abstractNum w:abstractNumId="58">
    <w:nsid w:val="5015CD1A"/>
    <w:multiLevelType w:val="hybridMultilevel"/>
    <w:lvl w:ilvl="0">
      <w:lvlJc w:val="left"/>
      <w:lvlText w:val="(%1)"/>
      <w:numFmt w:val="lowerLetter"/>
      <w:start w:val="1"/>
    </w:lvl>
  </w:abstractNum>
  <w:abstractNum w:abstractNumId="59">
    <w:nsid w:val="424479DA"/>
    <w:multiLevelType w:val="hybridMultilevel"/>
    <w:lvl w:ilvl="0">
      <w:lvlJc w:val="left"/>
      <w:lvlText w:val="(%1)"/>
      <w:numFmt w:val="lowerLetter"/>
      <w:start w:val="2"/>
    </w:lvl>
  </w:abstractNum>
  <w:abstractNum w:abstractNumId="60">
    <w:nsid w:val="1A9A9E69"/>
    <w:multiLevelType w:val="hybridMultilevel"/>
    <w:lvl w:ilvl="0">
      <w:lvlJc w:val="left"/>
      <w:lvlText w:val="(%1)"/>
      <w:numFmt w:val="upperLetter"/>
      <w:start w:val="2"/>
    </w:lvl>
  </w:abstractNum>
  <w:abstractNum w:abstractNumId="61">
    <w:nsid w:val="475E256A"/>
    <w:multiLevelType w:val="hybridMultilevel"/>
    <w:lvl w:ilvl="0">
      <w:lvlJc w:val="left"/>
      <w:lvlText w:val="(%1)"/>
      <w:numFmt w:val="lowerLetter"/>
      <w:start w:val="1"/>
    </w:lvl>
  </w:abstractNum>
  <w:abstractNum w:abstractNumId="62">
    <w:nsid w:val="368DB37E"/>
    <w:multiLevelType w:val="hybridMultilevel"/>
    <w:lvl w:ilvl="0">
      <w:lvlJc w:val="left"/>
      <w:lvlText w:val="(%1)"/>
      <w:numFmt w:val="lowerLetter"/>
      <w:start w:val="2"/>
    </w:lvl>
  </w:abstractNum>
  <w:abstractNum w:abstractNumId="63">
    <w:nsid w:val="6A3B714C"/>
    <w:multiLevelType w:val="hybridMultilevel"/>
    <w:lvl w:ilvl="0">
      <w:lvlJc w:val="left"/>
      <w:lvlText w:val="(%1)"/>
      <w:numFmt w:val="lowerLetter"/>
      <w:start w:val="5"/>
    </w:lvl>
  </w:abstractNum>
  <w:abstractNum w:abstractNumId="64">
    <w:nsid w:val="327B517E"/>
    <w:multiLevelType w:val="hybridMultilevel"/>
    <w:lvl w:ilvl="0">
      <w:lvlJc w:val="left"/>
      <w:lvlText w:val="%1"/>
      <w:numFmt w:val="upperLetter"/>
      <w:start w:val="1"/>
    </w:lvl>
    <w:lvl w:ilvl="1">
      <w:lvlJc w:val="left"/>
      <w:lvlText w:val="(%2)"/>
      <w:numFmt w:val="lowerLetter"/>
      <w:start w:val="11"/>
    </w:lvl>
  </w:abstractNum>
  <w:abstractNum w:abstractNumId="65">
    <w:nsid w:val="1F461B51"/>
    <w:multiLevelType w:val="hybridMultilevel"/>
    <w:lvl w:ilvl="0">
      <w:lvlJc w:val="left"/>
      <w:lvlText w:val="(%1)"/>
      <w:numFmt w:val="upperLetter"/>
      <w:start w:val="1"/>
    </w:lvl>
    <w:lvl w:ilvl="1">
      <w:lvlJc w:val="left"/>
      <w:lvlText w:val="(%2)"/>
      <w:numFmt w:val="lowerLetter"/>
      <w:start w:val="12"/>
    </w:lvl>
  </w:abstractNum>
  <w:abstractNum w:abstractNumId="66">
    <w:nsid w:val="29BACF25"/>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abstractNum>
  <w:abstractNum w:abstractNumId="67">
    <w:nsid w:val="5D5BABB3"/>
    <w:multiLevelType w:val="hybridMultilevel"/>
    <w:lvl w:ilvl="0">
      <w:lvlJc w:val="left"/>
      <w:lvlText w:val="(%1)"/>
      <w:numFmt w:val="lowerLetter"/>
      <w:start w:val="17"/>
    </w:lvl>
    <w:lvl w:ilvl="1">
      <w:lvlJc w:val="left"/>
      <w:lvlText w:val="(%2)"/>
      <w:numFmt w:val="lowerLetter"/>
      <w:start w:val="9"/>
    </w:lvl>
    <w:lvl w:ilvl="2">
      <w:lvlJc w:val="left"/>
      <w:lvlText w:val="%3"/>
      <w:numFmt w:val="lowerRoman"/>
      <w:start w:val="1"/>
    </w:lvl>
  </w:abstractNum>
  <w:abstractNum w:abstractNumId="68">
    <w:nsid w:val="51BF6B48"/>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abstractNum>
  <w:abstractNum w:abstractNumId="69">
    <w:nsid w:val="7E0F6384"/>
    <w:multiLevelType w:val="hybridMultilevel"/>
    <w:lvl w:ilvl="0">
      <w:lvlJc w:val="left"/>
      <w:lvlText w:val="%1"/>
      <w:numFmt w:val="lowerLetter"/>
      <w:start w:val="1"/>
    </w:lvl>
    <w:lvl w:ilvl="1">
      <w:lvlJc w:val="left"/>
      <w:lvlText w:val="(%2)"/>
      <w:numFmt w:val="lowerLetter"/>
      <w:start w:val="61"/>
    </w:lvl>
    <w:lvl w:ilvl="2">
      <w:lvlJc w:val="left"/>
      <w:lvlText w:val="%3"/>
      <w:numFmt w:val="lowerRoman"/>
      <w:start w:val="1"/>
    </w:lvl>
  </w:abstractNum>
  <w:abstractNum w:abstractNumId="70">
    <w:nsid w:val="2B4B8B53"/>
    <w:multiLevelType w:val="hybridMultilevel"/>
    <w:lvl w:ilvl="0">
      <w:lvlJc w:val="left"/>
      <w:lvlText w:val="(%1)"/>
      <w:numFmt w:val="lowerLetter"/>
      <w:start w:val="18"/>
    </w:lvl>
    <w:lvl w:ilvl="1">
      <w:lvlJc w:val="left"/>
      <w:lvlText w:val="(%2)"/>
      <w:numFmt w:val="lowerRoman"/>
      <w:start w:val="1"/>
    </w:lvl>
  </w:abstractNum>
  <w:abstractNum w:abstractNumId="71">
    <w:nsid w:val="72E3413A"/>
    <w:multiLevelType w:val="hybridMultilevel"/>
    <w:lvl w:ilvl="0">
      <w:lvlJc w:val="left"/>
      <w:lvlText w:val="%1"/>
      <w:numFmt w:val="upperLetter"/>
      <w:start w:val="1"/>
    </w:lvl>
    <w:lvl w:ilvl="1">
      <w:lvlJc w:val="left"/>
      <w:lvlText w:val="(%2)"/>
      <w:numFmt w:val="lowerLetter"/>
      <w:start w:val="24"/>
    </w:lvl>
  </w:abstractNum>
  <w:abstractNum w:abstractNumId="72">
    <w:nsid w:val="116AE494"/>
    <w:multiLevelType w:val="hybridMultilevel"/>
    <w:lvl w:ilvl="0">
      <w:lvlJc w:val="left"/>
      <w:lvlText w:val="(%1)"/>
      <w:numFmt w:val="upperLetter"/>
      <w:start w:val="1"/>
    </w:lvl>
    <w:lvl w:ilvl="1">
      <w:lvlJc w:val="left"/>
      <w:lvlText w:val="(%2)"/>
      <w:numFmt w:val="lowerLetter"/>
      <w:start w:val="25"/>
    </w:lvl>
  </w:abstractNum>
  <w:abstractNum w:abstractNumId="73">
    <w:nsid w:val="3494B2FB"/>
    <w:multiLevelType w:val="hybridMultilevel"/>
    <w:lvl w:ilvl="0">
      <w:lvlJc w:val="left"/>
      <w:lvlText w:val="(%1)"/>
      <w:numFmt w:val="lowerLetter"/>
      <w:start w:val="27"/>
    </w:lvl>
    <w:lvl w:ilvl="1">
      <w:lvlJc w:val="left"/>
      <w:lvlText w:val="(%2)"/>
      <w:numFmt w:val="lowerRoman"/>
      <w:start w:val="1"/>
    </w:lvl>
  </w:abstractNum>
  <w:abstractNum w:abstractNumId="74">
    <w:nsid w:val="B13A31"/>
    <w:multiLevelType w:val="hybridMultilevel"/>
    <w:lvl w:ilvl="0">
      <w:lvlJc w:val="left"/>
      <w:lvlText w:val="(%1)"/>
      <w:numFmt w:val="lowerLetter"/>
      <w:start w:val="29"/>
    </w:lvl>
  </w:abstractNum>
  <w:abstractNum w:abstractNumId="75">
    <w:nsid w:val="64429599"/>
    <w:multiLevelType w:val="hybridMultilevel"/>
    <w:lvl w:ilvl="0">
      <w:lvlJc w:val="left"/>
      <w:lvlText w:val="(%1)"/>
      <w:numFmt w:val="lowerLetter"/>
      <w:start w:val="1"/>
    </w:lvl>
  </w:abstractNum>
  <w:abstractNum w:abstractNumId="76">
    <w:nsid w:val="631F1690"/>
    <w:multiLevelType w:val="hybridMultilevel"/>
    <w:lvl w:ilvl="0">
      <w:lvlJc w:val="left"/>
      <w:lvlText w:val="(%1)"/>
      <w:numFmt w:val="lowerLetter"/>
      <w:start w:val="6"/>
    </w:lvl>
    <w:lvl w:ilvl="1">
      <w:lvlJc w:val="left"/>
      <w:lvlText w:val="(%2)"/>
      <w:numFmt w:val="lowerLetter"/>
      <w:start w:val="9"/>
    </w:lvl>
  </w:abstractNum>
  <w:abstractNum w:abstractNumId="77">
    <w:nsid w:val="25973E32"/>
    <w:multiLevelType w:val="hybridMultilevel"/>
    <w:lvl w:ilvl="0">
      <w:lvlJc w:val="left"/>
      <w:lvlText w:val="(%1)"/>
      <w:numFmt w:val="lowerRoman"/>
      <w:start w:val="2"/>
    </w:lvl>
  </w:abstractNum>
  <w:abstractNum w:abstractNumId="78">
    <w:nsid w:val="EAD6F57"/>
    <w:multiLevelType w:val="hybridMultilevel"/>
    <w:lvl w:ilvl="0">
      <w:lvlJc w:val="left"/>
      <w:lvlText w:val="%1"/>
      <w:numFmt w:val="lowerLetter"/>
      <w:start w:val="1"/>
    </w:lvl>
    <w:lvl w:ilvl="1">
      <w:lvlJc w:val="left"/>
      <w:lvlText w:val="(%2)"/>
      <w:numFmt w:val="lowerLetter"/>
      <w:start w:val="22"/>
    </w:lvl>
    <w:lvl w:ilvl="2">
      <w:lvlJc w:val="left"/>
      <w:lvlText w:val="%3"/>
      <w:numFmt w:val="lowerLetter"/>
      <w:start w:val="1"/>
    </w:lvl>
  </w:abstractNum>
  <w:abstractNum w:abstractNumId="79">
    <w:nsid w:val="6EC9D844"/>
    <w:multiLevelType w:val="hybridMultilevel"/>
    <w:lvl w:ilvl="0">
      <w:lvlJc w:val="left"/>
      <w:lvlText w:val="(%1)"/>
      <w:numFmt w:val="lowerLetter"/>
      <w:start w:val="11"/>
    </w:lvl>
    <w:lvl w:ilvl="1">
      <w:lvlJc w:val="left"/>
      <w:lvlText w:val="(%2)"/>
      <w:numFmt w:val="lowerLetter"/>
      <w:start w:val="9"/>
    </w:lvl>
    <w:lvl w:ilvl="2">
      <w:lvlJc w:val="left"/>
      <w:lvlText w:val="%3"/>
      <w:numFmt w:val="lowerLetter"/>
      <w:start w:val="1"/>
    </w:lvl>
  </w:abstractNum>
  <w:abstractNum w:abstractNumId="80">
    <w:nsid w:val="5C49EAEE"/>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81">
    <w:nsid w:val="64AF49B"/>
    <w:multiLevelType w:val="hybridMultilevel"/>
    <w:lvl w:ilvl="0">
      <w:lvlJc w:val="left"/>
      <w:lvlText w:val="(%1)"/>
      <w:numFmt w:val="lowerLetter"/>
      <w:start w:val="12"/>
    </w:lvl>
    <w:lvl w:ilvl="1">
      <w:lvlJc w:val="left"/>
      <w:lvlText w:val="%2"/>
      <w:numFmt w:val="lowerLetter"/>
      <w:start w:val="1"/>
    </w:lvl>
    <w:lvl w:ilvl="2">
      <w:lvlJc w:val="left"/>
      <w:lvlText w:val="%3"/>
      <w:numFmt w:val="lowerLetter"/>
      <w:start w:val="1"/>
    </w:lvl>
  </w:abstractNum>
  <w:abstractNum w:abstractNumId="82">
    <w:nsid w:val="397C46BC"/>
    <w:multiLevelType w:val="hybridMultilevel"/>
    <w:lvl w:ilvl="0">
      <w:lvlJc w:val="left"/>
      <w:lvlText w:val="(%1)"/>
      <w:numFmt w:val="lowerLetter"/>
      <w:start w:val="15"/>
    </w:lvl>
  </w:abstractNum>
  <w:abstractNum w:abstractNumId="83">
    <w:nsid w:val="7E448DE9"/>
    <w:multiLevelType w:val="hybridMultilevel"/>
    <w:lvl w:ilvl="0">
      <w:lvlJc w:val="left"/>
      <w:lvlText w:val="(%1)"/>
      <w:numFmt w:val="lowerLetter"/>
      <w:start w:val="1"/>
    </w:lvl>
    <w:lvl w:ilvl="1">
      <w:lvlJc w:val="left"/>
      <w:lvlText w:val="(%2)"/>
      <w:numFmt w:val="lowerRoman"/>
      <w:start w:val="1"/>
    </w:lvl>
  </w:abstractNum>
  <w:abstractNum w:abstractNumId="84">
    <w:nsid w:val="5A9CC3E5"/>
    <w:multiLevelType w:val="hybridMultilevel"/>
    <w:lvl w:ilvl="0">
      <w:lvlJc w:val="left"/>
      <w:lvlText w:val="%1"/>
      <w:numFmt w:val="lowerLetter"/>
      <w:start w:val="1"/>
    </w:lvl>
    <w:lvl w:ilvl="1">
      <w:lvlJc w:val="left"/>
      <w:lvlText w:val="(%2)"/>
      <w:numFmt w:val="lowerRoman"/>
      <w:start w:val="7"/>
    </w:lvl>
  </w:abstractNum>
  <w:abstractNum w:abstractNumId="85">
    <w:nsid w:val="1AFE3625"/>
    <w:multiLevelType w:val="hybridMultilevel"/>
    <w:lvl w:ilvl="0">
      <w:lvlJc w:val="left"/>
      <w:lvlText w:val="(%1)"/>
      <w:numFmt w:val="lowerLetter"/>
      <w:start w:val="2"/>
    </w:lvl>
    <w:lvl w:ilvl="1">
      <w:lvlJc w:val="left"/>
      <w:lvlText w:val="%2"/>
      <w:numFmt w:val="lowerRoman"/>
      <w:start w:val="1"/>
    </w:lvl>
  </w:abstractNum>
  <w:abstractNum w:abstractNumId="86">
    <w:nsid w:val="3CA88ECF"/>
    <w:multiLevelType w:val="hybridMultilevel"/>
    <w:lvl w:ilvl="0">
      <w:lvlJc w:val="left"/>
      <w:lvlText w:val="(%1)"/>
      <w:numFmt w:val="lowerLetter"/>
      <w:start w:val="5"/>
    </w:lvl>
  </w:abstractNum>
  <w:abstractNum w:abstractNumId="87">
    <w:nsid w:val="6EBE4208"/>
    <w:multiLevelType w:val="hybridMultilevel"/>
    <w:lvl w:ilvl="0">
      <w:lvlJc w:val="left"/>
      <w:lvlText w:val="(%1)"/>
      <w:numFmt w:val="lowerLetter"/>
      <w:start w:val="8"/>
    </w:lvl>
  </w:abstractNum>
  <w:abstractNum w:abstractNumId="88">
    <w:nsid w:val="C058DF5"/>
    <w:multiLevelType w:val="hybridMultilevel"/>
    <w:lvl w:ilvl="0">
      <w:lvlJc w:val="left"/>
      <w:lvlText w:val="(%1)"/>
      <w:numFmt w:val="lowerLetter"/>
      <w:start w:val="15"/>
    </w:lvl>
  </w:abstractNum>
  <w:abstractNum w:abstractNumId="89">
    <w:nsid w:val="CBE5BE9"/>
    <w:multiLevelType w:val="hybridMultilevel"/>
    <w:lvl w:ilvl="0">
      <w:lvlJc w:val="left"/>
      <w:lvlText w:val="(%1)"/>
      <w:numFmt w:val="lowerLetter"/>
      <w:start w:val="1"/>
    </w:lvl>
  </w:abstractNum>
  <w:abstractNum w:abstractNumId="90">
    <w:nsid w:val="3102BBE2"/>
    <w:multiLevelType w:val="hybridMultilevel"/>
    <w:lvl w:ilvl="0">
      <w:lvlJc w:val="left"/>
      <w:lvlText w:val="(%1)"/>
      <w:numFmt w:val="lowerLetter"/>
      <w:start w:val="35"/>
    </w:lvl>
    <w:lvl w:ilvl="1">
      <w:lvlJc w:val="left"/>
      <w:lvlText w:val="(%2)"/>
      <w:numFmt w:val="lowerLetter"/>
      <w:start w:val="3"/>
    </w:lvl>
  </w:abstractNum>
  <w:abstractNum w:abstractNumId="91">
    <w:nsid w:val="26A02C5E"/>
    <w:multiLevelType w:val="hybridMultilevel"/>
    <w:lvl w:ilvl="0">
      <w:lvlJc w:val="left"/>
      <w:lvlText w:val="(%1)"/>
      <w:numFmt w:val="lowerLetter"/>
      <w:start w:val="6"/>
    </w:lvl>
  </w:abstractNum>
  <w:abstractNum w:abstractNumId="92">
    <w:nsid w:val="541C8153"/>
    <w:multiLevelType w:val="hybridMultilevel"/>
    <w:lvl w:ilvl="0">
      <w:lvlJc w:val="left"/>
      <w:lvlText w:val="(%1)"/>
      <w:numFmt w:val="lowerLetter"/>
      <w:start w:val="11"/>
    </w:lvl>
  </w:abstractNum>
  <w:abstractNum w:abstractNumId="93">
    <w:nsid w:val="67906F60"/>
    <w:multiLevelType w:val="hybridMultilevel"/>
    <w:lvl w:ilvl="0">
      <w:lvlJc w:val="left"/>
      <w:lvlText w:val="(%1)"/>
      <w:numFmt w:val="lowerLetter"/>
      <w:start w:val="15"/>
    </w:lvl>
  </w:abstractNum>
  <w:abstractNum w:abstractNumId="94">
    <w:nsid w:val="10DB9DAA"/>
    <w:multiLevelType w:val="hybridMultilevel"/>
    <w:lvl w:ilvl="0">
      <w:lvlJc w:val="left"/>
      <w:lvlText w:val="(%1)"/>
      <w:numFmt w:val="lowerLetter"/>
      <w:start w:val="1"/>
    </w:lvl>
    <w:lvl w:ilvl="1">
      <w:lvlJc w:val="left"/>
      <w:lvlText w:val="(%2)"/>
      <w:numFmt w:val="lowerRoman"/>
      <w:start w:val="1"/>
    </w:lvl>
  </w:abstractNum>
  <w:abstractNum w:abstractNumId="95">
    <w:nsid w:val="697D2D2"/>
    <w:multiLevelType w:val="hybridMultilevel"/>
    <w:lvl w:ilvl="0">
      <w:lvlJc w:val="left"/>
      <w:lvlText w:val="(%1)"/>
      <w:numFmt w:val="lowerRoman"/>
      <w:start w:val="2"/>
    </w:lvl>
  </w:abstractNum>
  <w:abstractNum w:abstractNumId="96">
    <w:nsid w:val="6D68AB2"/>
    <w:multiLevelType w:val="hybridMultilevel"/>
    <w:lvl w:ilvl="0">
      <w:lvlJc w:val="left"/>
      <w:lvlText w:val="(%1)"/>
      <w:numFmt w:val="lowerLetter"/>
      <w:start w:val="1"/>
    </w:lvl>
  </w:abstractNum>
  <w:abstractNum w:abstractNumId="97">
    <w:nsid w:val="3A966CD0"/>
    <w:multiLevelType w:val="hybridMultilevel"/>
    <w:lvl w:ilvl="0">
      <w:lvlJc w:val="left"/>
      <w:lvlText w:val="(%1)"/>
      <w:numFmt w:val="lowerLetter"/>
      <w:start w:val="6"/>
    </w:lvl>
  </w:abstractNum>
  <w:abstractNum w:abstractNumId="98">
    <w:nsid w:val="63F37E85"/>
    <w:multiLevelType w:val="hybridMultilevel"/>
    <w:lvl w:ilvl="0">
      <w:lvlJc w:val="left"/>
      <w:lvlText w:val="(%1)"/>
      <w:numFmt w:val="lowerLetter"/>
      <w:start w:val="11"/>
    </w:lvl>
    <w:lvl w:ilvl="1">
      <w:lvlJc w:val="left"/>
      <w:lvlText w:val="(%2)"/>
      <w:numFmt w:val="lowerRoman"/>
      <w:start w:val="1"/>
    </w:lvl>
  </w:abstractNum>
  <w:abstractNum w:abstractNumId="99">
    <w:nsid w:val="5895F5FA"/>
    <w:multiLevelType w:val="hybridMultilevel"/>
    <w:lvl w:ilvl="0">
      <w:lvlJc w:val="left"/>
      <w:lvlText w:val="(%1)"/>
      <w:numFmt w:val="lowerLetter"/>
      <w:start w:val="1"/>
    </w:lvl>
  </w:abstractNum>
  <w:abstractNum w:abstractNumId="100">
    <w:nsid w:val="38A5D054"/>
    <w:multiLevelType w:val="hybridMultilevel"/>
    <w:lvl w:ilvl="0">
      <w:lvlJc w:val="left"/>
      <w:lvlText w:val="(%1)"/>
      <w:numFmt w:val="lowerLetter"/>
      <w:start w:val="2"/>
    </w:lvl>
  </w:abstractNum>
  <w:abstractNum w:abstractNumId="101">
    <w:nsid w:val="F3F09D8"/>
    <w:multiLevelType w:val="hybridMultilevel"/>
    <w:lvl w:ilvl="0">
      <w:lvlJc w:val="left"/>
      <w:lvlText w:val="(%1)"/>
      <w:numFmt w:val="lowerLetter"/>
      <w:start w:val="1"/>
    </w:lvl>
  </w:abstractNum>
  <w:abstractNum w:abstractNumId="102">
    <w:nsid w:val="4B793735"/>
    <w:multiLevelType w:val="hybridMultilevel"/>
    <w:lvl w:ilvl="0">
      <w:lvlJc w:val="left"/>
      <w:lvlText w:val="(%1)"/>
      <w:numFmt w:val="lowerLetter"/>
      <w:start w:val="5"/>
    </w:lvl>
  </w:abstractNum>
  <w:abstractNum w:abstractNumId="103">
    <w:nsid w:val="4A10B4E8"/>
    <w:multiLevelType w:val="hybridMultilevel"/>
    <w:lvl w:ilvl="0">
      <w:lvlJc w:val="left"/>
      <w:lvlText w:val="(%1)"/>
      <w:numFmt w:val="lowerLetter"/>
      <w:start w:val="1"/>
    </w:lvl>
  </w:abstractNum>
  <w:abstractNum w:abstractNumId="104">
    <w:nsid w:val="43D3BCD4"/>
    <w:multiLevelType w:val="hybridMultilevel"/>
    <w:lvl w:ilvl="0">
      <w:lvlJc w:val="left"/>
      <w:lvlText w:val="(%1)"/>
      <w:numFmt w:val="lowerLetter"/>
      <w:start w:val="5"/>
    </w:lvl>
  </w:abstractNum>
  <w:abstractNum w:abstractNumId="105">
    <w:nsid w:val="4C2A7166"/>
    <w:multiLevelType w:val="hybridMultilevel"/>
    <w:lvl w:ilvl="0">
      <w:lvlJc w:val="left"/>
      <w:lvlText w:val="(%1)"/>
      <w:numFmt w:val="lowerLetter"/>
      <w:start w:val="1"/>
    </w:lvl>
  </w:abstractNum>
  <w:abstractNum w:abstractNumId="106">
    <w:nsid w:val="2E534A82"/>
    <w:multiLevelType w:val="hybridMultilevel"/>
    <w:lvl w:ilvl="0">
      <w:lvlJc w:val="left"/>
      <w:lvlText w:val="(%1)"/>
      <w:numFmt w:val="lowerLetter"/>
      <w:start w:val="1"/>
    </w:lvl>
  </w:abstractNum>
  <w:abstractNum w:abstractNumId="107">
    <w:nsid w:val="26F2D364"/>
    <w:multiLevelType w:val="hybridMultilevel"/>
    <w:lvl w:ilvl="0">
      <w:lvlJc w:val="left"/>
      <w:lvlText w:val="(%1)"/>
      <w:numFmt w:val="lowerLetter"/>
      <w:start w:val="1"/>
    </w:lvl>
  </w:abstractNum>
  <w:abstractNum w:abstractNumId="108">
    <w:nsid w:val="71C1AF98"/>
    <w:multiLevelType w:val="hybridMultilevel"/>
    <w:lvl w:ilvl="0">
      <w:lvlJc w:val="left"/>
      <w:lvlText w:val="(%1)"/>
      <w:numFmt w:val="lowerLetter"/>
      <w:start w:val="1"/>
    </w:lvl>
  </w:abstractNum>
  <w:abstractNum w:abstractNumId="109">
    <w:nsid w:val="3D00B9D9"/>
    <w:multiLevelType w:val="hybridMultilevel"/>
    <w:lvl w:ilvl="0">
      <w:lvlJc w:val="left"/>
      <w:lvlText w:val="(%1)"/>
      <w:numFmt w:val="lowerLetter"/>
      <w:start w:val="1"/>
    </w:lvl>
  </w:abstractNum>
  <w:abstractNum w:abstractNumId="110">
    <w:nsid w:val="15BCABA8"/>
    <w:multiLevelType w:val="hybridMultilevel"/>
    <w:lvl w:ilvl="0">
      <w:lvlJc w:val="left"/>
      <w:lvlText w:val="(%1)"/>
      <w:numFmt w:val="lowerLetter"/>
      <w:start w:val="1"/>
    </w:lvl>
    <w:lvl w:ilvl="1">
      <w:lvlJc w:val="left"/>
      <w:lvlText w:val="(%2)"/>
      <w:numFmt w:val="lowerRoman"/>
      <w:start w:val="1"/>
    </w:lvl>
  </w:abstractNum>
  <w:abstractNum w:abstractNumId="111">
    <w:nsid w:val="4E0B9A87"/>
    <w:multiLevelType w:val="hybridMultilevel"/>
    <w:lvl w:ilvl="0">
      <w:lvlJc w:val="left"/>
      <w:lvlText w:val="(%1)"/>
      <w:numFmt w:val="lowerLetter"/>
      <w:start w:val="2"/>
    </w:lvl>
    <w:lvl w:ilvl="1">
      <w:lvlJc w:val="left"/>
      <w:lvlText w:val="(%2)"/>
      <w:numFmt w:val="lowerRoman"/>
      <w:start w:val="1"/>
    </w:lvl>
  </w:abstractNum>
  <w:abstractNum w:abstractNumId="112">
    <w:nsid w:val="434BAE75"/>
    <w:multiLevelType w:val="hybridMultilevel"/>
    <w:lvl w:ilvl="0">
      <w:lvlJc w:val="left"/>
      <w:lvlText w:val="(%1)"/>
      <w:numFmt w:val="lowerLetter"/>
      <w:start w:val="1"/>
    </w:lvl>
    <w:lvl w:ilvl="1">
      <w:lvlJc w:val="left"/>
      <w:lvlText w:val="(%2)"/>
      <w:numFmt w:val="lowerRoman"/>
      <w:start w:val="1"/>
    </w:lvl>
  </w:abstractNum>
  <w:abstractNum w:abstractNumId="113">
    <w:nsid w:val="4F38F265"/>
    <w:multiLevelType w:val="hybridMultilevel"/>
    <w:lvl w:ilvl="0">
      <w:lvlJc w:val="left"/>
      <w:lvlText w:val="(%1)"/>
      <w:numFmt w:val="lowerLetter"/>
      <w:start w:val="35"/>
    </w:lvl>
    <w:lvl w:ilvl="1">
      <w:lvlJc w:val="left"/>
      <w:lvlText w:val="(%2)"/>
      <w:numFmt w:val="lowerLetter"/>
      <w:start w:val="5"/>
    </w:lvl>
  </w:abstractNum>
  <w:abstractNum w:abstractNumId="114">
    <w:nsid w:val="4C502870"/>
    <w:multiLevelType w:val="hybridMultilevel"/>
    <w:lvl w:ilvl="0">
      <w:lvlJc w:val="left"/>
      <w:lvlText w:val="(%1)"/>
      <w:numFmt w:val="lowerLetter"/>
      <w:start w:val="1"/>
    </w:lvl>
  </w:abstractNum>
  <w:abstractNum w:abstractNumId="115">
    <w:nsid w:val="1DE8725A"/>
    <w:multiLevelType w:val="hybridMultilevel"/>
    <w:lvl w:ilvl="0">
      <w:lvlJc w:val="left"/>
      <w:lvlText w:val="(%1)"/>
      <w:numFmt w:val="lowerLetter"/>
      <w:start w:val="2"/>
    </w:lvl>
  </w:abstractNum>
  <w:abstractNum w:abstractNumId="116">
    <w:nsid w:val="6A37288A"/>
    <w:multiLevelType w:val="hybridMultilevel"/>
    <w:lvl w:ilvl="0">
      <w:lvlJc w:val="left"/>
      <w:lvlText w:val="(%1)"/>
      <w:numFmt w:val="lowerLetter"/>
      <w:start w:val="4"/>
    </w:lvl>
  </w:abstractNum>
  <w:abstractNum w:abstractNumId="117">
    <w:nsid w:val="8F8B73F"/>
    <w:multiLevelType w:val="hybridMultilevel"/>
    <w:lvl w:ilvl="0">
      <w:lvlJc w:val="left"/>
      <w:lvlText w:val="(%1)"/>
      <w:numFmt w:val="lowerLetter"/>
      <w:start w:val="1"/>
    </w:lvl>
  </w:abstractNum>
  <w:abstractNum w:abstractNumId="118">
    <w:nsid w:val="CA6B462"/>
    <w:multiLevelType w:val="hybridMultilevel"/>
    <w:lvl w:ilvl="0">
      <w:lvlJc w:val="left"/>
      <w:lvlText w:val="(%1)"/>
      <w:numFmt w:val="lowerLetter"/>
      <w:start w:val="2"/>
    </w:lvl>
  </w:abstractNum>
  <w:abstractNum w:abstractNumId="119">
    <w:nsid w:val="763CB680"/>
    <w:multiLevelType w:val="hybridMultilevel"/>
    <w:lvl w:ilvl="0">
      <w:lvlJc w:val="left"/>
      <w:lvlText w:val="(%1)"/>
      <w:numFmt w:val="lowerLetter"/>
      <w:start w:val="6"/>
    </w:lvl>
  </w:abstractNum>
  <w:abstractNum w:abstractNumId="120">
    <w:nsid w:val="15B71329"/>
    <w:multiLevelType w:val="hybridMultilevel"/>
    <w:lvl w:ilvl="0">
      <w:lvlJc w:val="left"/>
      <w:lvlText w:val="(%1)"/>
      <w:numFmt w:val="lowerLetter"/>
      <w:start w:val="1"/>
    </w:lvl>
  </w:abstractNum>
  <w:abstractNum w:abstractNumId="121">
    <w:nsid w:val="3DA97044"/>
    <w:multiLevelType w:val="hybridMultilevel"/>
    <w:lvl w:ilvl="0">
      <w:lvlJc w:val="left"/>
      <w:lvlText w:val="(%1)"/>
      <w:numFmt w:val="lowerLetter"/>
      <w:start w:val="3"/>
    </w:lvl>
  </w:abstractNum>
  <w:abstractNum w:abstractNumId="122">
    <w:nsid w:val="1CDCE2DE"/>
    <w:multiLevelType w:val="hybridMultilevel"/>
    <w:lvl w:ilvl="0">
      <w:lvlJc w:val="left"/>
      <w:lvlText w:val="%1"/>
      <w:numFmt w:val="lowerRoman"/>
      <w:start w:val="1"/>
    </w:lvl>
    <w:lvl w:ilvl="1">
      <w:lvlJc w:val="left"/>
      <w:lvlText w:val="(%2)"/>
      <w:numFmt w:val="lowerLetter"/>
      <w:start w:val="1"/>
    </w:lvl>
  </w:abstractNum>
  <w:abstractNum w:abstractNumId="123">
    <w:nsid w:val="69D3947C"/>
    <w:multiLevelType w:val="hybridMultilevel"/>
    <w:lvl w:ilvl="0">
      <w:lvlJc w:val="left"/>
      <w:lvlText w:val="(%1)"/>
      <w:numFmt w:val="lowerRoman"/>
      <w:start w:val="4"/>
    </w:lvl>
    <w:lvl w:ilvl="1">
      <w:lvlJc w:val="left"/>
      <w:lvlText w:val="%2"/>
      <w:numFmt w:val="lowerLetter"/>
      <w:start w:val="1"/>
    </w:lvl>
  </w:abstractNum>
  <w:abstractNum w:abstractNumId="124">
    <w:nsid w:val="2539DFA5"/>
    <w:multiLevelType w:val="hybridMultilevel"/>
    <w:lvl w:ilvl="0">
      <w:lvlJc w:val="left"/>
      <w:lvlText w:val="(%1)"/>
      <w:numFmt w:val="lowerLetter"/>
      <w:start w:val="24"/>
    </w:lvl>
    <w:lvl w:ilvl="1">
      <w:lvlJc w:val="left"/>
      <w:lvlText w:val="(%2)"/>
      <w:numFmt w:val="lowerLetter"/>
      <w:start w:val="2"/>
    </w:lvl>
  </w:abstractNum>
  <w:abstractNum w:abstractNumId="125">
    <w:nsid w:val="2DB88089"/>
    <w:multiLevelType w:val="hybridMultilevel"/>
    <w:lvl w:ilvl="0">
      <w:lvlJc w:val="left"/>
      <w:lvlText w:val="(%1)"/>
      <w:numFmt w:val="lowerLetter"/>
      <w:start w:val="4"/>
    </w:lvl>
  </w:abstractNum>
  <w:abstractNum w:abstractNumId="126">
    <w:nsid w:val="706B674E"/>
    <w:multiLevelType w:val="hybridMultilevel"/>
    <w:lvl w:ilvl="0">
      <w:lvlJc w:val="left"/>
      <w:lvlText w:val="(%1)"/>
      <w:numFmt w:val="lowerLetter"/>
      <w:start w:val="8"/>
    </w:lvl>
  </w:abstractNum>
  <w:abstractNum w:abstractNumId="127">
    <w:nsid w:val="2C106A57"/>
    <w:multiLevelType w:val="hybridMultilevel"/>
    <w:lvl w:ilvl="0">
      <w:lvlJc w:val="left"/>
      <w:lvlText w:val="%1"/>
      <w:numFmt w:val="lowerRoman"/>
      <w:start w:val="1"/>
    </w:lvl>
    <w:lvl w:ilvl="1">
      <w:lvlJc w:val="left"/>
      <w:lvlText w:val="(%2)"/>
      <w:numFmt w:val="lowerLetter"/>
      <w:start w:val="1"/>
    </w:lvl>
  </w:abstractNum>
  <w:abstractNum w:abstractNumId="128">
    <w:nsid w:val="684EED59"/>
    <w:multiLevelType w:val="hybridMultilevel"/>
    <w:lvl w:ilvl="0">
      <w:lvlJc w:val="left"/>
      <w:lvlText w:val="(%1)"/>
      <w:numFmt w:val="lowerRoman"/>
      <w:start w:val="4"/>
    </w:lvl>
    <w:lvl w:ilvl="1">
      <w:lvlJc w:val="left"/>
      <w:lvlText w:val="(%2)"/>
      <w:numFmt w:val="lowerLetter"/>
      <w:start w:val="2"/>
    </w:lvl>
  </w:abstractNum>
  <w:abstractNum w:abstractNumId="129">
    <w:nsid w:val="545EE5D3"/>
    <w:multiLevelType w:val="hybridMultilevel"/>
    <w:lvl w:ilvl="0">
      <w:lvlJc w:val="left"/>
      <w:lvlText w:val="(%1)"/>
      <w:numFmt w:val="lowerLetter"/>
      <w:start w:val="3"/>
    </w:lvl>
  </w:abstractNum>
  <w:abstractNum w:abstractNumId="130">
    <w:nsid w:val="4A66051"/>
    <w:multiLevelType w:val="hybridMultilevel"/>
    <w:lvl w:ilvl="0">
      <w:lvlJc w:val="left"/>
      <w:lvlText w:val="(%1)"/>
      <w:numFmt w:val="lowerLetter"/>
      <w:start w:val="5"/>
    </w:lvl>
  </w:abstractNum>
  <w:abstractNum w:abstractNumId="131">
    <w:nsid w:val="20F4BDAD"/>
    <w:multiLevelType w:val="hybridMultilevel"/>
    <w:lvl w:ilvl="0">
      <w:lvlJc w:val="left"/>
      <w:lvlText w:val="%1"/>
      <w:numFmt w:val="lowerLetter"/>
      <w:start w:val="1"/>
    </w:lvl>
    <w:lvl w:ilvl="1">
      <w:lvlJc w:val="left"/>
      <w:lvlText w:val="(%2)"/>
      <w:numFmt w:val="lowerLetter"/>
      <w:start w:val="1"/>
    </w:lvl>
  </w:abstractNum>
  <w:abstractNum w:abstractNumId="132">
    <w:nsid w:val="639DEFAC"/>
    <w:multiLevelType w:val="hybridMultilevel"/>
    <w:lvl w:ilvl="0">
      <w:lvlJc w:val="left"/>
      <w:lvlText w:val="(%1)"/>
      <w:numFmt w:val="lowerLetter"/>
      <w:start w:val="9"/>
    </w:lvl>
    <w:lvl w:ilvl="1">
      <w:lvlJc w:val="left"/>
      <w:lvlText w:val="%2"/>
      <w:numFmt w:val="lowerLetter"/>
      <w:start w:val="1"/>
    </w:lvl>
  </w:abstractNum>
  <w:abstractNum w:abstractNumId="133">
    <w:nsid w:val="501F9786"/>
    <w:multiLevelType w:val="hybridMultilevel"/>
    <w:lvl w:ilvl="0">
      <w:lvlJc w:val="left"/>
      <w:lvlText w:val="%1"/>
      <w:numFmt w:val="lowerLetter"/>
      <w:start w:val="1"/>
    </w:lvl>
    <w:lvl w:ilvl="1">
      <w:lvlJc w:val="left"/>
      <w:lvlText w:val="(%2)"/>
      <w:numFmt w:val="lowerLetter"/>
      <w:start w:val="2"/>
    </w:lvl>
  </w:abstractNum>
  <w:abstractNum w:abstractNumId="134">
    <w:nsid w:val="6B057295"/>
    <w:multiLevelType w:val="hybridMultilevel"/>
    <w:lvl w:ilvl="0">
      <w:lvlJc w:val="left"/>
      <w:lvlText w:val="(%1)"/>
      <w:numFmt w:val="lowerLetter"/>
      <w:start w:val="9"/>
    </w:lvl>
    <w:lvl w:ilvl="1">
      <w:lvlJc w:val="left"/>
      <w:lvlText w:val="(%2)"/>
      <w:numFmt w:val="lowerLetter"/>
      <w:start w:val="3"/>
    </w:lvl>
  </w:abstractNum>
  <w:abstractNum w:abstractNumId="135">
    <w:nsid w:val="2771AC80"/>
    <w:multiLevelType w:val="hybridMultilevel"/>
    <w:lvl w:ilvl="0">
      <w:lvlJc w:val="left"/>
      <w:lvlText w:val="(%1)"/>
      <w:numFmt w:val="lowerLetter"/>
      <w:start w:val="4"/>
    </w:lvl>
  </w:abstractNum>
  <w:abstractNum w:abstractNumId="136">
    <w:nsid w:val="1C4A08EC"/>
    <w:multiLevelType w:val="hybridMultilevel"/>
    <w:lvl w:ilvl="0">
      <w:lvlJc w:val="left"/>
      <w:lvlText w:val="(%1)"/>
      <w:numFmt w:val="lowerLetter"/>
      <w:start w:val="1"/>
    </w:lvl>
  </w:abstractNum>
  <w:abstractNum w:abstractNumId="137">
    <w:nsid w:val="1958BD17"/>
    <w:multiLevelType w:val="hybridMultilevel"/>
    <w:lvl w:ilvl="0">
      <w:lvlJc w:val="left"/>
      <w:lvlText w:val="(%1)"/>
      <w:numFmt w:val="lowerLetter"/>
      <w:start w:val="2"/>
    </w:lvl>
  </w:abstractNum>
  <w:abstractNum w:abstractNumId="138">
    <w:nsid w:val="4E647FE4"/>
    <w:multiLevelType w:val="hybridMultilevel"/>
    <w:lvl w:ilvl="0">
      <w:lvlJc w:val="left"/>
      <w:lvlText w:val="(%1)"/>
      <w:numFmt w:val="lowerLetter"/>
      <w:start w:val="1"/>
    </w:lvl>
    <w:lvl w:ilvl="1">
      <w:lvlJc w:val="left"/>
      <w:lvlText w:val="(%2)"/>
      <w:numFmt w:val="lowerRoman"/>
      <w:start w:val="1"/>
    </w:lvl>
  </w:abstractNum>
  <w:abstractNum w:abstractNumId="139">
    <w:nsid w:val="E0BB885"/>
    <w:multiLevelType w:val="hybridMultilevel"/>
    <w:lvl w:ilvl="0">
      <w:lvlJc w:val="left"/>
      <w:lvlText w:val="(%1)"/>
      <w:numFmt w:val="lowerLetter"/>
      <w:start w:val="1"/>
    </w:lvl>
  </w:abstractNum>
  <w:abstractNum w:abstractNumId="140">
    <w:nsid w:val="565976F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1">
    <w:nsid w:val="64212B8C"/>
    <w:multiLevelType w:val="hybridMultilevel"/>
    <w:lvl w:ilvl="0">
      <w:lvlJc w:val="left"/>
      <w:lvlText w:val="(%1)"/>
      <w:numFmt w:val="lowerRoman"/>
      <w:start w:val="1"/>
    </w:lvl>
  </w:abstractNum>
  <w:abstractNum w:abstractNumId="142">
    <w:nsid w:val="5C17530C"/>
    <w:multiLevelType w:val="hybridMultilevel"/>
    <w:lvl w:ilvl="0">
      <w:lvlJc w:val="left"/>
      <w:lvlText w:val="(%1)"/>
      <w:numFmt w:val="upperLetter"/>
      <w:start w:val="1"/>
    </w:lvl>
  </w:abstractNum>
  <w:abstractNum w:abstractNumId="143">
    <w:nsid w:val="19A52566"/>
    <w:multiLevelType w:val="hybridMultilevel"/>
    <w:lvl w:ilvl="0">
      <w:lvlJc w:val="left"/>
      <w:lvlText w:val="1"/>
      <w:numFmt w:val="bullet"/>
      <w:start w:val="1"/>
    </w:lvl>
  </w:abstractNum>
  <w:abstractNum w:abstractNumId="144">
    <w:nsid w:val="335A1DF1"/>
    <w:multiLevelType w:val="hybridMultilevel"/>
    <w:lvl w:ilvl="0">
      <w:lvlJc w:val="left"/>
      <w:lvlText w:val="(%1)"/>
      <w:numFmt w:val="upperLetter"/>
      <w:start w:val="2"/>
    </w:lvl>
  </w:abstractNum>
  <w:abstractNum w:abstractNumId="145">
    <w:nsid w:val="28677B7C"/>
    <w:multiLevelType w:val="hybridMultilevel"/>
    <w:lvl w:ilvl="0">
      <w:lvlJc w:val="left"/>
      <w:lvlText w:val="(%1)"/>
      <w:numFmt w:val="lowerLetter"/>
      <w:start w:val="2"/>
    </w:lvl>
  </w:abstractNum>
  <w:abstractNum w:abstractNumId="146">
    <w:nsid w:val="378D97C0"/>
    <w:multiLevelType w:val="hybridMultilevel"/>
    <w:lvl w:ilvl="0">
      <w:lvlJc w:val="left"/>
      <w:lvlText w:val="(%1)"/>
      <w:numFmt w:val="lowerLetter"/>
      <w:start w:val="2"/>
    </w:lvl>
  </w:abstractNum>
  <w:abstractNum w:abstractNumId="147">
    <w:nsid w:val="1D91467C"/>
    <w:multiLevelType w:val="hybridMultilevel"/>
    <w:lvl w:ilvl="0">
      <w:lvlJc w:val="left"/>
      <w:lvlText w:val="(%1)"/>
      <w:numFmt w:val="lowerLetter"/>
      <w:start w:val="3"/>
    </w:lvl>
  </w:abstractNum>
  <w:abstractNum w:abstractNumId="148">
    <w:nsid w:val="316032BB"/>
    <w:multiLevelType w:val="hybridMultilevel"/>
    <w:lvl w:ilvl="0">
      <w:lvlJc w:val="left"/>
      <w:lvlText w:val="%1."/>
      <w:numFmt w:val="decimal"/>
      <w:start w:val="1"/>
    </w:lvl>
  </w:abstractNum>
  <w:abstractNum w:abstractNumId="149">
    <w:nsid w:val="44344C22"/>
    <w:multiLevelType w:val="hybridMultilevel"/>
    <w:lvl w:ilvl="0">
      <w:lvlJc w:val="left"/>
      <w:lvlText w:val="%1."/>
      <w:numFmt w:val="decimal"/>
      <w:start w:val="4"/>
    </w:lvl>
  </w:abstractNum>
  <w:abstractNum w:abstractNumId="150">
    <w:nsid w:val="13CDFCFC"/>
    <w:multiLevelType w:val="hybridMultilevel"/>
    <w:lvl w:ilvl="0">
      <w:lvlJc w:val="left"/>
      <w:lvlText w:val="2"/>
      <w:numFmt w:val="bullet"/>
      <w:start w:val="1"/>
    </w:lvl>
  </w:abstractNum>
  <w:abstractNum w:abstractNumId="151">
    <w:nsid w:val="471745E4"/>
    <w:multiLevelType w:val="hybridMultilevel"/>
    <w:lvl w:ilvl="0">
      <w:lvlJc w:val="left"/>
      <w:lvlText w:val="(%1)"/>
      <w:numFmt w:val="lowerRoman"/>
      <w:start w:val="5"/>
    </w:lvl>
  </w:abstractNum>
  <w:abstractNum w:abstractNumId="152">
    <w:nsid w:val="1DDBC66"/>
    <w:multiLevelType w:val="hybridMultilevel"/>
    <w:lvl w:ilvl="0">
      <w:lvlJc w:val="left"/>
      <w:lvlText w:val="(%1)"/>
      <w:numFmt w:val="lowerLetter"/>
      <w:start w:val="1"/>
    </w:lvl>
  </w:abstractNum>
  <w:abstractNum w:abstractNumId="153">
    <w:nsid w:val="30AADFDA"/>
    <w:multiLevelType w:val="hybridMultilevel"/>
    <w:lvl w:ilvl="0">
      <w:lvlJc w:val="left"/>
      <w:lvlText w:val="(%1)"/>
      <w:numFmt w:val="lowerRoman"/>
      <w:start w:val="1"/>
    </w:lvl>
  </w:abstractNum>
  <w:abstractNum w:abstractNumId="154">
    <w:nsid w:val="30EADA61"/>
    <w:multiLevelType w:val="hybridMultilevel"/>
    <w:lvl w:ilvl="0">
      <w:lvlJc w:val="left"/>
      <w:lvlText w:val="(%1)"/>
      <w:numFmt w:val="lowerLetter"/>
      <w:start w:val="2"/>
    </w:lvl>
  </w:abstractNum>
  <w:abstractNum w:abstractNumId="155">
    <w:nsid w:val="27179C0B"/>
    <w:multiLevelType w:val="hybridMultilevel"/>
    <w:lvl w:ilvl="0">
      <w:lvlJc w:val="left"/>
      <w:lvlText w:val="(%1)"/>
      <w:numFmt w:val="lowerLetter"/>
      <w:start w:val="1"/>
    </w:lvl>
  </w:abstractNum>
  <w:abstractNum w:abstractNumId="156">
    <w:nsid w:val="5E636063"/>
    <w:multiLevelType w:val="hybridMultilevel"/>
    <w:lvl w:ilvl="0">
      <w:lvlJc w:val="left"/>
      <w:lvlText w:val="(%1)"/>
      <w:numFmt w:val="lowerLetter"/>
      <w:start w:val="1"/>
    </w:lvl>
  </w:abstractNum>
  <w:abstractNum w:abstractNumId="157">
    <w:nsid w:val="215641AF"/>
    <w:multiLevelType w:val="hybridMultilevel"/>
    <w:lvl w:ilvl="0">
      <w:lvlJc w:val="left"/>
      <w:lvlText w:val="(%1)"/>
      <w:numFmt w:val="lowerLetter"/>
      <w:start w:val="24"/>
    </w:lvl>
    <w:lvl w:ilvl="1">
      <w:lvlJc w:val="left"/>
      <w:lvlText w:val="(%2)"/>
      <w:numFmt w:val="lowerLetter"/>
      <w:start w:val="2"/>
    </w:lvl>
  </w:abstractNum>
  <w:abstractNum w:abstractNumId="158">
    <w:nsid w:val="53280662"/>
    <w:multiLevelType w:val="hybridMultilevel"/>
    <w:lvl w:ilvl="0">
      <w:lvlJc w:val="left"/>
      <w:lvlText w:val="(%1)"/>
      <w:numFmt w:val="lowerLetter"/>
      <w:start w:val="1"/>
    </w:lvl>
    <w:lvl w:ilvl="1">
      <w:lvlJc w:val="left"/>
      <w:lvlText w:val="(%2)"/>
      <w:numFmt w:val="decimal"/>
      <w:start w:val="1"/>
    </w:lvl>
  </w:abstractNum>
  <w:abstractNum w:abstractNumId="159">
    <w:nsid w:val="46B24DBC"/>
    <w:multiLevelType w:val="hybridMultilevel"/>
    <w:lvl w:ilvl="0">
      <w:lvlJc w:val="left"/>
      <w:lvlText w:val="(%1)"/>
      <w:numFmt w:val="lowerLetter"/>
      <w:start w:val="2"/>
    </w:lvl>
  </w:abstractNum>
  <w:abstractNum w:abstractNumId="160">
    <w:nsid w:val="75B52783"/>
    <w:multiLevelType w:val="hybridMultilevel"/>
    <w:lvl w:ilvl="0">
      <w:lvlJc w:val="left"/>
      <w:lvlText w:val="(%1)"/>
      <w:numFmt w:val="lowerLetter"/>
      <w:start w:val="1"/>
    </w:lvl>
  </w:abstractNum>
  <w:abstractNum w:abstractNumId="161">
    <w:nsid w:val="57CE66B4"/>
    <w:multiLevelType w:val="hybridMultilevel"/>
    <w:lvl w:ilvl="0">
      <w:lvlJc w:val="left"/>
      <w:lvlText w:val="(%1)"/>
      <w:numFmt w:val="lowerLetter"/>
      <w:start w:val="3"/>
    </w:lvl>
  </w:abstractNum>
  <w:abstractNum w:abstractNumId="162">
    <w:nsid w:val="67A70B69"/>
    <w:multiLevelType w:val="hybridMultilevel"/>
    <w:lvl w:ilvl="0">
      <w:lvlJc w:val="left"/>
      <w:lvlText w:val="(%1)"/>
      <w:numFmt w:val="lowerLetter"/>
      <w:start w:val="1"/>
    </w:lvl>
  </w:abstractNum>
  <w:abstractNum w:abstractNumId="163">
    <w:nsid w:val="5953172F"/>
    <w:multiLevelType w:val="hybridMultilevel"/>
    <w:lvl w:ilvl="0">
      <w:lvlJc w:val="left"/>
      <w:lvlText w:val="(%1)"/>
      <w:numFmt w:val="lowerLetter"/>
      <w:start w:val="1"/>
    </w:lvl>
  </w:abstractNum>
  <w:abstractNum w:abstractNumId="164">
    <w:nsid w:val="27EDFE3A"/>
    <w:multiLevelType w:val="hybridMultilevel"/>
    <w:lvl w:ilvl="0">
      <w:lvlJc w:val="left"/>
      <w:lvlText w:val="(%1)"/>
      <w:numFmt w:val="lowerLetter"/>
      <w:start w:val="1"/>
    </w:lvl>
  </w:abstractNum>
  <w:abstractNum w:abstractNumId="165">
    <w:nsid w:val="52AC7DFF"/>
    <w:multiLevelType w:val="hybridMultilevel"/>
    <w:lvl w:ilvl="0">
      <w:lvlJc w:val="left"/>
      <w:lvlText w:val="(%1)"/>
      <w:numFmt w:val="lowerRoman"/>
      <w:start w:val="2"/>
    </w:lvl>
  </w:abstractNum>
  <w:abstractNum w:abstractNumId="166">
    <w:nsid w:val="C4C3AF"/>
    <w:multiLevelType w:val="hybridMultilevel"/>
    <w:lvl w:ilvl="0">
      <w:lvlJc w:val="left"/>
      <w:lvlText w:val="(%1)"/>
      <w:numFmt w:val="lowerLetter"/>
      <w:start w:val="2"/>
    </w:lvl>
  </w:abstractNum>
  <w:abstractNum w:abstractNumId="167">
    <w:nsid w:val="44380727"/>
    <w:multiLevelType w:val="hybridMultilevel"/>
    <w:lvl w:ilvl="0">
      <w:lvlJc w:val="left"/>
      <w:lvlText w:val="(%1)"/>
      <w:numFmt w:val="lowerLetter"/>
      <w:start w:val="2"/>
    </w:lvl>
  </w:abstractNum>
  <w:abstractNum w:abstractNumId="168">
    <w:nsid w:val="6C053B16"/>
    <w:multiLevelType w:val="hybridMultilevel"/>
    <w:lvl w:ilvl="0">
      <w:lvlJc w:val="left"/>
      <w:lvlText w:val="(%1)"/>
      <w:numFmt w:val="lowerLetter"/>
      <w:start w:val="2"/>
    </w:lvl>
  </w:abstractNum>
  <w:abstractNum w:abstractNumId="169">
    <w:nsid w:val="4F294393"/>
    <w:multiLevelType w:val="hybridMultilevel"/>
    <w:lvl w:ilvl="0">
      <w:lvlJc w:val="left"/>
      <w:lvlText w:val="(%1)"/>
      <w:numFmt w:val="lowerLetter"/>
      <w:start w:val="1"/>
    </w:lvl>
  </w:abstractNum>
  <w:abstractNum w:abstractNumId="170">
    <w:nsid w:val="5243BFAC"/>
    <w:multiLevelType w:val="hybridMultilevel"/>
    <w:lvl w:ilvl="0">
      <w:lvlJc w:val="left"/>
      <w:lvlText w:val="(%1)"/>
      <w:numFmt w:val="lowerLetter"/>
      <w:start w:val="1"/>
    </w:lvl>
  </w:abstractNum>
  <w:abstractNum w:abstractNumId="171">
    <w:nsid w:val="425EB207"/>
    <w:multiLevelType w:val="hybridMultilevel"/>
    <w:lvl w:ilvl="0">
      <w:lvlJc w:val="left"/>
      <w:lvlText w:val="(%1)"/>
      <w:numFmt w:val="lowerLetter"/>
      <w:start w:val="3"/>
    </w:lvl>
  </w:abstractNum>
  <w:abstractNum w:abstractNumId="172">
    <w:nsid w:val="334A6F1F"/>
    <w:multiLevelType w:val="hybridMultilevel"/>
    <w:lvl w:ilvl="0">
      <w:lvlJc w:val="left"/>
      <w:lvlText w:val="(%1)"/>
      <w:numFmt w:val="lowerLetter"/>
      <w:start w:val="1"/>
    </w:lvl>
  </w:abstractNum>
  <w:abstractNum w:abstractNumId="173">
    <w:nsid w:val="2E5B12B8"/>
    <w:multiLevelType w:val="hybridMultilevel"/>
    <w:lvl w:ilvl="0">
      <w:lvlJc w:val="left"/>
      <w:lvlText w:val="(%1)"/>
      <w:numFmt w:val="lowerLetter"/>
      <w:start w:val="2"/>
    </w:lvl>
  </w:abstractNum>
  <w:abstractNum w:abstractNumId="174">
    <w:nsid w:val="5C03D76D"/>
    <w:multiLevelType w:val="hybridMultilevel"/>
    <w:lvl w:ilvl="0">
      <w:lvlJc w:val="left"/>
      <w:lvlText w:val="(%1)"/>
      <w:numFmt w:val="lowerLetter"/>
      <w:start w:val="1"/>
    </w:lvl>
  </w:abstractNum>
  <w:abstractNum w:abstractNumId="175">
    <w:nsid w:val="66A48D11"/>
    <w:multiLevelType w:val="hybridMultilevel"/>
    <w:lvl w:ilvl="0">
      <w:lvlJc w:val="left"/>
      <w:lvlText w:val="(%1)"/>
      <w:numFmt w:val="lowerLetter"/>
      <w:start w:val="1"/>
    </w:lvl>
    <w:lvl w:ilvl="1">
      <w:lvlJc w:val="left"/>
      <w:lvlText w:val="(%2)"/>
      <w:numFmt w:val="lowerRoman"/>
      <w:start w:val="1"/>
    </w:lvl>
  </w:abstractNum>
  <w:abstractNum w:abstractNumId="176">
    <w:nsid w:val="56C28E3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77">
    <w:nsid w:val="13916F2D"/>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78">
    <w:nsid w:val="435D38D"/>
    <w:multiLevelType w:val="hybridMultilevel"/>
    <w:lvl w:ilvl="0">
      <w:lvlJc w:val="left"/>
      <w:lvlText w:val="(%1)"/>
      <w:numFmt w:val="lowerLetter"/>
      <w:start w:val="9"/>
    </w:lvl>
    <w:lvl w:ilvl="1">
      <w:lvlJc w:val="left"/>
      <w:lvlText w:val="(%2)"/>
      <w:numFmt w:val="lowerLetter"/>
      <w:start w:val="3"/>
    </w:lvl>
    <w:lvl w:ilvl="2">
      <w:lvlJc w:val="left"/>
      <w:lvlText w:val="%3"/>
      <w:numFmt w:val="lowerLetter"/>
      <w:start w:val="1"/>
    </w:lvl>
  </w:abstractNum>
  <w:abstractNum w:abstractNumId="179">
    <w:nsid w:val="822C0EF"/>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9"/>
    </w:lvl>
  </w:abstractNum>
  <w:abstractNum w:abstractNumId="180">
    <w:nsid w:val="57C5BB4F"/>
    <w:multiLevelType w:val="hybridMultilevel"/>
    <w:lvl w:ilvl="0">
      <w:lvlJc w:val="left"/>
      <w:lvlText w:val="(%1)"/>
      <w:numFmt w:val="lowerRoman"/>
      <w:start w:val="2"/>
    </w:lvl>
  </w:abstractNum>
  <w:abstractNum w:abstractNumId="181">
    <w:nsid w:val="1803D089"/>
    <w:multiLevelType w:val="hybridMultilevel"/>
    <w:lvl w:ilvl="0">
      <w:lvlJc w:val="left"/>
      <w:lvlText w:val="%1"/>
      <w:numFmt w:val="lowerLetter"/>
      <w:start w:val="1"/>
    </w:lvl>
    <w:lvl w:ilvl="1">
      <w:lvlJc w:val="left"/>
      <w:lvlText w:val="(%2)"/>
      <w:numFmt w:val="lowerRoman"/>
      <w:start w:val="4"/>
    </w:lvl>
  </w:abstractNum>
  <w:abstractNum w:abstractNumId="182">
    <w:nsid w:val="4F3A06D4"/>
    <w:multiLevelType w:val="hybridMultilevel"/>
    <w:lvl w:ilvl="0">
      <w:lvlJc w:val="left"/>
      <w:lvlText w:val="(%1)"/>
      <w:numFmt w:val="lowerLetter"/>
      <w:start w:val="5"/>
    </w:lvl>
    <w:lvl w:ilvl="1">
      <w:lvlJc w:val="left"/>
      <w:lvlText w:val="(%2)"/>
      <w:numFmt w:val="lowerRoman"/>
      <w:start w:val="1"/>
    </w:lvl>
  </w:abstractNum>
  <w:abstractNum w:abstractNumId="183">
    <w:nsid w:val="59A377B6"/>
    <w:multiLevelType w:val="hybridMultilevel"/>
    <w:lvl w:ilvl="0">
      <w:lvlJc w:val="left"/>
      <w:lvlText w:val="(%1)"/>
      <w:numFmt w:val="lowerRoman"/>
      <w:start w:val="4"/>
    </w:lvl>
  </w:abstractNum>
  <w:abstractNum w:abstractNumId="184">
    <w:nsid w:val="48AEB063"/>
    <w:multiLevelType w:val="hybridMultilevel"/>
    <w:lvl w:ilvl="0">
      <w:lvlJc w:val="left"/>
      <w:lvlText w:val="%1"/>
      <w:numFmt w:val="lowerLetter"/>
      <w:start w:val="1"/>
    </w:lvl>
    <w:lvl w:ilvl="1">
      <w:lvlJc w:val="left"/>
      <w:lvlText w:val="(%2)"/>
      <w:numFmt w:val="lowerLetter"/>
      <w:start w:val="1"/>
    </w:lvl>
  </w:abstractNum>
  <w:abstractNum w:abstractNumId="185">
    <w:nsid w:val="24E135"/>
    <w:multiLevelType w:val="hybridMultilevel"/>
    <w:lvl w:ilvl="0">
      <w:lvlJc w:val="left"/>
      <w:lvlText w:val="(%1)"/>
      <w:numFmt w:val="lowerLetter"/>
      <w:start w:val="61"/>
    </w:lvl>
    <w:lvl w:ilvl="1">
      <w:lvlJc w:val="left"/>
      <w:lvlText w:val="%2"/>
      <w:numFmt w:val="lowerLetter"/>
      <w:start w:val="1"/>
    </w:lvl>
  </w:abstractNum>
  <w:abstractNum w:abstractNumId="186">
    <w:nsid w:val="BB13C1"/>
    <w:multiLevelType w:val="hybridMultilevel"/>
    <w:lvl w:ilvl="0">
      <w:lvlJc w:val="left"/>
      <w:lvlText w:val="(%1)"/>
      <w:numFmt w:val="lowerLetter"/>
      <w:start w:val="2"/>
    </w:lvl>
  </w:abstractNum>
  <w:abstractNum w:abstractNumId="187">
    <w:nsid w:val="271210C7"/>
    <w:multiLevelType w:val="hybridMultilevel"/>
    <w:lvl w:ilvl="0">
      <w:lvlJc w:val="left"/>
      <w:lvlText w:val="(%1)"/>
      <w:numFmt w:val="lowerLetter"/>
      <w:start w:val="1"/>
    </w:lvl>
  </w:abstractNum>
  <w:abstractNum w:abstractNumId="188">
    <w:nsid w:val="217B22E4"/>
    <w:multiLevelType w:val="hybridMultilevel"/>
    <w:lvl w:ilvl="0">
      <w:lvlJc w:val="left"/>
      <w:lvlText w:val="(%1)"/>
      <w:numFmt w:val="lowerRoman"/>
      <w:start w:val="1"/>
    </w:lvl>
  </w:abstractNum>
  <w:abstractNum w:abstractNumId="189">
    <w:nsid w:val="53E31A24"/>
    <w:multiLevelType w:val="hybridMultilevel"/>
    <w:lvl w:ilvl="0">
      <w:lvlJc w:val="left"/>
      <w:lvlText w:val="(%1)"/>
      <w:numFmt w:val="lowerRoman"/>
      <w:start w:val="2"/>
    </w:lvl>
  </w:abstractNum>
  <w:abstractNum w:abstractNumId="190">
    <w:nsid w:val="6DC45E83"/>
    <w:multiLevelType w:val="hybridMultilevel"/>
    <w:lvl w:ilvl="0">
      <w:lvlJc w:val="left"/>
      <w:lvlText w:val="(%1)"/>
      <w:numFmt w:val="lowerRoman"/>
      <w:start w:val="3"/>
    </w:lvl>
  </w:abstractNum>
  <w:abstractNum w:abstractNumId="191">
    <w:nsid w:val="17304A67"/>
    <w:multiLevelType w:val="hybridMultilevel"/>
    <w:lvl w:ilvl="0">
      <w:lvlJc w:val="left"/>
      <w:lvlText w:val="%1"/>
      <w:numFmt w:val="lowerLetter"/>
      <w:start w:val="1"/>
    </w:lvl>
    <w:lvl w:ilvl="1">
      <w:lvlJc w:val="left"/>
      <w:lvlText w:val="(%2)"/>
      <w:numFmt w:val="lowerLetter"/>
      <w:start w:val="1"/>
    </w:lvl>
  </w:abstractNum>
  <w:abstractNum w:abstractNumId="192">
    <w:nsid w:val="2BB180D8"/>
    <w:multiLevelType w:val="hybridMultilevel"/>
    <w:lvl w:ilvl="0">
      <w:lvlJc w:val="left"/>
      <w:lvlText w:val="(%1)"/>
      <w:numFmt w:val="lowerLetter"/>
      <w:start w:val="35"/>
    </w:lvl>
    <w:lvl w:ilvl="1">
      <w:lvlJc w:val="left"/>
      <w:lvlText w:val="%2"/>
      <w:numFmt w:val="lowerLetter"/>
      <w:start w:val="1"/>
    </w:lvl>
  </w:abstractNum>
  <w:abstractNum w:abstractNumId="193">
    <w:nsid w:val="556B69ED"/>
    <w:multiLevelType w:val="hybridMultilevel"/>
    <w:lvl w:ilvl="0">
      <w:lvlJc w:val="left"/>
      <w:lvlText w:val="(%1)"/>
      <w:numFmt w:val="lowerLetter"/>
      <w:start w:val="2"/>
    </w:lvl>
    <w:lvl w:ilvl="1">
      <w:lvlJc w:val="left"/>
      <w:lvlText w:val="(%2)"/>
      <w:numFmt w:val="lowerLetter"/>
      <w:start w:val="2"/>
    </w:lvl>
  </w:abstractNum>
  <w:abstractNum w:abstractNumId="194">
    <w:nsid w:val="70836196"/>
    <w:multiLevelType w:val="hybridMultilevel"/>
    <w:lvl w:ilvl="0">
      <w:lvlJc w:val="left"/>
      <w:lvlText w:val="(%1)"/>
      <w:numFmt w:val="lowerLetter"/>
      <w:start w:val="3"/>
    </w:lvl>
  </w:abstractNum>
  <w:abstractNum w:abstractNumId="195">
    <w:nsid w:val="539F7F12"/>
    <w:multiLevelType w:val="hybridMultilevel"/>
    <w:lvl w:ilvl="0">
      <w:lvlJc w:val="left"/>
      <w:lvlText w:val="(%1)"/>
      <w:numFmt w:val="lowerLetter"/>
      <w:start w:val="4"/>
    </w:lvl>
  </w:abstractNum>
  <w:abstractNum w:abstractNumId="196">
    <w:nsid w:val="2817E7EC"/>
    <w:multiLevelType w:val="hybridMultilevel"/>
    <w:lvl w:ilvl="0">
      <w:lvlJc w:val="left"/>
      <w:lvlText w:val="(%1)"/>
      <w:numFmt w:val="lowerLetter"/>
      <w:start w:val="1"/>
    </w:lvl>
  </w:abstractNum>
  <w:abstractNum w:abstractNumId="197">
    <w:nsid w:val="71482545"/>
    <w:multiLevelType w:val="hybridMultilevel"/>
    <w:lvl w:ilvl="0">
      <w:lvlJc w:val="left"/>
      <w:lvlText w:val="(%1)"/>
      <w:numFmt w:val="lowerLetter"/>
      <w:start w:val="4"/>
    </w:lvl>
    <w:lvl w:ilvl="1">
      <w:lvlJc w:val="left"/>
      <w:lvlText w:val="(%2)"/>
      <w:numFmt w:val="lowerRoman"/>
      <w:start w:val="1"/>
    </w:lvl>
  </w:abstractNum>
  <w:abstractNum w:abstractNumId="198">
    <w:nsid w:val="17D78639"/>
    <w:multiLevelType w:val="hybridMultilevel"/>
    <w:lvl w:ilvl="0">
      <w:lvlJc w:val="left"/>
      <w:lvlText w:val="(%1)"/>
      <w:numFmt w:val="lowerRoman"/>
      <w:start w:val="6"/>
    </w:lvl>
  </w:abstractNum>
  <w:abstractNum w:abstractNumId="199">
    <w:nsid w:val="141D2302"/>
    <w:multiLevelType w:val="hybridMultilevel"/>
    <w:lvl w:ilvl="0">
      <w:lvlJc w:val="left"/>
      <w:lvlText w:val="(%1)"/>
      <w:numFmt w:val="lowerRoman"/>
      <w:start w:val="9"/>
    </w:lvl>
  </w:abstractNum>
  <w:abstractNum w:abstractNumId="200">
    <w:nsid w:val="407168D8"/>
    <w:multiLevelType w:val="hybridMultilevel"/>
    <w:lvl w:ilvl="0">
      <w:lvlJc w:val="left"/>
      <w:lvlText w:val="(%1)"/>
      <w:numFmt w:val="lowerLetter"/>
      <w:start w:val="1"/>
    </w:lvl>
  </w:abstractNum>
  <w:abstractNum w:abstractNumId="201">
    <w:nsid w:val="6A1B45E5"/>
    <w:multiLevelType w:val="hybridMultilevel"/>
    <w:lvl w:ilvl="0">
      <w:lvlJc w:val="left"/>
      <w:lvlText w:val="(%1)"/>
      <w:numFmt w:val="lowerLetter"/>
      <w:start w:val="4"/>
    </w:lvl>
    <w:lvl w:ilvl="1">
      <w:lvlJc w:val="left"/>
      <w:lvlText w:val="(%2)"/>
      <w:numFmt w:val="lowerRoman"/>
      <w:start w:val="1"/>
    </w:lvl>
  </w:abstractNum>
  <w:abstractNum w:abstractNumId="202">
    <w:nsid w:val="567BD50A"/>
    <w:multiLevelType w:val="hybridMultilevel"/>
    <w:lvl w:ilvl="0">
      <w:lvlJc w:val="left"/>
      <w:lvlText w:val="%1"/>
      <w:numFmt w:val="lowerRoman"/>
      <w:start w:val="1"/>
    </w:lvl>
    <w:lvl w:ilvl="1">
      <w:lvlJc w:val="left"/>
      <w:lvlText w:val="(%2)"/>
      <w:numFmt w:val="upperLetter"/>
      <w:start w:val="1"/>
    </w:lvl>
  </w:abstractNum>
  <w:abstractNum w:abstractNumId="203">
    <w:nsid w:val="73BBD7F8"/>
    <w:multiLevelType w:val="hybridMultilevel"/>
    <w:lvl w:ilvl="0">
      <w:lvlJc w:val="left"/>
      <w:lvlText w:val="(%1)"/>
      <w:numFmt w:val="lowerRoman"/>
      <w:start w:val="3"/>
    </w:lvl>
    <w:lvl w:ilvl="1">
      <w:lvlJc w:val="left"/>
      <w:lvlText w:val="%2"/>
      <w:numFmt w:val="upperLetter"/>
      <w:start w:val="1"/>
    </w:lvl>
  </w:abstractNum>
  <w:abstractNum w:abstractNumId="204">
    <w:nsid w:val="1876589D"/>
    <w:multiLevelType w:val="hybridMultilevel"/>
    <w:lvl w:ilvl="0">
      <w:lvlJc w:val="left"/>
      <w:lvlText w:val="%1"/>
      <w:numFmt w:val="lowerLetter"/>
      <w:start w:val="1"/>
    </w:lvl>
    <w:lvl w:ilvl="1">
      <w:lvlJc w:val="left"/>
      <w:lvlText w:val="(%2)"/>
      <w:numFmt w:val="lowerLetter"/>
      <w:start w:val="22"/>
    </w:lvl>
  </w:abstractNum>
  <w:abstractNum w:abstractNumId="205">
    <w:nsid w:val="327FAC77"/>
    <w:multiLevelType w:val="hybridMultilevel"/>
    <w:lvl w:ilvl="0">
      <w:lvlJc w:val="left"/>
      <w:lvlText w:val="(%1)"/>
      <w:numFmt w:val="lowerLetter"/>
      <w:start w:val="2"/>
    </w:lvl>
    <w:lvl w:ilvl="1">
      <w:lvlJc w:val="left"/>
      <w:lvlText w:val="%2"/>
      <w:numFmt w:val="lowerLetter"/>
      <w:start w:val="1"/>
    </w:lvl>
  </w:abstractNum>
  <w:abstractNum w:abstractNumId="206">
    <w:nsid w:val="5A606509"/>
    <w:multiLevelType w:val="hybridMultilevel"/>
    <w:lvl w:ilvl="0">
      <w:lvlJc w:val="left"/>
      <w:lvlText w:val="(%1)"/>
      <w:numFmt w:val="lowerLetter"/>
      <w:start w:val="6"/>
    </w:lvl>
  </w:abstractNum>
  <w:abstractNum w:abstractNumId="207">
    <w:nsid w:val="6F38E6D1"/>
    <w:multiLevelType w:val="hybridMultilevel"/>
    <w:lvl w:ilvl="0">
      <w:lvlJc w:val="left"/>
      <w:lvlText w:val="(%1)"/>
      <w:numFmt w:val="lowerRoman"/>
      <w:start w:val="7"/>
    </w:lvl>
  </w:abstractNum>
  <w:abstractNum w:abstractNumId="208">
    <w:nsid w:val="46111BA5"/>
    <w:multiLevelType w:val="hybridMultilevel"/>
    <w:lvl w:ilvl="0">
      <w:lvlJc w:val="left"/>
      <w:lvlText w:val="(%1)"/>
      <w:numFmt w:val="lowerLetter"/>
      <w:start w:val="1"/>
    </w:lvl>
  </w:abstractNum>
  <w:abstractNum w:abstractNumId="209">
    <w:nsid w:val="5E963896"/>
    <w:multiLevelType w:val="hybridMultilevel"/>
    <w:lvl w:ilvl="0">
      <w:lvlJc w:val="left"/>
      <w:lvlText w:val="(%1)"/>
      <w:numFmt w:val="lowerLetter"/>
      <w:start w:val="1"/>
    </w:lvl>
  </w:abstractNum>
  <w:abstractNum w:abstractNumId="210">
    <w:nsid w:val="775BA7C1"/>
    <w:multiLevelType w:val="hybridMultilevel"/>
    <w:lvl w:ilvl="0">
      <w:lvlJc w:val="left"/>
      <w:lvlText w:val="(%1)"/>
      <w:numFmt w:val="lowerLetter"/>
      <w:start w:val="2"/>
    </w:lvl>
    <w:lvl w:ilvl="1">
      <w:lvlJc w:val="left"/>
      <w:lvlText w:val="(%2)"/>
      <w:numFmt w:val="lowerRoman"/>
      <w:start w:val="1"/>
    </w:lvl>
  </w:abstractNum>
  <w:abstractNum w:abstractNumId="211">
    <w:nsid w:val="1DD6D6F4"/>
    <w:multiLevelType w:val="hybridMultilevel"/>
    <w:lvl w:ilvl="0">
      <w:lvlJc w:val="left"/>
      <w:lvlText w:val="(%1)"/>
      <w:numFmt w:val="lowerLetter"/>
      <w:start w:val="1"/>
    </w:lvl>
  </w:abstractNum>
  <w:abstractNum w:abstractNumId="212">
    <w:nsid w:val="769A091F"/>
    <w:multiLevelType w:val="hybridMultilevel"/>
    <w:lvl w:ilvl="0">
      <w:lvlJc w:val="left"/>
      <w:lvlText w:val="(%1)"/>
      <w:numFmt w:val="lowerLetter"/>
      <w:start w:val="1"/>
    </w:lvl>
  </w:abstractNum>
  <w:abstractNum w:abstractNumId="213">
    <w:nsid w:val="4695AE95"/>
    <w:multiLevelType w:val="hybridMultilevel"/>
    <w:lvl w:ilvl="0">
      <w:lvlJc w:val="left"/>
      <w:lvlText w:val="(%1)"/>
      <w:numFmt w:val="lowerRoman"/>
      <w:start w:val="2"/>
    </w:lvl>
  </w:abstractNum>
  <w:abstractNum w:abstractNumId="214">
    <w:nsid w:val="777A4EAA"/>
    <w:multiLevelType w:val="hybridMultilevel"/>
    <w:lvl w:ilvl="0">
      <w:lvlJc w:val="left"/>
      <w:lvlText w:val="(%1)"/>
      <w:numFmt w:val="lowerLetter"/>
      <w:start w:val="1"/>
    </w:lvl>
    <w:lvl w:ilvl="1">
      <w:lvlJc w:val="left"/>
      <w:lvlText w:val="(%2)"/>
      <w:numFmt w:val="lowerRoman"/>
      <w:start w:val="1"/>
    </w:lvl>
  </w:abstractNum>
  <w:abstractNum w:abstractNumId="215">
    <w:nsid w:val="3F48B982"/>
    <w:multiLevelType w:val="hybridMultilevel"/>
    <w:lvl w:ilvl="0">
      <w:lvlJc w:val="left"/>
      <w:lvlText w:val="(%1)"/>
      <w:numFmt w:val="upperLetter"/>
      <w:start w:val="1"/>
    </w:lvl>
  </w:abstractNum>
  <w:abstractNum w:abstractNumId="216">
    <w:nsid w:val="46BA8FCA"/>
    <w:multiLevelType w:val="hybridMultilevel"/>
    <w:lvl w:ilvl="0">
      <w:lvlJc w:val="left"/>
      <w:lvlText w:val="(%1)"/>
      <w:numFmt w:val="lowerRoman"/>
      <w:start w:val="9"/>
    </w:lvl>
  </w:abstractNum>
  <w:abstractNum w:abstractNumId="217">
    <w:nsid w:val="7835626C"/>
    <w:multiLevelType w:val="hybridMultilevel"/>
    <w:lvl w:ilvl="0">
      <w:lvlJc w:val="left"/>
      <w:lvlText w:val="(%1)"/>
      <w:numFmt w:val="lowerLetter"/>
      <w:start w:val="2"/>
    </w:lvl>
  </w:abstractNum>
  <w:abstractNum w:abstractNumId="218">
    <w:nsid w:val="665ACA49"/>
    <w:multiLevelType w:val="hybridMultilevel"/>
    <w:lvl w:ilvl="0">
      <w:lvlJc w:val="left"/>
      <w:lvlText w:val="(%1)"/>
      <w:numFmt w:val="lowerLetter"/>
      <w:start w:val="1"/>
    </w:lvl>
  </w:abstractNum>
  <w:abstractNum w:abstractNumId="219">
    <w:nsid w:val="6835B2AE"/>
    <w:multiLevelType w:val="hybridMultilevel"/>
    <w:lvl w:ilvl="0">
      <w:lvlJc w:val="left"/>
      <w:lvlText w:val="(%1)"/>
      <w:numFmt w:val="lowerLetter"/>
      <w:start w:val="2"/>
    </w:lvl>
  </w:abstractNum>
  <w:abstractNum w:abstractNumId="220">
    <w:nsid w:val="4C187C90"/>
    <w:multiLevelType w:val="hybridMultilevel"/>
    <w:lvl w:ilvl="0">
      <w:lvlJc w:val="left"/>
      <w:lvlText w:val="(%1)"/>
      <w:numFmt w:val="upperLetter"/>
      <w:start w:val="2"/>
    </w:lvl>
  </w:abstractNum>
  <w:abstractNum w:abstractNumId="221">
    <w:nsid w:val="541F28CD"/>
    <w:multiLevelType w:val="hybridMultilevel"/>
    <w:lvl w:ilvl="0">
      <w:lvlJc w:val="left"/>
      <w:lvlText w:val="(%1)"/>
      <w:numFmt w:val="lowerLetter"/>
      <w:start w:val="1"/>
    </w:lvl>
  </w:abstractNum>
  <w:abstractNum w:abstractNumId="222">
    <w:nsid w:val="7F65FD16"/>
    <w:multiLevelType w:val="hybridMultilevel"/>
    <w:lvl w:ilvl="0">
      <w:lvlJc w:val="left"/>
      <w:lvlText w:val="(%1)"/>
      <w:numFmt w:val="lowerLetter"/>
      <w:start w:val="2"/>
    </w:lvl>
  </w:abstractNum>
  <w:abstractNum w:abstractNumId="223">
    <w:nsid w:val="77C9FD68"/>
    <w:multiLevelType w:val="hybridMultilevel"/>
    <w:lvl w:ilvl="0">
      <w:lvlJc w:val="left"/>
      <w:lvlText w:val="(%1)"/>
      <w:numFmt w:val="lowerLetter"/>
      <w:start w:val="6"/>
    </w:lvl>
  </w:abstractNum>
  <w:abstractNum w:abstractNumId="224">
    <w:nsid w:val="298A92BA"/>
    <w:multiLevelType w:val="hybridMultilevel"/>
    <w:lvl w:ilvl="0">
      <w:lvlJc w:val="left"/>
      <w:lvlText w:val="(%1)"/>
      <w:numFmt w:val="upperLetter"/>
      <w:start w:val="1"/>
    </w:lvl>
    <w:lvl w:ilvl="1">
      <w:lvlJc w:val="left"/>
      <w:lvlText w:val="(%2)"/>
      <w:numFmt w:val="lowerLetter"/>
      <w:start w:val="12"/>
    </w:lvl>
  </w:abstractNum>
  <w:abstractNum w:abstractNumId="225">
    <w:nsid w:val="6FE95EAC"/>
    <w:multiLevelType w:val="hybridMultilevel"/>
    <w:lvl w:ilvl="0">
      <w:lvlJc w:val="left"/>
      <w:lvlText w:val="%1"/>
      <w:numFmt w:val="lowerLetter"/>
      <w:start w:val="1"/>
    </w:lvl>
    <w:lvl w:ilvl="1">
      <w:lvlJc w:val="left"/>
      <w:lvlText w:val="(%2)"/>
      <w:numFmt w:val="lowerLetter"/>
      <w:start w:val="9"/>
    </w:lvl>
  </w:abstractNum>
  <w:abstractNum w:abstractNumId="226">
    <w:nsid w:val="4B697C7A"/>
    <w:multiLevelType w:val="hybridMultilevel"/>
    <w:lvl w:ilvl="0">
      <w:lvlJc w:val="left"/>
      <w:lvlText w:val="(%1)"/>
      <w:numFmt w:val="lowerLetter"/>
      <w:start w:val="17"/>
    </w:lvl>
    <w:lvl w:ilvl="1">
      <w:lvlJc w:val="left"/>
      <w:lvlText w:val="%2"/>
      <w:numFmt w:val="lowerLetter"/>
      <w:start w:val="1"/>
    </w:lvl>
  </w:abstractNum>
  <w:abstractNum w:abstractNumId="227">
    <w:nsid w:val="51A27AA6"/>
    <w:multiLevelType w:val="hybridMultilevel"/>
    <w:lvl w:ilvl="0">
      <w:lvlJc w:val="left"/>
      <w:lvlText w:val="%1"/>
      <w:numFmt w:val="lowerLetter"/>
      <w:start w:val="1"/>
    </w:lvl>
    <w:lvl w:ilvl="1">
      <w:lvlJc w:val="left"/>
      <w:lvlText w:val="(%2)"/>
      <w:numFmt w:val="lowerRoman"/>
      <w:start w:val="1"/>
    </w:lvl>
  </w:abstractNum>
  <w:abstractNum w:abstractNumId="228">
    <w:nsid w:val="613183F2"/>
    <w:multiLevelType w:val="hybridMultilevel"/>
    <w:lvl w:ilvl="0">
      <w:lvlJc w:val="left"/>
      <w:lvlText w:val="(%1)"/>
      <w:numFmt w:val="lowerLetter"/>
      <w:start w:val="18"/>
    </w:lvl>
    <w:lvl w:ilvl="1">
      <w:lvlJc w:val="left"/>
      <w:lvlText w:val="%2"/>
      <w:numFmt w:val="lowerRoman"/>
      <w:start w:val="1"/>
    </w:lvl>
  </w:abstractNum>
  <w:abstractNum w:abstractNumId="229">
    <w:nsid w:val="634102B4"/>
    <w:multiLevelType w:val="hybridMultilevel"/>
    <w:lvl w:ilvl="0">
      <w:lvlJc w:val="left"/>
      <w:lvlText w:val="(%1)"/>
      <w:numFmt w:val="lowerLetter"/>
      <w:start w:val="20"/>
    </w:lvl>
    <w:lvl w:ilvl="1">
      <w:lvlJc w:val="left"/>
      <w:lvlText w:val="(%2)"/>
      <w:numFmt w:val="lowerRoman"/>
      <w:start w:val="1"/>
    </w:lvl>
  </w:abstractNum>
  <w:abstractNum w:abstractNumId="230">
    <w:nsid w:val="65BF9DA8"/>
    <w:multiLevelType w:val="hybridMultilevel"/>
    <w:lvl w:ilvl="0">
      <w:lvlJc w:val="left"/>
      <w:lvlText w:val="(%1)"/>
      <w:numFmt w:val="lowerLetter"/>
      <w:start w:val="25"/>
    </w:lvl>
  </w:abstractNum>
  <w:abstractNum w:abstractNumId="231">
    <w:nsid w:val="21A2ECCA"/>
    <w:multiLevelType w:val="hybridMultilevel"/>
    <w:lvl w:ilvl="0">
      <w:lvlJc w:val="left"/>
      <w:lvlText w:val="(%1)"/>
      <w:numFmt w:val="lowerLetter"/>
      <w:start w:val="27"/>
    </w:lvl>
    <w:lvl w:ilvl="1">
      <w:lvlJc w:val="left"/>
      <w:lvlText w:val="(%2)"/>
      <w:numFmt w:val="lowerRoman"/>
      <w:start w:val="1"/>
    </w:lvl>
  </w:abstractNum>
  <w:abstractNum w:abstractNumId="232">
    <w:nsid w:val="4D5C4899"/>
    <w:multiLevelType w:val="hybridMultilevel"/>
    <w:lvl w:ilvl="0">
      <w:lvlJc w:val="left"/>
      <w:lvlText w:val="(%1)"/>
      <w:numFmt w:val="lowerLetter"/>
      <w:start w:val="1"/>
    </w:lvl>
  </w:abstractNum>
  <w:abstractNum w:abstractNumId="233">
    <w:nsid w:val="3C3B72B2"/>
    <w:multiLevelType w:val="hybridMultilevel"/>
    <w:lvl w:ilvl="0">
      <w:lvlJc w:val="left"/>
      <w:lvlText w:val="(%1)"/>
      <w:numFmt w:val="lowerLetter"/>
      <w:start w:val="7"/>
    </w:lvl>
    <w:lvl w:ilvl="1">
      <w:lvlJc w:val="left"/>
      <w:lvlText w:val="(%2)"/>
      <w:numFmt w:val="lowerRoman"/>
      <w:start w:val="1"/>
    </w:lvl>
  </w:abstractNum>
  <w:abstractNum w:abstractNumId="234">
    <w:nsid w:val="155EC4C2"/>
    <w:multiLevelType w:val="hybridMultilevel"/>
    <w:lvl w:ilvl="0">
      <w:lvlJc w:val="left"/>
      <w:lvlText w:val="%1"/>
      <w:numFmt w:val="lowerLetter"/>
      <w:start w:val="1"/>
    </w:lvl>
    <w:lvl w:ilvl="1">
      <w:lvlJc w:val="left"/>
      <w:lvlText w:val="(%2)"/>
      <w:numFmt w:val="lowerRoman"/>
      <w:start w:val="3"/>
    </w:lvl>
  </w:abstractNum>
  <w:abstractNum w:abstractNumId="235">
    <w:nsid w:val="65D2A137"/>
    <w:multiLevelType w:val="hybridMultilevel"/>
    <w:lvl w:ilvl="0">
      <w:lvlJc w:val="left"/>
      <w:lvlText w:val="(%1)"/>
      <w:numFmt w:val="lowerLetter"/>
      <w:start w:val="11"/>
    </w:lvl>
    <w:lvl w:ilvl="1">
      <w:lvlJc w:val="left"/>
      <w:lvlText w:val="(%2)"/>
      <w:numFmt w:val="lowerRoman"/>
      <w:start w:val="1"/>
    </w:lvl>
  </w:abstractNum>
  <w:abstractNum w:abstractNumId="236">
    <w:nsid w:val="6EBB1F2A"/>
    <w:multiLevelType w:val="hybridMultilevel"/>
    <w:lvl w:ilvl="0">
      <w:lvlJc w:val="left"/>
      <w:lvlText w:val="%1"/>
      <w:numFmt w:val="lowerLetter"/>
      <w:start w:val="1"/>
    </w:lvl>
    <w:lvl w:ilvl="1">
      <w:lvlJc w:val="left"/>
      <w:lvlText w:val="(%2)"/>
      <w:numFmt w:val="lowerLetter"/>
      <w:start w:val="35"/>
    </w:lvl>
  </w:abstractNum>
  <w:abstractNum w:abstractNumId="237">
    <w:nsid w:val="6FBF29CB"/>
    <w:multiLevelType w:val="hybridMultilevel"/>
    <w:lvl w:ilvl="0">
      <w:lvlJc w:val="left"/>
      <w:lvlText w:val="(%1)"/>
      <w:numFmt w:val="lowerLetter"/>
      <w:start w:val="12"/>
    </w:lvl>
    <w:lvl w:ilvl="1">
      <w:lvlJc w:val="left"/>
      <w:lvlText w:val="%2"/>
      <w:numFmt w:val="lowerLetter"/>
      <w:start w:val="1"/>
    </w:lvl>
  </w:abstractNum>
  <w:abstractNum w:abstractNumId="238">
    <w:nsid w:val="550B8808"/>
    <w:multiLevelType w:val="hybridMultilevel"/>
    <w:lvl w:ilvl="0">
      <w:lvlJc w:val="left"/>
      <w:lvlText w:val="(%1)"/>
      <w:numFmt w:val="lowerLetter"/>
      <w:start w:val="17"/>
    </w:lvl>
  </w:abstractNum>
  <w:abstractNum w:abstractNumId="239">
    <w:nsid w:val="34CC3ACF"/>
    <w:multiLevelType w:val="hybridMultilevel"/>
    <w:lvl w:ilvl="0">
      <w:lvlJc w:val="left"/>
      <w:lvlText w:val="(%1)"/>
      <w:numFmt w:val="lowerLetter"/>
      <w:start w:val="1"/>
    </w:lvl>
    <w:lvl w:ilvl="1">
      <w:lvlJc w:val="left"/>
      <w:lvlText w:val="(%2)"/>
      <w:numFmt w:val="lowerRoman"/>
      <w:start w:val="1"/>
    </w:lvl>
  </w:abstractNum>
  <w:abstractNum w:abstractNumId="240">
    <w:nsid w:val="4E556261"/>
    <w:multiLevelType w:val="hybridMultilevel"/>
    <w:lvl w:ilvl="0">
      <w:lvlJc w:val="left"/>
      <w:lvlText w:val="%1"/>
      <w:numFmt w:val="lowerLetter"/>
      <w:start w:val="1"/>
    </w:lvl>
    <w:lvl w:ilvl="1">
      <w:lvlJc w:val="left"/>
      <w:lvlText w:val="(%2)"/>
      <w:numFmt w:val="lowerRoman"/>
      <w:start w:val="9"/>
    </w:lvl>
  </w:abstractNum>
  <w:abstractNum w:abstractNumId="241">
    <w:nsid w:val="4C672FC9"/>
    <w:multiLevelType w:val="hybridMultilevel"/>
    <w:lvl w:ilvl="0">
      <w:lvlJc w:val="left"/>
      <w:lvlText w:val="(%1)"/>
      <w:numFmt w:val="lowerLetter"/>
      <w:start w:val="2"/>
    </w:lvl>
    <w:lvl w:ilvl="1">
      <w:lvlJc w:val="left"/>
      <w:lvlText w:val="%2"/>
      <w:numFmt w:val="lowerRoman"/>
      <w:start w:val="1"/>
    </w:lvl>
  </w:abstractNum>
  <w:abstractNum w:abstractNumId="242">
    <w:nsid w:val="52A311C3"/>
    <w:multiLevelType w:val="hybridMultilevel"/>
    <w:lvl w:ilvl="0">
      <w:lvlJc w:val="left"/>
      <w:lvlText w:val="(%1)"/>
      <w:numFmt w:val="lowerLetter"/>
      <w:start w:val="3"/>
    </w:lvl>
  </w:abstractNum>
  <w:abstractNum w:abstractNumId="243">
    <w:nsid w:val="44EF6B80"/>
    <w:multiLevelType w:val="hybridMultilevel"/>
    <w:lvl w:ilvl="0">
      <w:lvlJc w:val="left"/>
      <w:lvlText w:val="(%1)"/>
      <w:numFmt w:val="lowerLetter"/>
      <w:start w:val="5"/>
    </w:lvl>
  </w:abstractNum>
  <w:abstractNum w:abstractNumId="244">
    <w:nsid w:val="12FCDE5E"/>
    <w:multiLevelType w:val="hybridMultilevel"/>
    <w:lvl w:ilvl="0">
      <w:lvlJc w:val="left"/>
      <w:lvlText w:val="%1"/>
      <w:numFmt w:val="lowerRoman"/>
      <w:start w:val="1"/>
    </w:lvl>
    <w:lvl w:ilvl="1">
      <w:lvlJc w:val="left"/>
      <w:lvlText w:val="(%2)"/>
      <w:numFmt w:val="lowerLetter"/>
      <w:start w:val="12"/>
    </w:lvl>
  </w:abstractNum>
  <w:abstractNum w:abstractNumId="245">
    <w:nsid w:val="4A1D606E"/>
    <w:multiLevelType w:val="hybridMultilevel"/>
    <w:lvl w:ilvl="0">
      <w:lvlJc w:val="left"/>
      <w:lvlText w:val="(%1)"/>
      <w:numFmt w:val="lowerRoman"/>
      <w:start w:val="7"/>
    </w:lvl>
    <w:lvl w:ilvl="1">
      <w:lvlJc w:val="left"/>
      <w:lvlText w:val="%2"/>
      <w:numFmt w:val="lowerLetter"/>
      <w:start w:val="1"/>
    </w:lvl>
  </w:abstractNum>
  <w:abstractNum w:abstractNumId="246">
    <w:nsid w:val="4382503"/>
    <w:multiLevelType w:val="hybridMultilevel"/>
    <w:lvl w:ilvl="0">
      <w:lvlJc w:val="left"/>
      <w:lvlText w:val="(%1)"/>
      <w:numFmt w:val="lowerLetter"/>
      <w:start w:val="15"/>
    </w:lvl>
  </w:abstractNum>
  <w:abstractNum w:abstractNumId="247">
    <w:nsid w:val="59B76E28"/>
    <w:multiLevelType w:val="hybridMultilevel"/>
    <w:lvl w:ilvl="0">
      <w:lvlJc w:val="left"/>
      <w:lvlText w:val="%1"/>
      <w:numFmt w:val="lowerLetter"/>
      <w:start w:val="1"/>
    </w:lvl>
    <w:lvl w:ilvl="1">
      <w:lvlJc w:val="left"/>
      <w:lvlText w:val="(%2)"/>
      <w:numFmt w:val="lowerLetter"/>
      <w:start w:val="1"/>
    </w:lvl>
  </w:abstractNum>
  <w:abstractNum w:abstractNumId="248">
    <w:nsid w:val="4252C2DA"/>
    <w:multiLevelType w:val="hybridMultilevel"/>
    <w:lvl w:ilvl="0">
      <w:lvlJc w:val="left"/>
      <w:lvlText w:val="(%1)"/>
      <w:numFmt w:val="lowerLetter"/>
      <w:start w:val="25"/>
    </w:lvl>
    <w:lvl w:ilvl="1">
      <w:lvlJc w:val="left"/>
      <w:lvlText w:val="%2"/>
      <w:numFmt w:val="lowerLetter"/>
      <w:start w:val="1"/>
    </w:lvl>
  </w:abstractNum>
  <w:abstractNum w:abstractNumId="249">
    <w:nsid w:val="6A92EF4C"/>
    <w:multiLevelType w:val="hybridMultilevel"/>
    <w:lvl w:ilvl="0">
      <w:lvlJc w:val="left"/>
      <w:lvlText w:val="(%1)"/>
      <w:numFmt w:val="lowerLetter"/>
      <w:start w:val="3"/>
    </w:lvl>
  </w:abstractNum>
  <w:abstractNum w:abstractNumId="250">
    <w:nsid w:val="41ED20D7"/>
    <w:multiLevelType w:val="hybridMultilevel"/>
    <w:lvl w:ilvl="0">
      <w:lvlJc w:val="left"/>
      <w:lvlText w:val="(%1)"/>
      <w:numFmt w:val="lowerLetter"/>
      <w:start w:val="9"/>
    </w:lvl>
  </w:abstractNum>
  <w:abstractNum w:abstractNumId="251">
    <w:nsid w:val="E6B3F6A"/>
    <w:multiLevelType w:val="hybridMultilevel"/>
    <w:lvl w:ilvl="0">
      <w:lvlJc w:val="left"/>
      <w:lvlText w:val="(%1)"/>
      <w:numFmt w:val="lowerLetter"/>
      <w:start w:val="12"/>
    </w:lvl>
  </w:abstractNum>
  <w:abstractNum w:abstractNumId="252">
    <w:nsid w:val="3EB21819"/>
    <w:multiLevelType w:val="hybridMultilevel"/>
    <w:lvl w:ilvl="0">
      <w:lvlJc w:val="left"/>
      <w:lvlText w:val="(%1)"/>
      <w:numFmt w:val="lowerLetter"/>
      <w:start w:val="1"/>
    </w:lvl>
  </w:abstractNum>
  <w:abstractNum w:abstractNumId="253">
    <w:nsid w:val="41531DED"/>
    <w:multiLevelType w:val="hybridMultilevel"/>
    <w:lvl w:ilvl="0">
      <w:lvlJc w:val="left"/>
      <w:lvlText w:val="%1"/>
      <w:numFmt w:val="lowerLetter"/>
      <w:start w:val="1"/>
    </w:lvl>
    <w:lvl w:ilvl="1">
      <w:lvlJc w:val="left"/>
      <w:lvlText w:val="(%2)"/>
      <w:numFmt w:val="lowerRoman"/>
      <w:start w:val="1"/>
    </w:lvl>
  </w:abstractNum>
  <w:abstractNum w:abstractNumId="254">
    <w:nsid w:val="6353CD2"/>
    <w:multiLevelType w:val="hybridMultilevel"/>
    <w:lvl w:ilvl="0">
      <w:lvlJc w:val="left"/>
      <w:lvlText w:val="(%1)"/>
      <w:numFmt w:val="lowerLetter"/>
      <w:start w:val="2"/>
    </w:lvl>
    <w:lvl w:ilvl="1">
      <w:lvlJc w:val="left"/>
      <w:lvlText w:val="(%2)"/>
      <w:numFmt w:val="lowerRoman"/>
      <w:start w:val="1"/>
    </w:lvl>
  </w:abstractNum>
  <w:abstractNum w:abstractNumId="255">
    <w:nsid w:val="683CAAD3"/>
    <w:multiLevelType w:val="hybridMultilevel"/>
    <w:lvl w:ilvl="0">
      <w:lvlJc w:val="left"/>
      <w:lvlText w:val="(%1)"/>
      <w:numFmt w:val="lowerLetter"/>
      <w:start w:val="1"/>
    </w:lvl>
  </w:abstractNum>
  <w:abstractNum w:abstractNumId="256">
    <w:nsid w:val="313C7C99"/>
    <w:multiLevelType w:val="hybridMultilevel"/>
    <w:lvl w:ilvl="0">
      <w:lvlJc w:val="left"/>
      <w:lvlText w:val="%1"/>
      <w:numFmt w:val="upperLetter"/>
      <w:start w:val="1"/>
    </w:lvl>
    <w:lvl w:ilvl="1">
      <w:lvlJc w:val="left"/>
      <w:lvlText w:val="(%2)"/>
      <w:numFmt w:val="lowerLetter"/>
      <w:start w:val="7"/>
    </w:lvl>
    <w:lvl w:ilvl="2">
      <w:lvlJc w:val="left"/>
      <w:lvlText w:val="%3"/>
      <w:numFmt w:val="lowerRoman"/>
      <w:start w:val="1"/>
    </w:lvl>
  </w:abstractNum>
  <w:abstractNum w:abstractNumId="257">
    <w:nsid w:val="519EB94C"/>
    <w:multiLevelType w:val="hybridMultilevel"/>
    <w:lvl w:ilvl="0">
      <w:lvlJc w:val="left"/>
      <w:lvlText w:val="(%1)"/>
      <w:numFmt w:val="upperLetter"/>
      <w:start w:val="1"/>
    </w:lvl>
    <w:lvl w:ilvl="1">
      <w:lvlJc w:val="left"/>
      <w:lvlText w:val="(%2)"/>
      <w:numFmt w:val="lowerLetter"/>
      <w:start w:val="8"/>
    </w:lvl>
    <w:lvl w:ilvl="2">
      <w:lvlJc w:val="left"/>
      <w:lvlText w:val="(%3)"/>
      <w:numFmt w:val="lowerRoman"/>
      <w:start w:val="1"/>
    </w:lvl>
  </w:abstractNum>
  <w:abstractNum w:abstractNumId="258">
    <w:nsid w:val="39DF2579"/>
    <w:multiLevelType w:val="hybridMultilevel"/>
    <w:lvl w:ilvl="0">
      <w:lvlJc w:val="left"/>
      <w:lvlText w:val="(%1)"/>
      <w:numFmt w:val="lowerLetter"/>
      <w:start w:val="1"/>
    </w:lvl>
  </w:abstractNum>
  <w:abstractNum w:abstractNumId="259">
    <w:nsid w:val="126E008B"/>
    <w:multiLevelType w:val="hybridMultilevel"/>
    <w:lvl w:ilvl="0">
      <w:lvlJc w:val="left"/>
      <w:lvlText w:val="(%1)"/>
      <w:numFmt w:val="lowerLetter"/>
      <w:start w:val="1"/>
    </w:lvl>
  </w:abstractNum>
  <w:abstractNum w:abstractNumId="260">
    <w:nsid w:val="34DFBC00"/>
    <w:multiLevelType w:val="hybridMultilevel"/>
    <w:lvl w:ilvl="0">
      <w:lvlJc w:val="left"/>
      <w:lvlText w:val="(%1)"/>
      <w:numFmt w:val="lowerLetter"/>
      <w:start w:val="1"/>
    </w:lvl>
  </w:abstractNum>
  <w:abstractNum w:abstractNumId="261">
    <w:nsid w:val="1F9EC322"/>
    <w:multiLevelType w:val="hybridMultilevel"/>
    <w:lvl w:ilvl="0">
      <w:lvlJc w:val="left"/>
      <w:lvlText w:val="(%1)"/>
      <w:numFmt w:val="lowerLetter"/>
      <w:start w:val="1"/>
    </w:lvl>
  </w:abstractNum>
  <w:abstractNum w:abstractNumId="262">
    <w:nsid w:val="3410ED56"/>
    <w:multiLevelType w:val="hybridMultilevel"/>
    <w:lvl w:ilvl="0">
      <w:lvlJc w:val="left"/>
      <w:lvlText w:val="(%1)"/>
      <w:numFmt w:val="lowerLetter"/>
      <w:start w:val="1"/>
    </w:lvl>
  </w:abstractNum>
  <w:abstractNum w:abstractNumId="263">
    <w:nsid w:val="23C049A"/>
    <w:multiLevelType w:val="hybridMultilevel"/>
    <w:lvl w:ilvl="0">
      <w:lvlJc w:val="left"/>
      <w:lvlText w:val="(%1)"/>
      <w:numFmt w:val="lowerLetter"/>
      <w:start w:val="2"/>
    </w:lvl>
  </w:abstractNum>
  <w:abstractNum w:abstractNumId="264">
    <w:nsid w:val="5BDA35D4"/>
    <w:multiLevelType w:val="hybridMultilevel"/>
    <w:lvl w:ilvl="0">
      <w:lvlJc w:val="left"/>
      <w:lvlText w:val="(%1)"/>
      <w:numFmt w:val="lowerLetter"/>
      <w:start w:val="1"/>
    </w:lvl>
  </w:abstractNum>
  <w:abstractNum w:abstractNumId="265">
    <w:nsid w:val="496FB218"/>
    <w:multiLevelType w:val="hybridMultilevel"/>
    <w:lvl w:ilvl="0">
      <w:lvlJc w:val="left"/>
      <w:lvlText w:val="(%1)"/>
      <w:numFmt w:val="lowerLetter"/>
      <w:start w:val="1"/>
    </w:lvl>
  </w:abstractNum>
  <w:abstractNum w:abstractNumId="266">
    <w:nsid w:val="680EA5D1"/>
    <w:multiLevelType w:val="hybridMultilevel"/>
    <w:lvl w:ilvl="0">
      <w:lvlJc w:val="left"/>
      <w:lvlText w:val="(%1)"/>
      <w:numFmt w:val="lowerLetter"/>
      <w:start w:val="1"/>
    </w:lvl>
  </w:abstractNum>
  <w:abstractNum w:abstractNumId="267">
    <w:nsid w:val="4A9554FE"/>
    <w:multiLevelType w:val="hybridMultilevel"/>
    <w:lvl w:ilvl="0">
      <w:lvlJc w:val="left"/>
      <w:lvlText w:val="(%1)"/>
      <w:numFmt w:val="lowerLetter"/>
      <w:start w:val="1"/>
    </w:lvl>
    <w:lvl w:ilvl="1">
      <w:lvlJc w:val="left"/>
      <w:lvlText w:val="(%2)"/>
      <w:numFmt w:val="lowerRoman"/>
      <w:start w:val="1"/>
    </w:lvl>
  </w:abstractNum>
  <w:abstractNum w:abstractNumId="268">
    <w:nsid w:val="392EDBE4"/>
    <w:multiLevelType w:val="hybridMultilevel"/>
    <w:lvl w:ilvl="0">
      <w:lvlJc w:val="left"/>
      <w:lvlText w:val="%1"/>
      <w:numFmt w:val="lowerLetter"/>
      <w:start w:val="1"/>
    </w:lvl>
    <w:lvl w:ilvl="1">
      <w:lvlJc w:val="left"/>
      <w:lvlText w:val="(%2)"/>
      <w:numFmt w:val="lowerLetter"/>
      <w:start w:val="61"/>
    </w:lvl>
  </w:abstractNum>
  <w:abstractNum w:abstractNumId="269">
    <w:nsid w:val="3D1A2DD9"/>
    <w:multiLevelType w:val="hybridMultilevel"/>
    <w:lvl w:ilvl="0">
      <w:lvlJc w:val="left"/>
      <w:lvlText w:val="(%1)"/>
      <w:numFmt w:val="lowerLetter"/>
      <w:start w:val="2"/>
    </w:lvl>
    <w:lvl w:ilvl="1">
      <w:lvlJc w:val="left"/>
      <w:lvlText w:val="(%2)"/>
      <w:numFmt w:val="lowerLetter"/>
      <w:start w:val="9"/>
    </w:lvl>
  </w:abstractNum>
  <w:abstractNum w:abstractNumId="270">
    <w:nsid w:val="7F618FCD"/>
    <w:multiLevelType w:val="hybridMultilevel"/>
    <w:lvl w:ilvl="0">
      <w:lvlJc w:val="left"/>
      <w:lvlText w:val="(%1)"/>
      <w:numFmt w:val="lowerRoman"/>
      <w:start w:val="2"/>
    </w:lvl>
  </w:abstractNum>
  <w:abstractNum w:abstractNumId="271">
    <w:nsid w:val="7843E45"/>
    <w:multiLevelType w:val="hybridMultilevel"/>
    <w:lvl w:ilvl="0">
      <w:lvlJc w:val="left"/>
      <w:lvlText w:val="(%1)"/>
      <w:numFmt w:val="lowerLetter"/>
      <w:start w:val="1"/>
    </w:lvl>
    <w:lvl w:ilvl="1">
      <w:lvlJc w:val="left"/>
      <w:lvlText w:val="(%2)"/>
      <w:numFmt w:val="lowerRoman"/>
      <w:start w:val="1"/>
    </w:lvl>
  </w:abstractNum>
  <w:abstractNum w:abstractNumId="272">
    <w:nsid w:val="9815DA3"/>
    <w:multiLevelType w:val="hybridMultilevel"/>
    <w:lvl w:ilvl="0">
      <w:lvlJc w:val="left"/>
      <w:lvlText w:val="%1"/>
      <w:numFmt w:val="lowerLetter"/>
      <w:start w:val="1"/>
    </w:lvl>
    <w:lvl w:ilvl="1">
      <w:lvlJc w:val="left"/>
      <w:lvlText w:val="(%2)"/>
      <w:numFmt w:val="lowerLetter"/>
      <w:start w:val="2"/>
    </w:lvl>
  </w:abstractNum>
  <w:abstractNum w:abstractNumId="273">
    <w:nsid w:val="5204A191"/>
    <w:multiLevelType w:val="hybridMultilevel"/>
    <w:lvl w:ilvl="0">
      <w:lvlJc w:val="left"/>
      <w:lvlText w:val="(%1)"/>
      <w:numFmt w:val="lowerLetter"/>
      <w:start w:val="61"/>
    </w:lvl>
    <w:lvl w:ilvl="1">
      <w:lvlJc w:val="left"/>
      <w:lvlText w:val="(%2)"/>
      <w:numFmt w:val="lowerLetter"/>
      <w:start w:val="4"/>
    </w:lvl>
  </w:abstractNum>
  <w:abstractNum w:abstractNumId="274">
    <w:nsid w:val="4C73A9C6"/>
    <w:multiLevelType w:val="hybridMultilevel"/>
    <w:lvl w:ilvl="0">
      <w:lvlJc w:val="left"/>
      <w:lvlText w:val="(%1)"/>
      <w:numFmt w:val="lowerLetter"/>
      <w:start w:val="1"/>
    </w:lvl>
  </w:abstractNum>
  <w:abstractNum w:abstractNumId="275">
    <w:nsid w:val="1C7E3C01"/>
    <w:multiLevelType w:val="hybridMultilevel"/>
    <w:lvl w:ilvl="0">
      <w:lvlJc w:val="left"/>
      <w:lvlText w:val="(%1)"/>
      <w:numFmt w:val="lowerLetter"/>
      <w:start w:val="3"/>
    </w:lvl>
  </w:abstractNum>
  <w:abstractNum w:abstractNumId="276">
    <w:nsid w:val="1C2201FF"/>
    <w:multiLevelType w:val="hybridMultilevel"/>
    <w:lvl w:ilvl="0">
      <w:lvlJc w:val="left"/>
      <w:lvlText w:val="(%1)"/>
      <w:numFmt w:val="lowerLetter"/>
      <w:start w:val="1"/>
    </w:lvl>
  </w:abstractNum>
  <w:abstractNum w:abstractNumId="277">
    <w:nsid w:val="50ABCEC9"/>
    <w:multiLevelType w:val="hybridMultilevel"/>
    <w:lvl w:ilvl="0">
      <w:lvlJc w:val="left"/>
      <w:lvlText w:val="(%1)"/>
      <w:numFmt w:val="lowerLetter"/>
      <w:start w:val="2"/>
    </w:lvl>
  </w:abstractNum>
  <w:abstractNum w:abstractNumId="278">
    <w:nsid w:val="7635AA2A"/>
    <w:multiLevelType w:val="hybridMultilevel"/>
    <w:lvl w:ilvl="0">
      <w:lvlJc w:val="left"/>
      <w:lvlText w:val="(%1)"/>
      <w:numFmt w:val="lowerLetter"/>
      <w:start w:val="6"/>
    </w:lvl>
  </w:abstractNum>
  <w:abstractNum w:abstractNumId="279">
    <w:nsid w:val="5E74C4D9"/>
    <w:multiLevelType w:val="hybridMultilevel"/>
    <w:lvl w:ilvl="0">
      <w:lvlJc w:val="left"/>
      <w:lvlText w:val="(%1)"/>
      <w:numFmt w:val="lowerLetter"/>
      <w:start w:val="1"/>
    </w:lvl>
  </w:abstractNum>
  <w:abstractNum w:abstractNumId="280">
    <w:nsid w:val="3B3EBE15"/>
    <w:multiLevelType w:val="hybridMultilevel"/>
    <w:lvl w:ilvl="0">
      <w:lvlJc w:val="left"/>
      <w:lvlText w:val="(%1)"/>
      <w:numFmt w:val="lowerLetter"/>
      <w:start w:val="3"/>
    </w:lvl>
  </w:abstractNum>
  <w:abstractNum w:abstractNumId="281">
    <w:nsid w:val="3822CB01"/>
    <w:multiLevelType w:val="hybridMultilevel"/>
    <w:lvl w:ilvl="0">
      <w:lvlJc w:val="left"/>
      <w:lvlText w:val="%1"/>
      <w:numFmt w:val="lowerRoman"/>
      <w:start w:val="1"/>
    </w:lvl>
    <w:lvl w:ilvl="1">
      <w:lvlJc w:val="left"/>
      <w:lvlText w:val="(%2)"/>
      <w:numFmt w:val="lowerLetter"/>
      <w:start w:val="1"/>
    </w:lvl>
  </w:abstractNum>
  <w:abstractNum w:abstractNumId="282">
    <w:nsid w:val="6CE00443"/>
    <w:multiLevelType w:val="hybridMultilevel"/>
    <w:lvl w:ilvl="0">
      <w:lvlJc w:val="left"/>
      <w:lvlText w:val="(%1)"/>
      <w:numFmt w:val="lowerRoman"/>
      <w:start w:val="4"/>
    </w:lvl>
    <w:lvl w:ilvl="1">
      <w:lvlJc w:val="left"/>
      <w:lvlText w:val="%2"/>
      <w:numFmt w:val="lowerLetter"/>
      <w:start w:val="1"/>
    </w:lvl>
  </w:abstractNum>
  <w:abstractNum w:abstractNumId="283">
    <w:nsid w:val="79F0D62F"/>
    <w:multiLevelType w:val="hybridMultilevel"/>
    <w:lvl w:ilvl="0">
      <w:lvlJc w:val="left"/>
      <w:lvlText w:val="(%1)"/>
      <w:numFmt w:val="lowerLetter"/>
      <w:start w:val="24"/>
    </w:lvl>
    <w:lvl w:ilvl="1">
      <w:lvlJc w:val="left"/>
      <w:lvlText w:val="(%2)"/>
      <w:numFmt w:val="lowerLetter"/>
      <w:start w:val="2"/>
    </w:lvl>
  </w:abstractNum>
  <w:abstractNum w:abstractNumId="284">
    <w:nsid w:val="7975E8EE"/>
    <w:multiLevelType w:val="hybridMultilevel"/>
    <w:lvl w:ilvl="0">
      <w:lvlJc w:val="left"/>
      <w:lvlText w:val="(%1)"/>
      <w:numFmt w:val="lowerLetter"/>
      <w:start w:val="4"/>
    </w:lvl>
  </w:abstractNum>
  <w:abstractNum w:abstractNumId="285">
    <w:nsid w:val="73154115"/>
    <w:multiLevelType w:val="hybridMultilevel"/>
    <w:lvl w:ilvl="0">
      <w:lvlJc w:val="left"/>
      <w:lvlText w:val="(%1)"/>
      <w:numFmt w:val="lowerLetter"/>
      <w:start w:val="8"/>
    </w:lvl>
  </w:abstractNum>
  <w:abstractNum w:abstractNumId="286">
    <w:nsid w:val="622D8102"/>
    <w:multiLevelType w:val="hybridMultilevel"/>
    <w:lvl w:ilvl="0">
      <w:lvlJc w:val="left"/>
      <w:lvlText w:val="%1"/>
      <w:numFmt w:val="lowerRoman"/>
      <w:start w:val="1"/>
    </w:lvl>
    <w:lvl w:ilvl="1">
      <w:lvlJc w:val="left"/>
      <w:lvlText w:val="(%2)"/>
      <w:numFmt w:val="lowerLetter"/>
      <w:start w:val="1"/>
    </w:lvl>
  </w:abstractNum>
  <w:abstractNum w:abstractNumId="287">
    <w:nsid w:val="2AB26587"/>
    <w:multiLevelType w:val="hybridMultilevel"/>
    <w:lvl w:ilvl="0">
      <w:lvlJc w:val="left"/>
      <w:lvlText w:val="(%1)"/>
      <w:numFmt w:val="lowerRoman"/>
      <w:start w:val="4"/>
    </w:lvl>
    <w:lvl w:ilvl="1">
      <w:lvlJc w:val="left"/>
      <w:lvlText w:val="(%2)"/>
      <w:numFmt w:val="lowerLetter"/>
      <w:start w:val="2"/>
    </w:lvl>
  </w:abstractNum>
  <w:abstractNum w:abstractNumId="288">
    <w:nsid w:val="44B3FA61"/>
    <w:multiLevelType w:val="hybridMultilevel"/>
    <w:lvl w:ilvl="0">
      <w:lvlJc w:val="left"/>
      <w:lvlText w:val="(%1)"/>
      <w:numFmt w:val="lowerLetter"/>
      <w:start w:val="3"/>
    </w:lvl>
  </w:abstractNum>
  <w:abstractNum w:abstractNumId="289">
    <w:nsid w:val="1C0CA67C"/>
    <w:multiLevelType w:val="hybridMultilevel"/>
    <w:lvl w:ilvl="0">
      <w:lvlJc w:val="left"/>
      <w:lvlText w:val="(%1)"/>
      <w:numFmt w:val="lowerLetter"/>
      <w:start w:val="6"/>
    </w:lvl>
  </w:abstractNum>
  <w:abstractNum w:abstractNumId="290">
    <w:nsid w:val="3D206613"/>
    <w:multiLevelType w:val="hybridMultilevel"/>
    <w:lvl w:ilvl="0">
      <w:lvlJc w:val="left"/>
      <w:lvlText w:val="%1"/>
      <w:numFmt w:val="lowerLetter"/>
      <w:start w:val="1"/>
    </w:lvl>
    <w:lvl w:ilvl="1">
      <w:lvlJc w:val="left"/>
      <w:lvlText w:val="(%2)"/>
      <w:numFmt w:val="lowerLetter"/>
      <w:start w:val="1"/>
    </w:lvl>
  </w:abstractNum>
  <w:abstractNum w:abstractNumId="291">
    <w:nsid w:val="7993B662"/>
    <w:multiLevelType w:val="hybridMultilevel"/>
    <w:lvl w:ilvl="0">
      <w:lvlJc w:val="left"/>
      <w:lvlText w:val="(%1)"/>
      <w:numFmt w:val="lowerLetter"/>
      <w:start w:val="9"/>
    </w:lvl>
    <w:lvl w:ilvl="1">
      <w:lvlJc w:val="left"/>
      <w:lvlText w:val="(%2)"/>
      <w:numFmt w:val="lowerLetter"/>
      <w:start w:val="2"/>
    </w:lvl>
  </w:abstractNum>
  <w:abstractNum w:abstractNumId="292">
    <w:nsid w:val="3BAB699E"/>
    <w:multiLevelType w:val="hybridMultilevel"/>
    <w:lvl w:ilvl="0">
      <w:lvlJc w:val="left"/>
      <w:lvlText w:val="(%1)"/>
      <w:numFmt w:val="lowerLetter"/>
      <w:start w:val="3"/>
    </w:lvl>
  </w:abstractNum>
  <w:abstractNum w:abstractNumId="293">
    <w:nsid w:val="71315369"/>
    <w:multiLevelType w:val="hybridMultilevel"/>
    <w:lvl w:ilvl="0">
      <w:lvlJc w:val="left"/>
      <w:lvlText w:val="(%1)"/>
      <w:numFmt w:val="lowerLetter"/>
      <w:start w:val="1"/>
    </w:lvl>
  </w:abstractNum>
  <w:abstractNum w:abstractNumId="294">
    <w:nsid w:val="7BCFBAFC"/>
    <w:multiLevelType w:val="hybridMultilevel"/>
    <w:lvl w:ilvl="0">
      <w:lvlJc w:val="left"/>
      <w:lvlText w:val="(%1)"/>
      <w:numFmt w:val="lowerLetter"/>
      <w:start w:val="1"/>
    </w:lvl>
    <w:lvl w:ilvl="1">
      <w:lvlJc w:val="left"/>
      <w:lvlText w:val="(%2)"/>
      <w:numFmt w:val="lowerRoman"/>
      <w:start w:val="1"/>
    </w:lvl>
  </w:abstractNum>
  <w:abstractNum w:abstractNumId="295">
    <w:nsid w:val="17859F72"/>
    <w:multiLevelType w:val="hybridMultilevel"/>
    <w:lvl w:ilvl="0">
      <w:lvlJc w:val="left"/>
      <w:lvlText w:val="(%1)"/>
      <w:numFmt w:val="lowerLetter"/>
      <w:start w:val="1"/>
    </w:lvl>
    <w:lvl w:ilvl="1">
      <w:lvlJc w:val="left"/>
      <w:lvlText w:val="(%2)"/>
      <w:numFmt w:val="lowerRoman"/>
      <w:start w:val="1"/>
    </w:lvl>
  </w:abstractNum>
  <w:abstractNum w:abstractNumId="296">
    <w:nsid w:val="3AA10581"/>
    <w:multiLevelType w:val="hybridMultilevel"/>
    <w:lvl w:ilvl="0">
      <w:lvlJc w:val="left"/>
      <w:lvlText w:val="§§"/>
      <w:numFmt w:val="bullet"/>
      <w:start w:val="1"/>
    </w:lvl>
    <w:lvl w:ilvl="1">
      <w:lvlJc w:val="left"/>
      <w:lvlText w:val="%2"/>
      <w:numFmt w:val="lowerRoman"/>
      <w:start w:val="1"/>
    </w:lvl>
    <w:lvl w:ilvl="2">
      <w:lvlJc w:val="left"/>
      <w:lvlText w:val="(%3)"/>
      <w:numFmt w:val="upperLetter"/>
      <w:start w:val="1"/>
    </w:lvl>
  </w:abstractNum>
  <w:abstractNum w:abstractNumId="297">
    <w:nsid w:val="63DE60CD"/>
    <w:multiLevelType w:val="hybridMultilevel"/>
    <w:lvl w:ilvl="0">
      <w:lvlJc w:val="left"/>
      <w:lvlText w:val="§§"/>
      <w:numFmt w:val="bullet"/>
      <w:start w:val="1"/>
    </w:lvl>
    <w:lvl w:ilvl="1">
      <w:lvlJc w:val="left"/>
      <w:lvlText w:val="(%2)"/>
      <w:numFmt w:val="lowerRoman"/>
      <w:start w:val="3"/>
    </w:lvl>
    <w:lvl w:ilvl="2">
      <w:lvlJc w:val="left"/>
      <w:lvlText w:val="%3"/>
      <w:numFmt w:val="upperLetter"/>
      <w:start w:val="1"/>
    </w:lvl>
  </w:abstractNum>
  <w:abstractNum w:abstractNumId="298">
    <w:nsid w:val="621AF471"/>
    <w:multiLevelType w:val="hybridMultilevel"/>
    <w:lvl w:ilvl="0">
      <w:lvlJc w:val="left"/>
      <w:lvlText w:val="§§"/>
      <w:numFmt w:val="bullet"/>
      <w:start w:val="1"/>
    </w:lvl>
    <w:lvl w:ilvl="1">
      <w:lvlJc w:val="left"/>
      <w:lvlText w:val="(%2)"/>
      <w:numFmt w:val="lowerRoman"/>
      <w:start w:val="4"/>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2026-06-30T07:33:04Z</dcterms:created>
  <dcterms:modified xsi:type="dcterms:W3CDTF">2026-06-30T07:33:04Z</dcterms:modified>
</cp:coreProperties>
</file>